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 10-Q</w:t>
      </w:r>
    </w:p>
    <w:p>
      <w:pPr>
        <w:spacing w:after="0" w:line="248" w:lineRule="exact"/>
        <w:rPr>
          <w:sz w:val="24"/>
          <w:szCs w:val="24"/>
          <w:color w:val="auto"/>
        </w:rPr>
      </w:pPr>
    </w:p>
    <w:p>
      <w:pPr>
        <w:jc w:val="center"/>
        <w:ind w:left="4000" w:right="1400" w:hanging="2599"/>
        <w:spacing w:after="0" w:line="260" w:lineRule="auto"/>
        <w:tabs>
          <w:tab w:leader="none" w:pos="159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 For the quarterly period ended June 30, 2021</w:t>
      </w:r>
    </w:p>
    <w:p>
      <w:pPr>
        <w:spacing w:after="0" w:line="168" w:lineRule="exact"/>
        <w:rPr>
          <w:sz w:val="24"/>
          <w:szCs w:val="24"/>
          <w:color w:val="auto"/>
        </w:rPr>
      </w:pPr>
    </w:p>
    <w:p>
      <w:pPr>
        <w:jc w:val="center"/>
        <w:ind w:left="3520" w:right="1400" w:hanging="2122"/>
        <w:spacing w:after="0" w:line="260" w:lineRule="auto"/>
        <w:tabs>
          <w:tab w:leader="none" w:pos="1586"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__________ to __________.</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001-31303</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Incorporated in South Dakota IRS Identification Number 46-0458824</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7001 Mount Rushmore Road</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Rapid City, South Dakota 57702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(605) 721-1700</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NONE</w:t>
      </w:r>
    </w:p>
    <w:p>
      <w:pPr>
        <w:spacing w:after="0" w:line="235" w:lineRule="exact"/>
        <w:rPr>
          <w:sz w:val="24"/>
          <w:szCs w:val="24"/>
          <w:color w:val="auto"/>
        </w:rPr>
      </w:pPr>
    </w:p>
    <w:p>
      <w:pPr>
        <w:jc w:val="both"/>
        <w:ind w:right="400"/>
        <w:spacing w:after="0" w:line="17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7" w:lineRule="exact"/>
        <w:rPr>
          <w:sz w:val="24"/>
          <w:szCs w:val="24"/>
          <w:color w:val="auto"/>
        </w:rPr>
      </w:pPr>
    </w:p>
    <w:p>
      <w:pPr>
        <w:ind w:right="42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ind w:right="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2400" w:type="dxa"/>
        <w:tblCellMar>
          <w:top w:w="0" w:type="dxa"/>
          <w:left w:w="0" w:type="dxa"/>
          <w:bottom w:w="0" w:type="dxa"/>
          <w:right w:w="0" w:type="dxa"/>
        </w:tblCellMar>
      </w:tblPr>
      <w:tr>
        <w:trPr>
          <w:trHeight w:val="254"/>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20" w:type="dxa"/>
            <w:vAlign w:val="bottom"/>
          </w:tcPr>
          <w:p>
            <w:pPr>
              <w:ind w:left="520"/>
              <w:spacing w:after="0"/>
              <w:rPr>
                <w:sz w:val="20"/>
                <w:szCs w:val="20"/>
                <w:color w:val="auto"/>
              </w:rPr>
            </w:pPr>
            <w:r>
              <w:rPr>
                <w:rFonts w:ascii="Arial" w:cs="Arial" w:eastAsia="Arial" w:hAnsi="Arial"/>
                <w:sz w:val="16"/>
                <w:szCs w:val="16"/>
                <w:color w:val="auto"/>
              </w:rPr>
              <w:t>x</w:t>
            </w:r>
          </w:p>
        </w:tc>
        <w:tc>
          <w:tcPr>
            <w:tcW w:w="2640" w:type="dxa"/>
            <w:vAlign w:val="bottom"/>
          </w:tcPr>
          <w:p>
            <w:pPr>
              <w:ind w:left="26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9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ind w:left="26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40" w:type="dxa"/>
            <w:vAlign w:val="bottom"/>
          </w:tcPr>
          <w:p>
            <w:pPr>
              <w:ind w:left="26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14"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229" w:right="339" w:bottom="1440" w:gutter="0" w:footer="0" w:header="0"/>
        </w:sectPr>
      </w:pPr>
    </w:p>
    <w:p>
      <w:pPr>
        <w:spacing w:after="0" w:line="32" w:lineRule="exact"/>
        <w:rPr>
          <w:sz w:val="24"/>
          <w:szCs w:val="24"/>
          <w:color w:val="auto"/>
        </w:rPr>
      </w:pPr>
    </w:p>
    <w:p>
      <w:pPr>
        <w:ind w:left="238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Name of each exchange on which registered</w:t>
      </w:r>
    </w:p>
    <w:p>
      <w:pPr>
        <w:spacing w:after="0" w:line="32" w:lineRule="exact"/>
        <w:rPr>
          <w:sz w:val="24"/>
          <w:szCs w:val="24"/>
          <w:color w:val="auto"/>
        </w:rPr>
      </w:pPr>
    </w:p>
    <w:p>
      <w:pPr>
        <w:sectPr>
          <w:pgSz w:w="11900" w:h="16838" w:orient="portrait"/>
          <w:cols w:equalWidth="0" w:num="3">
            <w:col w:w="4320" w:space="720"/>
            <w:col w:w="1460" w:space="720"/>
            <w:col w:w="4020"/>
          </w:cols>
          <w:pgMar w:left="320" w:top="229" w:right="3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Common stock of $1.00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BKH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4820" w:space="720"/>
            <w:col w:w="1600" w:space="720"/>
            <w:col w:w="3380"/>
          </w:cols>
          <w:pgMar w:left="320" w:top="229" w:right="339" w:bottom="1440" w:gutter="0" w:footer="0" w:header="0"/>
          <w:type w:val="continuous"/>
        </w:sectPr>
      </w:pP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5900" w:type="dxa"/>
            <w:vAlign w:val="bottom"/>
          </w:tcPr>
          <w:p>
            <w:pPr>
              <w:ind w:left="3900"/>
              <w:spacing w:after="0"/>
              <w:rPr>
                <w:sz w:val="20"/>
                <w:szCs w:val="20"/>
                <w:color w:val="auto"/>
              </w:rPr>
            </w:pPr>
            <w:r>
              <w:rPr>
                <w:rFonts w:ascii="Arial" w:cs="Arial" w:eastAsia="Arial" w:hAnsi="Arial"/>
                <w:sz w:val="16"/>
                <w:szCs w:val="16"/>
                <w:color w:val="auto"/>
              </w:rPr>
              <w:t>Class</w:t>
            </w:r>
          </w:p>
        </w:tc>
        <w:tc>
          <w:tcPr>
            <w:tcW w:w="5340" w:type="dxa"/>
            <w:vAlign w:val="bottom"/>
          </w:tcPr>
          <w:p>
            <w:pPr>
              <w:ind w:left="360"/>
              <w:spacing w:after="0"/>
              <w:rPr>
                <w:sz w:val="20"/>
                <w:szCs w:val="20"/>
                <w:color w:val="auto"/>
              </w:rPr>
            </w:pPr>
            <w:r>
              <w:rPr>
                <w:rFonts w:ascii="Arial" w:cs="Arial" w:eastAsia="Arial" w:hAnsi="Arial"/>
                <w:sz w:val="16"/>
                <w:szCs w:val="16"/>
                <w:color w:val="auto"/>
              </w:rPr>
              <w:t>Outstanding at July 31, 2021</w:t>
            </w:r>
          </w:p>
        </w:tc>
      </w:tr>
      <w:tr>
        <w:trPr>
          <w:trHeight w:val="216"/>
        </w:trPr>
        <w:tc>
          <w:tcPr>
            <w:tcW w:w="5900" w:type="dxa"/>
            <w:vAlign w:val="bottom"/>
          </w:tcPr>
          <w:p>
            <w:pPr>
              <w:ind w:left="3260"/>
              <w:spacing w:after="0"/>
              <w:rPr>
                <w:sz w:val="20"/>
                <w:szCs w:val="20"/>
                <w:color w:val="auto"/>
              </w:rPr>
            </w:pPr>
            <w:r>
              <w:rPr>
                <w:rFonts w:ascii="Arial" w:cs="Arial" w:eastAsia="Arial" w:hAnsi="Arial"/>
                <w:sz w:val="16"/>
                <w:szCs w:val="16"/>
                <w:color w:val="auto"/>
              </w:rPr>
              <w:t>Common stock, $1.00 par value</w:t>
            </w:r>
          </w:p>
        </w:tc>
        <w:tc>
          <w:tcPr>
            <w:tcW w:w="5340" w:type="dxa"/>
            <w:vAlign w:val="bottom"/>
          </w:tcPr>
          <w:p>
            <w:pPr>
              <w:ind w:left="520"/>
              <w:spacing w:after="0"/>
              <w:rPr>
                <w:sz w:val="20"/>
                <w:szCs w:val="20"/>
                <w:color w:val="auto"/>
              </w:rPr>
            </w:pPr>
            <w:r>
              <w:rPr>
                <w:rFonts w:ascii="Arial" w:cs="Arial" w:eastAsia="Arial" w:hAnsi="Arial"/>
                <w:sz w:val="16"/>
                <w:szCs w:val="16"/>
                <w:color w:val="auto"/>
              </w:rPr>
              <w:t>63,480,270 shares</w:t>
            </w:r>
          </w:p>
        </w:tc>
      </w:tr>
      <w:tr>
        <w:trPr>
          <w:trHeight w:val="1012"/>
        </w:trPr>
        <w:tc>
          <w:tcPr>
            <w:tcW w:w="590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20" w:type="dxa"/>
            <w:vAlign w:val="bottom"/>
            <w:gridSpan w:val="8"/>
          </w:tcPr>
          <w:p>
            <w:pPr>
              <w:ind w:left="60"/>
              <w:spacing w:after="0"/>
              <w:rPr>
                <w:sz w:val="20"/>
                <w:szCs w:val="20"/>
                <w:color w:val="auto"/>
              </w:rPr>
            </w:pPr>
            <w:r>
              <w:rPr>
                <w:rFonts w:ascii="Arial" w:cs="Arial" w:eastAsia="Arial" w:hAnsi="Arial"/>
                <w:sz w:val="16"/>
                <w:szCs w:val="16"/>
                <w:b w:val="1"/>
                <w:bCs w:val="1"/>
                <w:color w:val="auto"/>
              </w:rPr>
              <w:t>TABLE OF CONTENTS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20" w:type="dxa"/>
            <w:vAlign w:val="bottom"/>
            <w:tcBorders>
              <w:bottom w:val="single" w:sz="8" w:color="CEFFE7"/>
            </w:tcBorders>
          </w:tcPr>
          <w:p>
            <w:pPr>
              <w:spacing w:after="0"/>
              <w:rPr>
                <w:sz w:val="19"/>
                <w:szCs w:val="19"/>
                <w:color w:val="auto"/>
              </w:rPr>
            </w:pPr>
          </w:p>
        </w:tc>
        <w:tc>
          <w:tcPr>
            <w:tcW w:w="20" w:type="dxa"/>
            <w:vAlign w:val="bottom"/>
            <w:tcBorders>
              <w:bottom w:val="single" w:sz="8" w:color="CEFFE7"/>
            </w:tcBorders>
          </w:tcPr>
          <w:p>
            <w:pPr>
              <w:spacing w:after="0"/>
              <w:rPr>
                <w:sz w:val="19"/>
                <w:szCs w:val="19"/>
                <w:color w:val="auto"/>
              </w:rPr>
            </w:pPr>
          </w:p>
        </w:tc>
        <w:tc>
          <w:tcPr>
            <w:tcW w:w="1400" w:type="dxa"/>
            <w:vAlign w:val="bottom"/>
            <w:tcBorders>
              <w:bottom w:val="single" w:sz="8" w:color="CEFFE7"/>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80" w:type="dxa"/>
            <w:vAlign w:val="bottom"/>
            <w:tcBorders>
              <w:bottom w:val="single" w:sz="8" w:color="CEFFE7"/>
            </w:tcBorders>
          </w:tcPr>
          <w:p>
            <w:pPr>
              <w:spacing w:after="0"/>
              <w:rPr>
                <w:sz w:val="19"/>
                <w:szCs w:val="19"/>
                <w:color w:val="auto"/>
              </w:rPr>
            </w:pPr>
          </w:p>
        </w:tc>
        <w:tc>
          <w:tcPr>
            <w:tcW w:w="460" w:type="dxa"/>
            <w:vAlign w:val="bottom"/>
            <w:tcBorders>
              <w:bottom w:val="single" w:sz="8" w:color="CEFFE7"/>
            </w:tcBorders>
          </w:tcPr>
          <w:p>
            <w:pPr>
              <w:spacing w:after="0"/>
              <w:rPr>
                <w:sz w:val="19"/>
                <w:szCs w:val="19"/>
                <w:color w:val="auto"/>
              </w:rPr>
            </w:pPr>
          </w:p>
        </w:tc>
        <w:tc>
          <w:tcPr>
            <w:tcW w:w="520" w:type="dxa"/>
            <w:vAlign w:val="bottom"/>
            <w:tcBorders>
              <w:bottom w:val="single" w:sz="8" w:color="CEFFE7"/>
            </w:tcBorders>
          </w:tcPr>
          <w:p>
            <w:pPr>
              <w:spacing w:after="0"/>
              <w:rPr>
                <w:sz w:val="19"/>
                <w:szCs w:val="19"/>
                <w:color w:val="auto"/>
              </w:rPr>
            </w:pPr>
          </w:p>
        </w:tc>
        <w:tc>
          <w:tcPr>
            <w:tcW w:w="40" w:type="dxa"/>
            <w:vAlign w:val="bottom"/>
            <w:tcBorders>
              <w:bottom w:val="single" w:sz="8" w:color="CEFFE7"/>
            </w:tcBorders>
          </w:tcPr>
          <w:p>
            <w:pPr>
              <w:spacing w:after="0"/>
              <w:rPr>
                <w:sz w:val="19"/>
                <w:szCs w:val="19"/>
                <w:color w:val="auto"/>
              </w:rPr>
            </w:pPr>
          </w:p>
        </w:tc>
        <w:tc>
          <w:tcPr>
            <w:tcW w:w="200" w:type="dxa"/>
            <w:vAlign w:val="bottom"/>
            <w:tcBorders>
              <w:bottom w:val="single" w:sz="8" w:color="CEFFE7"/>
            </w:tcBorders>
          </w:tcPr>
          <w:p>
            <w:pPr>
              <w:spacing w:after="0"/>
              <w:rPr>
                <w:sz w:val="19"/>
                <w:szCs w:val="19"/>
                <w:color w:val="auto"/>
              </w:rPr>
            </w:pPr>
          </w:p>
        </w:tc>
        <w:tc>
          <w:tcPr>
            <w:tcW w:w="40" w:type="dxa"/>
            <w:vAlign w:val="bottom"/>
            <w:tcBorders>
              <w:bottom w:val="single" w:sz="8" w:color="CEFFE7"/>
            </w:tcBorders>
          </w:tcPr>
          <w:p>
            <w:pPr>
              <w:spacing w:after="0"/>
              <w:rPr>
                <w:sz w:val="19"/>
                <w:szCs w:val="19"/>
                <w:color w:val="auto"/>
              </w:rPr>
            </w:pPr>
          </w:p>
        </w:tc>
        <w:tc>
          <w:tcPr>
            <w:tcW w:w="400" w:type="dxa"/>
            <w:vAlign w:val="bottom"/>
            <w:tcBorders>
              <w:bottom w:val="single" w:sz="8" w:color="CEFFE7"/>
            </w:tcBorders>
          </w:tcPr>
          <w:p>
            <w:pPr>
              <w:spacing w:after="0"/>
              <w:rPr>
                <w:sz w:val="19"/>
                <w:szCs w:val="19"/>
                <w:color w:val="auto"/>
              </w:rPr>
            </w:pPr>
          </w:p>
        </w:tc>
        <w:tc>
          <w:tcPr>
            <w:tcW w:w="280" w:type="dxa"/>
            <w:vAlign w:val="bottom"/>
            <w:tcBorders>
              <w:bottom w:val="single" w:sz="8" w:color="CEFFE7"/>
            </w:tcBorders>
          </w:tcPr>
          <w:p>
            <w:pPr>
              <w:spacing w:after="0"/>
              <w:rPr>
                <w:sz w:val="19"/>
                <w:szCs w:val="19"/>
                <w:color w:val="auto"/>
              </w:rPr>
            </w:pPr>
          </w:p>
        </w:tc>
        <w:tc>
          <w:tcPr>
            <w:tcW w:w="40" w:type="dxa"/>
            <w:vAlign w:val="bottom"/>
            <w:tcBorders>
              <w:bottom w:val="single" w:sz="8" w:color="CEFFE7"/>
            </w:tcBorders>
          </w:tcPr>
          <w:p>
            <w:pPr>
              <w:spacing w:after="0"/>
              <w:rPr>
                <w:sz w:val="19"/>
                <w:szCs w:val="19"/>
                <w:color w:val="auto"/>
              </w:rPr>
            </w:pPr>
          </w:p>
        </w:tc>
        <w:tc>
          <w:tcPr>
            <w:tcW w:w="80" w:type="dxa"/>
            <w:vAlign w:val="bottom"/>
            <w:tcBorders>
              <w:bottom w:val="single" w:sz="8" w:color="CEFFE7"/>
            </w:tcBorders>
          </w:tcPr>
          <w:p>
            <w:pPr>
              <w:spacing w:after="0"/>
              <w:rPr>
                <w:sz w:val="19"/>
                <w:szCs w:val="19"/>
                <w:color w:val="auto"/>
              </w:rPr>
            </w:pPr>
          </w:p>
        </w:tc>
        <w:tc>
          <w:tcPr>
            <w:tcW w:w="100" w:type="dxa"/>
            <w:vAlign w:val="bottom"/>
            <w:tcBorders>
              <w:bottom w:val="single" w:sz="8" w:color="CEFFE7"/>
            </w:tcBorders>
          </w:tcPr>
          <w:p>
            <w:pPr>
              <w:spacing w:after="0"/>
              <w:rPr>
                <w:sz w:val="19"/>
                <w:szCs w:val="19"/>
                <w:color w:val="auto"/>
              </w:rPr>
            </w:pPr>
          </w:p>
        </w:tc>
        <w:tc>
          <w:tcPr>
            <w:tcW w:w="220" w:type="dxa"/>
            <w:vAlign w:val="bottom"/>
            <w:tcBorders>
              <w:bottom w:val="single" w:sz="8" w:color="CEFFE7"/>
            </w:tcBorders>
          </w:tcPr>
          <w:p>
            <w:pPr>
              <w:spacing w:after="0"/>
              <w:rPr>
                <w:sz w:val="19"/>
                <w:szCs w:val="19"/>
                <w:color w:val="auto"/>
              </w:rPr>
            </w:pPr>
          </w:p>
        </w:tc>
        <w:tc>
          <w:tcPr>
            <w:tcW w:w="20" w:type="dxa"/>
            <w:vAlign w:val="bottom"/>
            <w:tcBorders>
              <w:bottom w:val="single" w:sz="8" w:color="CEFFE7"/>
            </w:tcBorders>
          </w:tcPr>
          <w:p>
            <w:pPr>
              <w:spacing w:after="0"/>
              <w:rPr>
                <w:sz w:val="19"/>
                <w:szCs w:val="19"/>
                <w:color w:val="auto"/>
              </w:rPr>
            </w:pPr>
          </w:p>
        </w:tc>
        <w:tc>
          <w:tcPr>
            <w:tcW w:w="320" w:type="dxa"/>
            <w:vAlign w:val="bottom"/>
            <w:tcBorders>
              <w:bottom w:val="single" w:sz="8" w:color="CEFFE7"/>
            </w:tcBorders>
          </w:tcPr>
          <w:p>
            <w:pPr>
              <w:spacing w:after="0"/>
              <w:rPr>
                <w:sz w:val="19"/>
                <w:szCs w:val="19"/>
                <w:color w:val="auto"/>
              </w:rPr>
            </w:pPr>
          </w:p>
        </w:tc>
        <w:tc>
          <w:tcPr>
            <w:tcW w:w="140" w:type="dxa"/>
            <w:vAlign w:val="bottom"/>
            <w:tcBorders>
              <w:bottom w:val="single" w:sz="8" w:color="CEFFE7"/>
            </w:tcBorders>
          </w:tcPr>
          <w:p>
            <w:pPr>
              <w:spacing w:after="0"/>
              <w:rPr>
                <w:sz w:val="19"/>
                <w:szCs w:val="19"/>
                <w:color w:val="auto"/>
              </w:rPr>
            </w:pPr>
          </w:p>
        </w:tc>
        <w:tc>
          <w:tcPr>
            <w:tcW w:w="60" w:type="dxa"/>
            <w:vAlign w:val="bottom"/>
            <w:tcBorders>
              <w:bottom w:val="single" w:sz="8" w:color="CEFFE7"/>
            </w:tcBorders>
          </w:tcPr>
          <w:p>
            <w:pPr>
              <w:spacing w:after="0"/>
              <w:rPr>
                <w:sz w:val="19"/>
                <w:szCs w:val="19"/>
                <w:color w:val="auto"/>
              </w:rPr>
            </w:pPr>
          </w:p>
        </w:tc>
        <w:tc>
          <w:tcPr>
            <w:tcW w:w="120" w:type="dxa"/>
            <w:vAlign w:val="bottom"/>
            <w:tcBorders>
              <w:bottom w:val="single" w:sz="8" w:color="CEFFE7"/>
            </w:tcBorders>
          </w:tcPr>
          <w:p>
            <w:pPr>
              <w:spacing w:after="0"/>
              <w:rPr>
                <w:sz w:val="19"/>
                <w:szCs w:val="19"/>
                <w:color w:val="auto"/>
              </w:rPr>
            </w:pPr>
          </w:p>
        </w:tc>
        <w:tc>
          <w:tcPr>
            <w:tcW w:w="200" w:type="dxa"/>
            <w:vAlign w:val="bottom"/>
            <w:tcBorders>
              <w:bottom w:val="single" w:sz="8" w:color="CEFFE7"/>
            </w:tcBorders>
          </w:tcPr>
          <w:p>
            <w:pPr>
              <w:spacing w:after="0"/>
              <w:rPr>
                <w:sz w:val="19"/>
                <w:szCs w:val="19"/>
                <w:color w:val="auto"/>
              </w:rPr>
            </w:pPr>
          </w:p>
        </w:tc>
        <w:tc>
          <w:tcPr>
            <w:tcW w:w="40" w:type="dxa"/>
            <w:vAlign w:val="bottom"/>
            <w:tcBorders>
              <w:bottom w:val="single" w:sz="8" w:color="CEFFE7"/>
            </w:tcBorders>
          </w:tcPr>
          <w:p>
            <w:pPr>
              <w:spacing w:after="0"/>
              <w:rPr>
                <w:sz w:val="19"/>
                <w:szCs w:val="19"/>
                <w:color w:val="auto"/>
              </w:rPr>
            </w:pPr>
          </w:p>
        </w:tc>
        <w:tc>
          <w:tcPr>
            <w:tcW w:w="80" w:type="dxa"/>
            <w:vAlign w:val="bottom"/>
            <w:tcBorders>
              <w:bottom w:val="single" w:sz="8" w:color="CEFFE7"/>
            </w:tcBorders>
          </w:tcPr>
          <w:p>
            <w:pPr>
              <w:spacing w:after="0"/>
              <w:rPr>
                <w:sz w:val="19"/>
                <w:szCs w:val="19"/>
                <w:color w:val="auto"/>
              </w:rPr>
            </w:pPr>
          </w:p>
        </w:tc>
        <w:tc>
          <w:tcPr>
            <w:tcW w:w="320" w:type="dxa"/>
            <w:vAlign w:val="bottom"/>
            <w:tcBorders>
              <w:bottom w:val="single" w:sz="8" w:color="CEFFE7"/>
            </w:tcBorders>
          </w:tcPr>
          <w:p>
            <w:pPr>
              <w:spacing w:after="0"/>
              <w:rPr>
                <w:sz w:val="19"/>
                <w:szCs w:val="19"/>
                <w:color w:val="auto"/>
              </w:rPr>
            </w:pPr>
          </w:p>
        </w:tc>
        <w:tc>
          <w:tcPr>
            <w:tcW w:w="200" w:type="dxa"/>
            <w:vAlign w:val="bottom"/>
            <w:tcBorders>
              <w:bottom w:val="single" w:sz="8" w:color="CEFFE7"/>
            </w:tcBorders>
          </w:tcPr>
          <w:p>
            <w:pPr>
              <w:spacing w:after="0"/>
              <w:rPr>
                <w:sz w:val="19"/>
                <w:szCs w:val="19"/>
                <w:color w:val="auto"/>
              </w:rPr>
            </w:pPr>
          </w:p>
        </w:tc>
        <w:tc>
          <w:tcPr>
            <w:tcW w:w="60" w:type="dxa"/>
            <w:vAlign w:val="bottom"/>
            <w:tcBorders>
              <w:bottom w:val="single" w:sz="8" w:color="CEFFE7"/>
            </w:tcBorders>
          </w:tcPr>
          <w:p>
            <w:pPr>
              <w:spacing w:after="0"/>
              <w:rPr>
                <w:sz w:val="19"/>
                <w:szCs w:val="19"/>
                <w:color w:val="auto"/>
              </w:rPr>
            </w:pPr>
          </w:p>
        </w:tc>
        <w:tc>
          <w:tcPr>
            <w:tcW w:w="600" w:type="dxa"/>
            <w:vAlign w:val="bottom"/>
            <w:tcBorders>
              <w:bottom w:val="single" w:sz="8" w:color="CEFFE7"/>
            </w:tcBorders>
          </w:tcPr>
          <w:p>
            <w:pPr>
              <w:spacing w:after="0"/>
              <w:rPr>
                <w:sz w:val="19"/>
                <w:szCs w:val="19"/>
                <w:color w:val="auto"/>
              </w:rPr>
            </w:pPr>
          </w:p>
        </w:tc>
        <w:tc>
          <w:tcPr>
            <w:tcW w:w="3520" w:type="dxa"/>
            <w:vAlign w:val="bottom"/>
            <w:tcBorders>
              <w:bottom w:val="single" w:sz="8" w:color="CEFFE7"/>
            </w:tcBorders>
          </w:tcPr>
          <w:p>
            <w:pPr>
              <w:spacing w:after="0"/>
              <w:rPr>
                <w:sz w:val="19"/>
                <w:szCs w:val="19"/>
                <w:color w:val="auto"/>
              </w:rPr>
            </w:pPr>
          </w:p>
        </w:tc>
        <w:tc>
          <w:tcPr>
            <w:tcW w:w="150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color w:val="auto"/>
              </w:rPr>
              <w:t>Page</w:t>
            </w:r>
          </w:p>
        </w:tc>
      </w:tr>
      <w:tr>
        <w:trPr>
          <w:trHeight w:val="193"/>
        </w:trPr>
        <w:tc>
          <w:tcPr>
            <w:tcW w:w="9700" w:type="dxa"/>
            <w:vAlign w:val="bottom"/>
            <w:gridSpan w:val="29"/>
            <w:shd w:val="clear" w:color="auto" w:fill="CEFFE7"/>
          </w:tcPr>
          <w:p>
            <w:pPr>
              <w:ind w:left="20"/>
              <w:spacing w:after="0" w:line="172" w:lineRule="exact"/>
              <w:rPr>
                <w:rFonts w:ascii="Arial" w:cs="Arial" w:eastAsia="Arial" w:hAnsi="Arial"/>
                <w:sz w:val="16"/>
                <w:szCs w:val="16"/>
                <w:color w:val="0000FF"/>
              </w:rPr>
            </w:pPr>
            <w:hyperlink w:anchor="page3">
              <w:r>
                <w:rPr>
                  <w:rFonts w:ascii="Arial" w:cs="Arial" w:eastAsia="Arial" w:hAnsi="Arial"/>
                  <w:sz w:val="16"/>
                  <w:szCs w:val="16"/>
                  <w:color w:val="0000FF"/>
                </w:rPr>
                <w:t>Glossary of Terms and Abbreviations</w:t>
              </w:r>
            </w:hyperlink>
          </w:p>
        </w:tc>
        <w:tc>
          <w:tcPr>
            <w:tcW w:w="840" w:type="dxa"/>
            <w:vAlign w:val="bottom"/>
            <w:tcBorders>
              <w:right w:val="single" w:sz="8" w:color="CEFFE7"/>
            </w:tcBorders>
            <w:gridSpan w:val="2"/>
            <w:shd w:val="clear" w:color="auto" w:fill="CEFFE7"/>
          </w:tcPr>
          <w:p>
            <w:pPr>
              <w:jc w:val="center"/>
              <w:ind w:left="579"/>
              <w:spacing w:after="0" w:line="172" w:lineRule="exact"/>
              <w:rPr>
                <w:rFonts w:ascii="Arial" w:cs="Arial" w:eastAsia="Arial" w:hAnsi="Arial"/>
                <w:sz w:val="16"/>
                <w:szCs w:val="16"/>
                <w:color w:val="0000FF"/>
              </w:rPr>
            </w:pPr>
            <w:hyperlink w:anchor="page3">
              <w:r>
                <w:rPr>
                  <w:rFonts w:ascii="Arial" w:cs="Arial" w:eastAsia="Arial" w:hAnsi="Arial"/>
                  <w:sz w:val="16"/>
                  <w:szCs w:val="16"/>
                  <w:color w:val="0000FF"/>
                </w:rPr>
                <w:t>4</w:t>
              </w:r>
            </w:hyperlink>
          </w:p>
        </w:tc>
        <w:tc>
          <w:tcPr>
            <w:tcW w:w="660" w:type="dxa"/>
            <w:vAlign w:val="bottom"/>
            <w:shd w:val="clear" w:color="auto" w:fill="CEFFE7"/>
          </w:tcPr>
          <w:p>
            <w:pPr>
              <w:spacing w:after="0"/>
              <w:rPr>
                <w:sz w:val="16"/>
                <w:szCs w:val="16"/>
                <w:color w:val="auto"/>
              </w:rPr>
            </w:pPr>
          </w:p>
        </w:tc>
      </w:tr>
      <w:tr>
        <w:trPr>
          <w:trHeight w:val="175"/>
        </w:trPr>
        <w:tc>
          <w:tcPr>
            <w:tcW w:w="20" w:type="dxa"/>
            <w:vAlign w:val="bottom"/>
            <w:tcBorders>
              <w:top w:val="single" w:sz="8" w:color="CEFFE7"/>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620" w:type="dxa"/>
            <w:vAlign w:val="bottom"/>
            <w:tcBorders>
              <w:top w:val="single" w:sz="8" w:color="0000FF"/>
            </w:tcBorders>
            <w:gridSpan w:val="6"/>
          </w:tcPr>
          <w:p>
            <w:pPr>
              <w:spacing w:after="0" w:line="175" w:lineRule="exact"/>
              <w:rPr>
                <w:rFonts w:ascii="Arial" w:cs="Arial" w:eastAsia="Arial" w:hAnsi="Arial"/>
                <w:sz w:val="16"/>
                <w:szCs w:val="16"/>
                <w:color w:val="0000FF"/>
              </w:rPr>
            </w:pPr>
            <w:hyperlink w:anchor="page6">
              <w:r>
                <w:rPr>
                  <w:rFonts w:ascii="Arial" w:cs="Arial" w:eastAsia="Arial" w:hAnsi="Arial"/>
                  <w:sz w:val="16"/>
                  <w:szCs w:val="16"/>
                  <w:color w:val="0000FF"/>
                </w:rPr>
                <w:t>Forward-Looking Information</w:t>
              </w:r>
            </w:hyperlink>
          </w:p>
        </w:tc>
        <w:tc>
          <w:tcPr>
            <w:tcW w:w="7040" w:type="dxa"/>
            <w:vAlign w:val="bottom"/>
            <w:tcBorders>
              <w:top w:val="single" w:sz="8" w:color="CEFFE7"/>
            </w:tcBorders>
            <w:gridSpan w:val="21"/>
          </w:tcPr>
          <w:p>
            <w:pPr>
              <w:spacing w:after="0"/>
              <w:rPr>
                <w:sz w:val="15"/>
                <w:szCs w:val="15"/>
                <w:color w:val="auto"/>
              </w:rPr>
            </w:pPr>
          </w:p>
        </w:tc>
        <w:tc>
          <w:tcPr>
            <w:tcW w:w="700" w:type="dxa"/>
            <w:vAlign w:val="bottom"/>
            <w:tcBorders>
              <w:top w:val="single" w:sz="8" w:color="CEFFE7"/>
            </w:tcBorders>
          </w:tcPr>
          <w:p>
            <w:pPr>
              <w:spacing w:after="0"/>
              <w:rPr>
                <w:sz w:val="15"/>
                <w:szCs w:val="15"/>
                <w:color w:val="auto"/>
              </w:rPr>
            </w:pPr>
          </w:p>
        </w:tc>
        <w:tc>
          <w:tcPr>
            <w:tcW w:w="140" w:type="dxa"/>
            <w:vAlign w:val="bottom"/>
            <w:tcBorders>
              <w:top w:val="single" w:sz="8" w:color="0000FF"/>
            </w:tcBorders>
          </w:tcPr>
          <w:p>
            <w:pPr>
              <w:jc w:val="center"/>
              <w:spacing w:after="0" w:line="175" w:lineRule="exact"/>
              <w:rPr>
                <w:rFonts w:ascii="Arial" w:cs="Arial" w:eastAsia="Arial" w:hAnsi="Arial"/>
                <w:sz w:val="16"/>
                <w:szCs w:val="16"/>
                <w:color w:val="0000FF"/>
              </w:rPr>
            </w:pPr>
            <w:hyperlink w:anchor="page6">
              <w:r>
                <w:rPr>
                  <w:rFonts w:ascii="Arial" w:cs="Arial" w:eastAsia="Arial" w:hAnsi="Arial"/>
                  <w:sz w:val="16"/>
                  <w:szCs w:val="16"/>
                  <w:color w:val="0000FF"/>
                </w:rPr>
                <w:t>7</w:t>
              </w:r>
            </w:hyperlink>
          </w:p>
        </w:tc>
        <w:tc>
          <w:tcPr>
            <w:tcW w:w="660" w:type="dxa"/>
            <w:vAlign w:val="bottom"/>
            <w:tcBorders>
              <w:top w:val="single" w:sz="8" w:color="CEFFE7"/>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70"/>
        </w:trPr>
        <w:tc>
          <w:tcPr>
            <w:tcW w:w="2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1520" w:type="dxa"/>
            <w:vAlign w:val="bottom"/>
            <w:gridSpan w:val="2"/>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52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40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14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600" w:type="dxa"/>
            <w:vAlign w:val="bottom"/>
            <w:shd w:val="clear" w:color="auto" w:fill="CEFFE7"/>
          </w:tcPr>
          <w:p>
            <w:pPr>
              <w:spacing w:after="0"/>
              <w:rPr>
                <w:sz w:val="23"/>
                <w:szCs w:val="23"/>
                <w:color w:val="auto"/>
              </w:rPr>
            </w:pPr>
          </w:p>
        </w:tc>
        <w:tc>
          <w:tcPr>
            <w:tcW w:w="3520" w:type="dxa"/>
            <w:vAlign w:val="bottom"/>
            <w:shd w:val="clear" w:color="auto" w:fill="CEFFE7"/>
          </w:tcPr>
          <w:p>
            <w:pPr>
              <w:spacing w:after="0"/>
              <w:rPr>
                <w:sz w:val="23"/>
                <w:szCs w:val="23"/>
                <w:color w:val="auto"/>
              </w:rPr>
            </w:pPr>
          </w:p>
        </w:tc>
        <w:tc>
          <w:tcPr>
            <w:tcW w:w="700" w:type="dxa"/>
            <w:vAlign w:val="bottom"/>
            <w:tcBorders>
              <w:right w:val="single" w:sz="8" w:color="CEFFE7"/>
            </w:tcBorders>
            <w:shd w:val="clear" w:color="auto" w:fill="CEFFE7"/>
          </w:tcPr>
          <w:p>
            <w:pPr>
              <w:spacing w:after="0"/>
              <w:rPr>
                <w:sz w:val="23"/>
                <w:szCs w:val="23"/>
                <w:color w:val="auto"/>
              </w:rPr>
            </w:pPr>
          </w:p>
        </w:tc>
        <w:tc>
          <w:tcPr>
            <w:tcW w:w="140" w:type="dxa"/>
            <w:vAlign w:val="bottom"/>
            <w:tcBorders>
              <w:right w:val="single" w:sz="8" w:color="CEFFE7"/>
            </w:tcBorders>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r>
      <w:tr>
        <w:trPr>
          <w:trHeight w:val="176"/>
        </w:trPr>
        <w:tc>
          <w:tcPr>
            <w:tcW w:w="9700" w:type="dxa"/>
            <w:vAlign w:val="bottom"/>
            <w:gridSpan w:val="29"/>
          </w:tcPr>
          <w:p>
            <w:pPr>
              <w:ind w:left="20"/>
              <w:spacing w:after="0" w:line="175" w:lineRule="exact"/>
              <w:rPr>
                <w:rFonts w:ascii="Arial" w:cs="Arial" w:eastAsia="Arial" w:hAnsi="Arial"/>
                <w:sz w:val="16"/>
                <w:szCs w:val="16"/>
                <w:color w:val="0000FF"/>
              </w:rPr>
            </w:pPr>
            <w:hyperlink w:anchor="page7">
              <w:r>
                <w:rPr>
                  <w:rFonts w:ascii="Arial" w:cs="Arial" w:eastAsia="Arial" w:hAnsi="Arial"/>
                  <w:sz w:val="16"/>
                  <w:szCs w:val="16"/>
                  <w:color w:val="0000FF"/>
                </w:rPr>
                <w:t>PART I. FINANCIAL INFORMATION</w:t>
              </w:r>
            </w:hyperlink>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70"/>
        </w:trPr>
        <w:tc>
          <w:tcPr>
            <w:tcW w:w="2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140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52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40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14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600" w:type="dxa"/>
            <w:vAlign w:val="bottom"/>
            <w:shd w:val="clear" w:color="auto" w:fill="CEFFE7"/>
          </w:tcPr>
          <w:p>
            <w:pPr>
              <w:spacing w:after="0"/>
              <w:rPr>
                <w:sz w:val="23"/>
                <w:szCs w:val="23"/>
                <w:color w:val="auto"/>
              </w:rPr>
            </w:pPr>
          </w:p>
        </w:tc>
        <w:tc>
          <w:tcPr>
            <w:tcW w:w="3520" w:type="dxa"/>
            <w:vAlign w:val="bottom"/>
            <w:shd w:val="clear" w:color="auto" w:fill="CEFFE7"/>
          </w:tcPr>
          <w:p>
            <w:pPr>
              <w:spacing w:after="0"/>
              <w:rPr>
                <w:sz w:val="23"/>
                <w:szCs w:val="23"/>
                <w:color w:val="auto"/>
              </w:rPr>
            </w:pPr>
          </w:p>
        </w:tc>
        <w:tc>
          <w:tcPr>
            <w:tcW w:w="700" w:type="dxa"/>
            <w:vAlign w:val="bottom"/>
            <w:tcBorders>
              <w:right w:val="single" w:sz="8" w:color="CEFFE7"/>
            </w:tcBorders>
            <w:shd w:val="clear" w:color="auto" w:fill="CEFFE7"/>
          </w:tcPr>
          <w:p>
            <w:pPr>
              <w:spacing w:after="0"/>
              <w:rPr>
                <w:sz w:val="23"/>
                <w:szCs w:val="23"/>
                <w:color w:val="auto"/>
              </w:rPr>
            </w:pPr>
          </w:p>
        </w:tc>
        <w:tc>
          <w:tcPr>
            <w:tcW w:w="140" w:type="dxa"/>
            <w:vAlign w:val="bottom"/>
            <w:tcBorders>
              <w:right w:val="single" w:sz="8" w:color="CEFFE7"/>
            </w:tcBorders>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r>
      <w:tr>
        <w:trPr>
          <w:trHeight w:val="176"/>
        </w:trPr>
        <w:tc>
          <w:tcPr>
            <w:tcW w:w="1440" w:type="dxa"/>
            <w:vAlign w:val="bottom"/>
            <w:gridSpan w:val="3"/>
          </w:tcPr>
          <w:p>
            <w:pPr>
              <w:ind w:left="20"/>
              <w:spacing w:after="0" w:line="175" w:lineRule="exact"/>
              <w:rPr>
                <w:sz w:val="20"/>
                <w:szCs w:val="20"/>
                <w:color w:val="auto"/>
              </w:rPr>
            </w:pPr>
            <w:r>
              <w:rPr>
                <w:rFonts w:ascii="Arial" w:cs="Arial" w:eastAsia="Arial" w:hAnsi="Arial"/>
                <w:sz w:val="16"/>
                <w:szCs w:val="16"/>
                <w:color w:val="auto"/>
              </w:rPr>
              <w:t>Item 1.</w:t>
            </w:r>
          </w:p>
        </w:tc>
        <w:tc>
          <w:tcPr>
            <w:tcW w:w="8260" w:type="dxa"/>
            <w:vAlign w:val="bottom"/>
            <w:gridSpan w:val="26"/>
          </w:tcPr>
          <w:p>
            <w:pPr>
              <w:spacing w:after="0" w:line="175" w:lineRule="exact"/>
              <w:rPr>
                <w:rFonts w:ascii="Arial" w:cs="Arial" w:eastAsia="Arial" w:hAnsi="Arial"/>
                <w:sz w:val="16"/>
                <w:szCs w:val="16"/>
                <w:color w:val="0000FF"/>
              </w:rPr>
            </w:pPr>
            <w:hyperlink w:anchor="page8">
              <w:r>
                <w:rPr>
                  <w:rFonts w:ascii="Arial" w:cs="Arial" w:eastAsia="Arial" w:hAnsi="Arial"/>
                  <w:sz w:val="16"/>
                  <w:szCs w:val="16"/>
                  <w:color w:val="0000FF"/>
                </w:rPr>
                <w:t>Financial Statements - unaudited</w:t>
              </w:r>
            </w:hyperlink>
          </w:p>
        </w:tc>
        <w:tc>
          <w:tcPr>
            <w:tcW w:w="840" w:type="dxa"/>
            <w:vAlign w:val="bottom"/>
            <w:gridSpan w:val="2"/>
          </w:tcPr>
          <w:p>
            <w:pPr>
              <w:jc w:val="center"/>
              <w:ind w:left="579"/>
              <w:spacing w:after="0" w:line="175" w:lineRule="exact"/>
              <w:rPr>
                <w:rFonts w:ascii="Arial" w:cs="Arial" w:eastAsia="Arial" w:hAnsi="Arial"/>
                <w:sz w:val="16"/>
                <w:szCs w:val="16"/>
                <w:color w:val="0000FF"/>
              </w:rPr>
            </w:pPr>
            <w:hyperlink w:anchor="page8">
              <w:r>
                <w:rPr>
                  <w:rFonts w:ascii="Arial" w:cs="Arial" w:eastAsia="Arial" w:hAnsi="Arial"/>
                  <w:sz w:val="16"/>
                  <w:szCs w:val="16"/>
                  <w:color w:val="0000FF"/>
                </w:rPr>
                <w:t>8</w:t>
              </w:r>
            </w:hyperlink>
          </w:p>
        </w:tc>
        <w:tc>
          <w:tcPr>
            <w:tcW w:w="6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8260" w:type="dxa"/>
            <w:vAlign w:val="bottom"/>
            <w:gridSpan w:val="26"/>
            <w:shd w:val="clear" w:color="auto" w:fill="CEFFE7"/>
          </w:tcPr>
          <w:p>
            <w:pPr>
              <w:ind w:left="120"/>
              <w:spacing w:after="0" w:line="175" w:lineRule="exact"/>
              <w:rPr>
                <w:rFonts w:ascii="Arial" w:cs="Arial" w:eastAsia="Arial" w:hAnsi="Arial"/>
                <w:sz w:val="16"/>
                <w:szCs w:val="16"/>
                <w:color w:val="0000FF"/>
              </w:rPr>
            </w:pPr>
            <w:hyperlink w:anchor="page8">
              <w:r>
                <w:rPr>
                  <w:rFonts w:ascii="Arial" w:cs="Arial" w:eastAsia="Arial" w:hAnsi="Arial"/>
                  <w:sz w:val="16"/>
                  <w:szCs w:val="16"/>
                  <w:color w:val="0000FF"/>
                </w:rPr>
                <w:t>Condensed Consolidated Statements of Income</w:t>
              </w:r>
            </w:hyperlink>
          </w:p>
        </w:tc>
        <w:tc>
          <w:tcPr>
            <w:tcW w:w="840" w:type="dxa"/>
            <w:vAlign w:val="bottom"/>
            <w:tcBorders>
              <w:right w:val="single" w:sz="8" w:color="CEFFE7"/>
            </w:tcBorders>
            <w:gridSpan w:val="2"/>
            <w:shd w:val="clear" w:color="auto" w:fill="CEFFE7"/>
          </w:tcPr>
          <w:p>
            <w:pPr>
              <w:jc w:val="center"/>
              <w:ind w:left="579"/>
              <w:spacing w:after="0" w:line="175" w:lineRule="exact"/>
              <w:rPr>
                <w:rFonts w:ascii="Arial" w:cs="Arial" w:eastAsia="Arial" w:hAnsi="Arial"/>
                <w:sz w:val="16"/>
                <w:szCs w:val="16"/>
                <w:color w:val="0000FF"/>
              </w:rPr>
            </w:pPr>
            <w:hyperlink w:anchor="page8">
              <w:r>
                <w:rPr>
                  <w:rFonts w:ascii="Arial" w:cs="Arial" w:eastAsia="Arial" w:hAnsi="Arial"/>
                  <w:sz w:val="16"/>
                  <w:szCs w:val="16"/>
                  <w:color w:val="0000FF"/>
                </w:rPr>
                <w:t>8</w:t>
              </w:r>
            </w:hyperlink>
          </w:p>
        </w:tc>
        <w:tc>
          <w:tcPr>
            <w:tcW w:w="660" w:type="dxa"/>
            <w:vAlign w:val="bottom"/>
            <w:shd w:val="clear" w:color="auto" w:fill="CEFFE7"/>
          </w:tcPr>
          <w:p>
            <w:pPr>
              <w:spacing w:after="0"/>
              <w:rPr>
                <w:sz w:val="15"/>
                <w:szCs w:val="15"/>
                <w:color w:val="auto"/>
              </w:rPr>
            </w:pPr>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60" w:type="dxa"/>
            <w:vAlign w:val="bottom"/>
            <w:gridSpan w:val="26"/>
          </w:tcPr>
          <w:p>
            <w:pPr>
              <w:ind w:left="120"/>
              <w:spacing w:after="0" w:line="175" w:lineRule="exact"/>
              <w:rPr>
                <w:rFonts w:ascii="Arial" w:cs="Arial" w:eastAsia="Arial" w:hAnsi="Arial"/>
                <w:sz w:val="16"/>
                <w:szCs w:val="16"/>
                <w:color w:val="0000FF"/>
              </w:rPr>
            </w:pPr>
            <w:hyperlink w:anchor="page8">
              <w:r>
                <w:rPr>
                  <w:rFonts w:ascii="Arial" w:cs="Arial" w:eastAsia="Arial" w:hAnsi="Arial"/>
                  <w:sz w:val="16"/>
                  <w:szCs w:val="16"/>
                  <w:color w:val="0000FF"/>
                </w:rPr>
                <w:t>Condensed Consolidated Statements of Comprehensive Income</w:t>
              </w:r>
            </w:hyperlink>
          </w:p>
        </w:tc>
        <w:tc>
          <w:tcPr>
            <w:tcW w:w="840" w:type="dxa"/>
            <w:vAlign w:val="bottom"/>
            <w:gridSpan w:val="2"/>
          </w:tcPr>
          <w:p>
            <w:pPr>
              <w:jc w:val="center"/>
              <w:ind w:left="579"/>
              <w:spacing w:after="0" w:line="175" w:lineRule="exact"/>
              <w:rPr>
                <w:rFonts w:ascii="Arial" w:cs="Arial" w:eastAsia="Arial" w:hAnsi="Arial"/>
                <w:sz w:val="16"/>
                <w:szCs w:val="16"/>
                <w:color w:val="0000FF"/>
              </w:rPr>
            </w:pPr>
            <w:hyperlink w:anchor="page8">
              <w:r>
                <w:rPr>
                  <w:rFonts w:ascii="Arial" w:cs="Arial" w:eastAsia="Arial" w:hAnsi="Arial"/>
                  <w:sz w:val="16"/>
                  <w:szCs w:val="16"/>
                  <w:color w:val="0000FF"/>
                </w:rPr>
                <w:t>9</w:t>
              </w:r>
            </w:hyperlink>
          </w:p>
        </w:tc>
        <w:tc>
          <w:tcPr>
            <w:tcW w:w="6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8260" w:type="dxa"/>
            <w:vAlign w:val="bottom"/>
            <w:gridSpan w:val="26"/>
            <w:shd w:val="clear" w:color="auto" w:fill="CEFFE7"/>
          </w:tcPr>
          <w:p>
            <w:pPr>
              <w:ind w:left="120"/>
              <w:spacing w:after="0" w:line="175" w:lineRule="exact"/>
              <w:rPr>
                <w:rFonts w:ascii="Arial" w:cs="Arial" w:eastAsia="Arial" w:hAnsi="Arial"/>
                <w:sz w:val="16"/>
                <w:szCs w:val="16"/>
                <w:color w:val="0000FF"/>
              </w:rPr>
            </w:pPr>
            <w:hyperlink w:anchor="page9">
              <w:r>
                <w:rPr>
                  <w:rFonts w:ascii="Arial" w:cs="Arial" w:eastAsia="Arial" w:hAnsi="Arial"/>
                  <w:sz w:val="16"/>
                  <w:szCs w:val="16"/>
                  <w:color w:val="0000FF"/>
                </w:rPr>
                <w:t>Condensed Consolidated Balance Sheets</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9">
              <w:r>
                <w:rPr>
                  <w:rFonts w:ascii="Arial" w:cs="Arial" w:eastAsia="Arial" w:hAnsi="Arial"/>
                  <w:sz w:val="16"/>
                  <w:szCs w:val="16"/>
                  <w:color w:val="0000FF"/>
                </w:rPr>
                <w:t>10</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60" w:type="dxa"/>
            <w:vAlign w:val="bottom"/>
            <w:gridSpan w:val="26"/>
          </w:tcPr>
          <w:p>
            <w:pPr>
              <w:ind w:left="120"/>
              <w:spacing w:after="0" w:line="175" w:lineRule="exact"/>
              <w:rPr>
                <w:rFonts w:ascii="Arial" w:cs="Arial" w:eastAsia="Arial" w:hAnsi="Arial"/>
                <w:sz w:val="16"/>
                <w:szCs w:val="16"/>
                <w:color w:val="0000FF"/>
              </w:rPr>
            </w:pPr>
            <w:hyperlink w:anchor="page11">
              <w:r>
                <w:rPr>
                  <w:rFonts w:ascii="Arial" w:cs="Arial" w:eastAsia="Arial" w:hAnsi="Arial"/>
                  <w:sz w:val="16"/>
                  <w:szCs w:val="16"/>
                  <w:color w:val="0000FF"/>
                </w:rPr>
                <w:t>Condensed Consolidated Statements of Cash Flows</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11">
              <w:r>
                <w:rPr>
                  <w:rFonts w:ascii="Arial" w:cs="Arial" w:eastAsia="Arial" w:hAnsi="Arial"/>
                  <w:sz w:val="16"/>
                  <w:szCs w:val="16"/>
                  <w:color w:val="0000FF"/>
                </w:rPr>
                <w:t>12</w:t>
              </w:r>
            </w:hyperlink>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8260" w:type="dxa"/>
            <w:vAlign w:val="bottom"/>
            <w:gridSpan w:val="26"/>
            <w:shd w:val="clear" w:color="auto" w:fill="CEFFE7"/>
          </w:tcPr>
          <w:p>
            <w:pPr>
              <w:ind w:left="120"/>
              <w:spacing w:after="0" w:line="175" w:lineRule="exact"/>
              <w:rPr>
                <w:rFonts w:ascii="Arial" w:cs="Arial" w:eastAsia="Arial" w:hAnsi="Arial"/>
                <w:sz w:val="16"/>
                <w:szCs w:val="16"/>
                <w:color w:val="0000FF"/>
              </w:rPr>
            </w:pPr>
            <w:hyperlink w:anchor="page12">
              <w:r>
                <w:rPr>
                  <w:rFonts w:ascii="Arial" w:cs="Arial" w:eastAsia="Arial" w:hAnsi="Arial"/>
                  <w:sz w:val="16"/>
                  <w:szCs w:val="16"/>
                  <w:color w:val="0000FF"/>
                </w:rPr>
                <w:t>Condensed Consolidated Statements of Equity</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12">
              <w:r>
                <w:rPr>
                  <w:rFonts w:ascii="Arial" w:cs="Arial" w:eastAsia="Arial" w:hAnsi="Arial"/>
                  <w:sz w:val="16"/>
                  <w:szCs w:val="16"/>
                  <w:color w:val="0000FF"/>
                </w:rPr>
                <w:t>13</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60" w:type="dxa"/>
            <w:vAlign w:val="bottom"/>
            <w:gridSpan w:val="26"/>
          </w:tcPr>
          <w:p>
            <w:pPr>
              <w:ind w:left="120"/>
              <w:spacing w:after="0" w:line="175" w:lineRule="exact"/>
              <w:rPr>
                <w:rFonts w:ascii="Arial" w:cs="Arial" w:eastAsia="Arial" w:hAnsi="Arial"/>
                <w:sz w:val="16"/>
                <w:szCs w:val="16"/>
                <w:color w:val="0000FF"/>
              </w:rPr>
            </w:pPr>
            <w:hyperlink w:anchor="page13">
              <w:r>
                <w:rPr>
                  <w:rFonts w:ascii="Arial" w:cs="Arial" w:eastAsia="Arial" w:hAnsi="Arial"/>
                  <w:sz w:val="16"/>
                  <w:szCs w:val="16"/>
                  <w:color w:val="0000FF"/>
                </w:rPr>
                <w:t>Notes to Condensed Consolidated Financial Statements</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14">
              <w:r>
                <w:rPr>
                  <w:rFonts w:ascii="Arial" w:cs="Arial" w:eastAsia="Arial" w:hAnsi="Arial"/>
                  <w:sz w:val="16"/>
                  <w:szCs w:val="16"/>
                  <w:color w:val="0000FF"/>
                </w:rPr>
                <w:t>14</w:t>
              </w:r>
            </w:hyperlink>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8060" w:type="dxa"/>
            <w:vAlign w:val="bottom"/>
            <w:gridSpan w:val="24"/>
            <w:shd w:val="clear" w:color="auto" w:fill="CEFFE7"/>
          </w:tcPr>
          <w:p>
            <w:pPr>
              <w:spacing w:after="0" w:line="175" w:lineRule="exact"/>
              <w:rPr>
                <w:rFonts w:ascii="Arial" w:cs="Arial" w:eastAsia="Arial" w:hAnsi="Arial"/>
                <w:sz w:val="16"/>
                <w:szCs w:val="16"/>
                <w:color w:val="0000FF"/>
              </w:rPr>
            </w:pPr>
            <w:hyperlink w:anchor="page14">
              <w:r>
                <w:rPr>
                  <w:rFonts w:ascii="Arial" w:cs="Arial" w:eastAsia="Arial" w:hAnsi="Arial"/>
                  <w:sz w:val="16"/>
                  <w:szCs w:val="16"/>
                  <w:color w:val="0000FF"/>
                </w:rPr>
                <w:t>Note 1. Management’s Statement</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14">
              <w:r>
                <w:rPr>
                  <w:rFonts w:ascii="Arial" w:cs="Arial" w:eastAsia="Arial" w:hAnsi="Arial"/>
                  <w:sz w:val="16"/>
                  <w:szCs w:val="16"/>
                  <w:color w:val="0000FF"/>
                </w:rPr>
                <w:t>14</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gridSpan w:val="12"/>
          </w:tcPr>
          <w:p>
            <w:pPr>
              <w:spacing w:after="0" w:line="175" w:lineRule="exact"/>
              <w:rPr>
                <w:rFonts w:ascii="Arial" w:cs="Arial" w:eastAsia="Arial" w:hAnsi="Arial"/>
                <w:sz w:val="16"/>
                <w:szCs w:val="16"/>
                <w:color w:val="0000FF"/>
              </w:rPr>
            </w:pPr>
            <w:hyperlink w:anchor="page15">
              <w:r>
                <w:rPr>
                  <w:rFonts w:ascii="Arial" w:cs="Arial" w:eastAsia="Arial" w:hAnsi="Arial"/>
                  <w:sz w:val="16"/>
                  <w:szCs w:val="16"/>
                  <w:color w:val="0000FF"/>
                </w:rPr>
                <w:t>Note 2. Regulatory Matters</w:t>
              </w:r>
            </w:hyperlink>
          </w:p>
        </w:tc>
        <w:tc>
          <w:tcPr>
            <w:tcW w:w="5660" w:type="dxa"/>
            <w:vAlign w:val="bottom"/>
            <w:gridSpan w:val="12"/>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gridSpan w:val="2"/>
          </w:tcPr>
          <w:p>
            <w:pPr>
              <w:jc w:val="center"/>
              <w:ind w:right="660"/>
              <w:spacing w:after="0" w:line="175" w:lineRule="exact"/>
              <w:rPr>
                <w:rFonts w:ascii="Arial" w:cs="Arial" w:eastAsia="Arial" w:hAnsi="Arial"/>
                <w:sz w:val="16"/>
                <w:szCs w:val="16"/>
                <w:color w:val="0000FF"/>
                <w:w w:val="78"/>
              </w:rPr>
            </w:pPr>
            <w:hyperlink w:anchor="page15">
              <w:r>
                <w:rPr>
                  <w:rFonts w:ascii="Arial" w:cs="Arial" w:eastAsia="Arial" w:hAnsi="Arial"/>
                  <w:sz w:val="16"/>
                  <w:szCs w:val="16"/>
                  <w:color w:val="0000FF"/>
                  <w:w w:val="78"/>
                </w:rPr>
                <w:t>15</w:t>
              </w:r>
            </w:hyperlink>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8060" w:type="dxa"/>
            <w:vAlign w:val="bottom"/>
            <w:gridSpan w:val="24"/>
            <w:shd w:val="clear" w:color="auto" w:fill="CEFFE7"/>
          </w:tcPr>
          <w:p>
            <w:pPr>
              <w:spacing w:after="0" w:line="175" w:lineRule="exact"/>
              <w:rPr>
                <w:rFonts w:ascii="Arial" w:cs="Arial" w:eastAsia="Arial" w:hAnsi="Arial"/>
                <w:sz w:val="16"/>
                <w:szCs w:val="16"/>
                <w:color w:val="0000FF"/>
              </w:rPr>
            </w:pPr>
            <w:hyperlink w:anchor="page17">
              <w:r>
                <w:rPr>
                  <w:rFonts w:ascii="Arial" w:cs="Arial" w:eastAsia="Arial" w:hAnsi="Arial"/>
                  <w:sz w:val="16"/>
                  <w:szCs w:val="16"/>
                  <w:color w:val="0000FF"/>
                </w:rPr>
                <w:t>Note 3. Commitments, Contingencies and Guarantees</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17">
              <w:r>
                <w:rPr>
                  <w:rFonts w:ascii="Arial" w:cs="Arial" w:eastAsia="Arial" w:hAnsi="Arial"/>
                  <w:sz w:val="16"/>
                  <w:szCs w:val="16"/>
                  <w:color w:val="0000FF"/>
                </w:rPr>
                <w:t>17</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80" w:type="dxa"/>
            <w:vAlign w:val="bottom"/>
            <w:gridSpan w:val="21"/>
          </w:tcPr>
          <w:p>
            <w:pPr>
              <w:spacing w:after="0" w:line="175" w:lineRule="exact"/>
              <w:rPr>
                <w:rFonts w:ascii="Arial" w:cs="Arial" w:eastAsia="Arial" w:hAnsi="Arial"/>
                <w:sz w:val="16"/>
                <w:szCs w:val="16"/>
                <w:color w:val="0000FF"/>
              </w:rPr>
            </w:pPr>
            <w:hyperlink w:anchor="page17">
              <w:r>
                <w:rPr>
                  <w:rFonts w:ascii="Arial" w:cs="Arial" w:eastAsia="Arial" w:hAnsi="Arial"/>
                  <w:sz w:val="16"/>
                  <w:szCs w:val="16"/>
                  <w:color w:val="0000FF"/>
                </w:rPr>
                <w:t>Note 4. Revenue</w:t>
              </w:r>
            </w:hyperlink>
          </w:p>
        </w:tc>
        <w:tc>
          <w:tcPr>
            <w:tcW w:w="418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gridSpan w:val="2"/>
          </w:tcPr>
          <w:p>
            <w:pPr>
              <w:jc w:val="center"/>
              <w:ind w:right="660"/>
              <w:spacing w:after="0" w:line="175" w:lineRule="exact"/>
              <w:rPr>
                <w:rFonts w:ascii="Arial" w:cs="Arial" w:eastAsia="Arial" w:hAnsi="Arial"/>
                <w:sz w:val="16"/>
                <w:szCs w:val="16"/>
                <w:color w:val="0000FF"/>
                <w:w w:val="78"/>
              </w:rPr>
            </w:pPr>
            <w:hyperlink w:anchor="page17">
              <w:r>
                <w:rPr>
                  <w:rFonts w:ascii="Arial" w:cs="Arial" w:eastAsia="Arial" w:hAnsi="Arial"/>
                  <w:sz w:val="16"/>
                  <w:szCs w:val="16"/>
                  <w:color w:val="0000FF"/>
                  <w:w w:val="78"/>
                </w:rPr>
                <w:t>17</w:t>
              </w:r>
            </w:hyperlink>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8060" w:type="dxa"/>
            <w:vAlign w:val="bottom"/>
            <w:gridSpan w:val="24"/>
            <w:shd w:val="clear" w:color="auto" w:fill="CEFFE7"/>
          </w:tcPr>
          <w:p>
            <w:pPr>
              <w:spacing w:after="0" w:line="175" w:lineRule="exact"/>
              <w:rPr>
                <w:rFonts w:ascii="Arial" w:cs="Arial" w:eastAsia="Arial" w:hAnsi="Arial"/>
                <w:sz w:val="16"/>
                <w:szCs w:val="16"/>
                <w:color w:val="0000FF"/>
              </w:rPr>
            </w:pPr>
            <w:hyperlink w:anchor="page19">
              <w:r>
                <w:rPr>
                  <w:rFonts w:ascii="Arial" w:cs="Arial" w:eastAsia="Arial" w:hAnsi="Arial"/>
                  <w:sz w:val="16"/>
                  <w:szCs w:val="16"/>
                  <w:color w:val="0000FF"/>
                </w:rPr>
                <w:t>Note 5. Financing</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19">
              <w:r>
                <w:rPr>
                  <w:rFonts w:ascii="Arial" w:cs="Arial" w:eastAsia="Arial" w:hAnsi="Arial"/>
                  <w:sz w:val="16"/>
                  <w:szCs w:val="16"/>
                  <w:color w:val="0000FF"/>
                </w:rPr>
                <w:t>20</w:t>
              </w:r>
            </w:hyperlink>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CEFFE7"/>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60" w:type="dxa"/>
            <w:vAlign w:val="bottom"/>
            <w:gridSpan w:val="24"/>
          </w:tcPr>
          <w:p>
            <w:pPr>
              <w:spacing w:after="0" w:line="175" w:lineRule="exact"/>
              <w:rPr>
                <w:rFonts w:ascii="Arial" w:cs="Arial" w:eastAsia="Arial" w:hAnsi="Arial"/>
                <w:sz w:val="16"/>
                <w:szCs w:val="16"/>
                <w:color w:val="0000FF"/>
              </w:rPr>
            </w:pPr>
            <w:hyperlink w:anchor="page21">
              <w:r>
                <w:rPr>
                  <w:rFonts w:ascii="Arial" w:cs="Arial" w:eastAsia="Arial" w:hAnsi="Arial"/>
                  <w:sz w:val="16"/>
                  <w:szCs w:val="16"/>
                  <w:color w:val="0000FF"/>
                </w:rPr>
                <w:t>Note 6. Earnings Per Share</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21">
              <w:r>
                <w:rPr>
                  <w:rFonts w:ascii="Arial" w:cs="Arial" w:eastAsia="Arial" w:hAnsi="Arial"/>
                  <w:sz w:val="16"/>
                  <w:szCs w:val="16"/>
                  <w:color w:val="0000FF"/>
                </w:rPr>
                <w:t>21</w:t>
              </w:r>
            </w:hyperlink>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3040" w:type="dxa"/>
            <w:vAlign w:val="bottom"/>
            <w:gridSpan w:val="16"/>
            <w:shd w:val="clear" w:color="auto" w:fill="CEFFE7"/>
          </w:tcPr>
          <w:p>
            <w:pPr>
              <w:spacing w:after="0" w:line="175" w:lineRule="exact"/>
              <w:rPr>
                <w:rFonts w:ascii="Arial" w:cs="Arial" w:eastAsia="Arial" w:hAnsi="Arial"/>
                <w:sz w:val="16"/>
                <w:szCs w:val="16"/>
                <w:color w:val="0000FF"/>
              </w:rPr>
            </w:pPr>
            <w:hyperlink w:anchor="page21">
              <w:r>
                <w:rPr>
                  <w:rFonts w:ascii="Arial" w:cs="Arial" w:eastAsia="Arial" w:hAnsi="Arial"/>
                  <w:sz w:val="16"/>
                  <w:szCs w:val="16"/>
                  <w:color w:val="0000FF"/>
                </w:rPr>
                <w:t>Note 7. Risk Management and Derivatives</w:t>
              </w:r>
            </w:hyperlink>
          </w:p>
        </w:tc>
        <w:tc>
          <w:tcPr>
            <w:tcW w:w="5020" w:type="dxa"/>
            <w:vAlign w:val="bottom"/>
            <w:gridSpan w:val="8"/>
            <w:shd w:val="clear" w:color="auto" w:fill="CEFFE7"/>
          </w:tcPr>
          <w:p>
            <w:pPr>
              <w:spacing w:after="0"/>
              <w:rPr>
                <w:sz w:val="15"/>
                <w:szCs w:val="15"/>
                <w:color w:val="auto"/>
              </w:rPr>
            </w:pPr>
          </w:p>
        </w:tc>
        <w:tc>
          <w:tcPr>
            <w:tcW w:w="700" w:type="dxa"/>
            <w:vAlign w:val="bottom"/>
            <w:tcBorders>
              <w:right w:val="single" w:sz="8" w:color="CEFFE7"/>
            </w:tcBorders>
            <w:shd w:val="clear" w:color="auto" w:fill="CEFFE7"/>
          </w:tcPr>
          <w:p>
            <w:pPr>
              <w:spacing w:after="0"/>
              <w:rPr>
                <w:sz w:val="15"/>
                <w:szCs w:val="15"/>
                <w:color w:val="auto"/>
              </w:rPr>
            </w:pPr>
          </w:p>
        </w:tc>
        <w:tc>
          <w:tcPr>
            <w:tcW w:w="800" w:type="dxa"/>
            <w:vAlign w:val="bottom"/>
            <w:gridSpan w:val="2"/>
            <w:shd w:val="clear" w:color="auto" w:fill="CEFFE7"/>
          </w:tcPr>
          <w:p>
            <w:pPr>
              <w:jc w:val="center"/>
              <w:ind w:right="660"/>
              <w:spacing w:after="0" w:line="175" w:lineRule="exact"/>
              <w:rPr>
                <w:rFonts w:ascii="Arial" w:cs="Arial" w:eastAsia="Arial" w:hAnsi="Arial"/>
                <w:sz w:val="16"/>
                <w:szCs w:val="16"/>
                <w:color w:val="0000FF"/>
                <w:w w:val="78"/>
              </w:rPr>
            </w:pPr>
            <w:hyperlink w:anchor="page21">
              <w:r>
                <w:rPr>
                  <w:rFonts w:ascii="Arial" w:cs="Arial" w:eastAsia="Arial" w:hAnsi="Arial"/>
                  <w:sz w:val="16"/>
                  <w:szCs w:val="16"/>
                  <w:color w:val="0000FF"/>
                  <w:w w:val="78"/>
                </w:rPr>
                <w:t>21</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16"/>
          </w:tcPr>
          <w:p>
            <w:pPr>
              <w:spacing w:after="0" w:line="175" w:lineRule="exact"/>
              <w:rPr>
                <w:rFonts w:ascii="Arial" w:cs="Arial" w:eastAsia="Arial" w:hAnsi="Arial"/>
                <w:sz w:val="16"/>
                <w:szCs w:val="16"/>
                <w:color w:val="0000FF"/>
              </w:rPr>
            </w:pPr>
            <w:hyperlink w:anchor="page25">
              <w:r>
                <w:rPr>
                  <w:rFonts w:ascii="Arial" w:cs="Arial" w:eastAsia="Arial" w:hAnsi="Arial"/>
                  <w:sz w:val="16"/>
                  <w:szCs w:val="16"/>
                  <w:color w:val="0000FF"/>
                </w:rPr>
                <w:t>Note 8. Fair Value Measurements</w:t>
              </w:r>
            </w:hyperlink>
          </w:p>
        </w:tc>
        <w:tc>
          <w:tcPr>
            <w:tcW w:w="5020" w:type="dxa"/>
            <w:vAlign w:val="bottom"/>
            <w:gridSpan w:val="8"/>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gridSpan w:val="2"/>
          </w:tcPr>
          <w:p>
            <w:pPr>
              <w:jc w:val="center"/>
              <w:ind w:right="660"/>
              <w:spacing w:after="0" w:line="175" w:lineRule="exact"/>
              <w:rPr>
                <w:rFonts w:ascii="Arial" w:cs="Arial" w:eastAsia="Arial" w:hAnsi="Arial"/>
                <w:sz w:val="16"/>
                <w:szCs w:val="16"/>
                <w:color w:val="0000FF"/>
                <w:w w:val="78"/>
              </w:rPr>
            </w:pPr>
            <w:hyperlink w:anchor="page25">
              <w:r>
                <w:rPr>
                  <w:rFonts w:ascii="Arial" w:cs="Arial" w:eastAsia="Arial" w:hAnsi="Arial"/>
                  <w:sz w:val="16"/>
                  <w:szCs w:val="16"/>
                  <w:color w:val="0000FF"/>
                  <w:w w:val="78"/>
                </w:rPr>
                <w:t>25</w:t>
              </w:r>
            </w:hyperlink>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8060" w:type="dxa"/>
            <w:vAlign w:val="bottom"/>
            <w:gridSpan w:val="24"/>
            <w:shd w:val="clear" w:color="auto" w:fill="CEFFE7"/>
          </w:tcPr>
          <w:p>
            <w:pPr>
              <w:spacing w:after="0" w:line="175" w:lineRule="exact"/>
              <w:rPr>
                <w:rFonts w:ascii="Arial" w:cs="Arial" w:eastAsia="Arial" w:hAnsi="Arial"/>
                <w:sz w:val="16"/>
                <w:szCs w:val="16"/>
                <w:color w:val="0000FF"/>
              </w:rPr>
            </w:pPr>
            <w:hyperlink w:anchor="page26">
              <w:r>
                <w:rPr>
                  <w:rFonts w:ascii="Arial" w:cs="Arial" w:eastAsia="Arial" w:hAnsi="Arial"/>
                  <w:sz w:val="16"/>
                  <w:szCs w:val="16"/>
                  <w:color w:val="0000FF"/>
                </w:rPr>
                <w:t>Note 9. Other Comprehensive Income</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26">
              <w:r>
                <w:rPr>
                  <w:rFonts w:ascii="Arial" w:cs="Arial" w:eastAsia="Arial" w:hAnsi="Arial"/>
                  <w:sz w:val="16"/>
                  <w:szCs w:val="16"/>
                  <w:color w:val="0000FF"/>
                </w:rPr>
                <w:t>27</w:t>
              </w:r>
            </w:hyperlink>
          </w:p>
        </w:tc>
      </w:tr>
      <w:tr>
        <w:trPr>
          <w:trHeight w:val="21"/>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20" w:type="dxa"/>
            <w:vAlign w:val="bottom"/>
            <w:gridSpan w:val="13"/>
          </w:tcPr>
          <w:p>
            <w:pPr>
              <w:spacing w:after="0" w:line="175" w:lineRule="exact"/>
              <w:rPr>
                <w:rFonts w:ascii="Arial" w:cs="Arial" w:eastAsia="Arial" w:hAnsi="Arial"/>
                <w:sz w:val="16"/>
                <w:szCs w:val="16"/>
                <w:color w:val="0000FF"/>
              </w:rPr>
            </w:pPr>
            <w:hyperlink w:anchor="page28">
              <w:r>
                <w:rPr>
                  <w:rFonts w:ascii="Arial" w:cs="Arial" w:eastAsia="Arial" w:hAnsi="Arial"/>
                  <w:sz w:val="16"/>
                  <w:szCs w:val="16"/>
                  <w:color w:val="0000FF"/>
                </w:rPr>
                <w:t>Note 10. Employee Benefit Plans</w:t>
              </w:r>
            </w:hyperlink>
          </w:p>
        </w:tc>
        <w:tc>
          <w:tcPr>
            <w:tcW w:w="5340" w:type="dxa"/>
            <w:vAlign w:val="bottom"/>
            <w:gridSpan w:val="11"/>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gridSpan w:val="2"/>
          </w:tcPr>
          <w:p>
            <w:pPr>
              <w:jc w:val="center"/>
              <w:ind w:right="660"/>
              <w:spacing w:after="0" w:line="175" w:lineRule="exact"/>
              <w:rPr>
                <w:rFonts w:ascii="Arial" w:cs="Arial" w:eastAsia="Arial" w:hAnsi="Arial"/>
                <w:sz w:val="16"/>
                <w:szCs w:val="16"/>
                <w:color w:val="0000FF"/>
                <w:w w:val="78"/>
              </w:rPr>
            </w:pPr>
            <w:hyperlink w:anchor="page28">
              <w:r>
                <w:rPr>
                  <w:rFonts w:ascii="Arial" w:cs="Arial" w:eastAsia="Arial" w:hAnsi="Arial"/>
                  <w:sz w:val="16"/>
                  <w:szCs w:val="16"/>
                  <w:color w:val="0000FF"/>
                  <w:w w:val="78"/>
                </w:rPr>
                <w:t>28</w:t>
              </w:r>
            </w:hyperlink>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6"/>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1660" w:type="dxa"/>
            <w:vAlign w:val="bottom"/>
            <w:gridSpan w:val="6"/>
            <w:shd w:val="clear" w:color="auto" w:fill="CEFFE7"/>
          </w:tcPr>
          <w:p>
            <w:pPr>
              <w:spacing w:after="0" w:line="175" w:lineRule="exact"/>
              <w:rPr>
                <w:rFonts w:ascii="Arial" w:cs="Arial" w:eastAsia="Arial" w:hAnsi="Arial"/>
                <w:sz w:val="16"/>
                <w:szCs w:val="16"/>
                <w:color w:val="0000FF"/>
                <w:w w:val="99"/>
              </w:rPr>
            </w:pPr>
            <w:hyperlink w:anchor="page29">
              <w:r>
                <w:rPr>
                  <w:rFonts w:ascii="Arial" w:cs="Arial" w:eastAsia="Arial" w:hAnsi="Arial"/>
                  <w:sz w:val="16"/>
                  <w:szCs w:val="16"/>
                  <w:color w:val="0000FF"/>
                  <w:w w:val="99"/>
                </w:rPr>
                <w:t>Note 11. Income Taxes</w:t>
              </w:r>
            </w:hyperlink>
          </w:p>
        </w:tc>
        <w:tc>
          <w:tcPr>
            <w:tcW w:w="6400" w:type="dxa"/>
            <w:vAlign w:val="bottom"/>
            <w:gridSpan w:val="18"/>
            <w:shd w:val="clear" w:color="auto" w:fill="CEFFE7"/>
          </w:tcPr>
          <w:p>
            <w:pPr>
              <w:spacing w:after="0"/>
              <w:rPr>
                <w:sz w:val="15"/>
                <w:szCs w:val="15"/>
                <w:color w:val="auto"/>
              </w:rPr>
            </w:pPr>
          </w:p>
        </w:tc>
        <w:tc>
          <w:tcPr>
            <w:tcW w:w="700" w:type="dxa"/>
            <w:vAlign w:val="bottom"/>
            <w:tcBorders>
              <w:right w:val="single" w:sz="8" w:color="CEFFE7"/>
            </w:tcBorders>
            <w:shd w:val="clear" w:color="auto" w:fill="CEFFE7"/>
          </w:tcPr>
          <w:p>
            <w:pPr>
              <w:spacing w:after="0"/>
              <w:rPr>
                <w:sz w:val="15"/>
                <w:szCs w:val="15"/>
                <w:color w:val="auto"/>
              </w:rPr>
            </w:pPr>
          </w:p>
        </w:tc>
        <w:tc>
          <w:tcPr>
            <w:tcW w:w="800" w:type="dxa"/>
            <w:vAlign w:val="bottom"/>
            <w:gridSpan w:val="2"/>
            <w:shd w:val="clear" w:color="auto" w:fill="CEFFE7"/>
          </w:tcPr>
          <w:p>
            <w:pPr>
              <w:jc w:val="center"/>
              <w:ind w:right="660"/>
              <w:spacing w:after="0" w:line="175" w:lineRule="exact"/>
              <w:rPr>
                <w:rFonts w:ascii="Arial" w:cs="Arial" w:eastAsia="Arial" w:hAnsi="Arial"/>
                <w:sz w:val="16"/>
                <w:szCs w:val="16"/>
                <w:color w:val="0000FF"/>
                <w:w w:val="78"/>
              </w:rPr>
            </w:pPr>
            <w:hyperlink w:anchor="page29">
              <w:r>
                <w:rPr>
                  <w:rFonts w:ascii="Arial" w:cs="Arial" w:eastAsia="Arial" w:hAnsi="Arial"/>
                  <w:sz w:val="16"/>
                  <w:szCs w:val="16"/>
                  <w:color w:val="0000FF"/>
                  <w:w w:val="78"/>
                </w:rPr>
                <w:t>29</w:t>
              </w:r>
            </w:hyperlink>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60" w:type="dxa"/>
            <w:vAlign w:val="bottom"/>
            <w:gridSpan w:val="24"/>
          </w:tcPr>
          <w:p>
            <w:pPr>
              <w:spacing w:after="0" w:line="175" w:lineRule="exact"/>
              <w:rPr>
                <w:rFonts w:ascii="Arial" w:cs="Arial" w:eastAsia="Arial" w:hAnsi="Arial"/>
                <w:sz w:val="16"/>
                <w:szCs w:val="16"/>
                <w:color w:val="0000FF"/>
              </w:rPr>
            </w:pPr>
            <w:hyperlink w:anchor="page29">
              <w:r>
                <w:rPr>
                  <w:rFonts w:ascii="Arial" w:cs="Arial" w:eastAsia="Arial" w:hAnsi="Arial"/>
                  <w:sz w:val="16"/>
                  <w:szCs w:val="16"/>
                  <w:color w:val="0000FF"/>
                </w:rPr>
                <w:t>Note 12. Business Segment Information</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29">
              <w:r>
                <w:rPr>
                  <w:rFonts w:ascii="Arial" w:cs="Arial" w:eastAsia="Arial" w:hAnsi="Arial"/>
                  <w:sz w:val="16"/>
                  <w:szCs w:val="16"/>
                  <w:color w:val="0000FF"/>
                </w:rPr>
                <w:t>30</w:t>
              </w:r>
            </w:hyperlink>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20" w:type="dxa"/>
            <w:vAlign w:val="bottom"/>
            <w:shd w:val="clear" w:color="auto" w:fill="CEFFE7"/>
          </w:tcPr>
          <w:p>
            <w:pPr>
              <w:spacing w:after="0"/>
              <w:rPr>
                <w:sz w:val="15"/>
                <w:szCs w:val="15"/>
                <w:color w:val="auto"/>
              </w:rPr>
            </w:pPr>
          </w:p>
        </w:tc>
        <w:tc>
          <w:tcPr>
            <w:tcW w:w="20" w:type="dxa"/>
            <w:vAlign w:val="bottom"/>
            <w:shd w:val="clear" w:color="auto" w:fill="CEFFE7"/>
          </w:tcPr>
          <w:p>
            <w:pPr>
              <w:spacing w:after="0"/>
              <w:rPr>
                <w:sz w:val="15"/>
                <w:szCs w:val="15"/>
                <w:color w:val="auto"/>
              </w:rPr>
            </w:pPr>
          </w:p>
        </w:tc>
        <w:tc>
          <w:tcPr>
            <w:tcW w:w="14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80" w:type="dxa"/>
            <w:vAlign w:val="bottom"/>
            <w:shd w:val="clear" w:color="auto" w:fill="CEFFE7"/>
          </w:tcPr>
          <w:p>
            <w:pPr>
              <w:spacing w:after="0"/>
              <w:rPr>
                <w:sz w:val="15"/>
                <w:szCs w:val="15"/>
                <w:color w:val="auto"/>
              </w:rPr>
            </w:pPr>
          </w:p>
        </w:tc>
        <w:tc>
          <w:tcPr>
            <w:tcW w:w="8060" w:type="dxa"/>
            <w:vAlign w:val="bottom"/>
            <w:gridSpan w:val="24"/>
            <w:shd w:val="clear" w:color="auto" w:fill="CEFFE7"/>
          </w:tcPr>
          <w:p>
            <w:pPr>
              <w:spacing w:after="0" w:line="175" w:lineRule="exact"/>
              <w:rPr>
                <w:rFonts w:ascii="Arial" w:cs="Arial" w:eastAsia="Arial" w:hAnsi="Arial"/>
                <w:sz w:val="16"/>
                <w:szCs w:val="16"/>
                <w:color w:val="0000FF"/>
              </w:rPr>
            </w:pPr>
            <w:hyperlink w:anchor="page31">
              <w:r>
                <w:rPr>
                  <w:rFonts w:ascii="Arial" w:cs="Arial" w:eastAsia="Arial" w:hAnsi="Arial"/>
                  <w:sz w:val="16"/>
                  <w:szCs w:val="16"/>
                  <w:color w:val="0000FF"/>
                </w:rPr>
                <w:t>Note 13. Selected Balance Sheet Information</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31">
              <w:r>
                <w:rPr>
                  <w:rFonts w:ascii="Arial" w:cs="Arial" w:eastAsia="Arial" w:hAnsi="Arial"/>
                  <w:sz w:val="16"/>
                  <w:szCs w:val="16"/>
                  <w:color w:val="0000FF"/>
                </w:rPr>
                <w:t>32</w:t>
              </w:r>
            </w:hyperlink>
          </w:p>
        </w:tc>
      </w:tr>
      <w:tr>
        <w:trPr>
          <w:trHeight w:val="20"/>
        </w:trPr>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14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400" w:type="dxa"/>
            <w:vAlign w:val="bottom"/>
            <w:tcBorders>
              <w:top w:val="single" w:sz="8" w:color="0000FF"/>
            </w:tcBorders>
            <w:shd w:val="clear" w:color="auto" w:fill="CEFFE7"/>
          </w:tcPr>
          <w:p>
            <w:pPr>
              <w:spacing w:after="0" w:line="20" w:lineRule="exact"/>
              <w:rPr>
                <w:sz w:val="1"/>
                <w:szCs w:val="1"/>
                <w:color w:val="auto"/>
              </w:rPr>
            </w:pPr>
          </w:p>
        </w:tc>
        <w:tc>
          <w:tcPr>
            <w:tcW w:w="2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20" w:type="dxa"/>
            <w:vAlign w:val="bottom"/>
            <w:tcBorders>
              <w:top w:val="single" w:sz="8" w:color="0000FF"/>
            </w:tcBorders>
            <w:shd w:val="clear" w:color="auto" w:fill="CEFFE7"/>
          </w:tcPr>
          <w:p>
            <w:pPr>
              <w:spacing w:after="0" w:line="20" w:lineRule="exact"/>
              <w:rPr>
                <w:sz w:val="1"/>
                <w:szCs w:val="1"/>
                <w:color w:val="auto"/>
              </w:rPr>
            </w:pPr>
          </w:p>
        </w:tc>
        <w:tc>
          <w:tcPr>
            <w:tcW w:w="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3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0" w:type="dxa"/>
            <w:vAlign w:val="bottom"/>
            <w:tcBorders>
              <w:top w:val="single" w:sz="8" w:color="CEFFE7"/>
            </w:tcBorders>
            <w:shd w:val="clear" w:color="auto" w:fill="CEFFE7"/>
          </w:tcPr>
          <w:p>
            <w:pPr>
              <w:spacing w:after="0" w:line="20" w:lineRule="exact"/>
              <w:rPr>
                <w:sz w:val="1"/>
                <w:szCs w:val="1"/>
                <w:color w:val="auto"/>
              </w:rPr>
            </w:pPr>
          </w:p>
        </w:tc>
        <w:tc>
          <w:tcPr>
            <w:tcW w:w="3520" w:type="dxa"/>
            <w:vAlign w:val="bottom"/>
            <w:tcBorders>
              <w:top w:val="single" w:sz="8" w:color="CEFFE7"/>
            </w:tcBorders>
            <w:shd w:val="clear" w:color="auto" w:fill="CEFFE7"/>
          </w:tcPr>
          <w:p>
            <w:pPr>
              <w:spacing w:after="0" w:line="20" w:lineRule="exact"/>
              <w:rPr>
                <w:sz w:val="1"/>
                <w:szCs w:val="1"/>
                <w:color w:val="auto"/>
              </w:rPr>
            </w:pPr>
          </w:p>
        </w:tc>
        <w:tc>
          <w:tcPr>
            <w:tcW w:w="700" w:type="dxa"/>
            <w:vAlign w:val="bottom"/>
            <w:tcBorders>
              <w:top w:val="single" w:sz="8" w:color="CEFFE7"/>
              <w:right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0000FF"/>
              <w:right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gridSpan w:val="17"/>
          </w:tcPr>
          <w:p>
            <w:pPr>
              <w:spacing w:after="0" w:line="175" w:lineRule="exact"/>
              <w:rPr>
                <w:rFonts w:ascii="Arial" w:cs="Arial" w:eastAsia="Arial" w:hAnsi="Arial"/>
                <w:sz w:val="16"/>
                <w:szCs w:val="16"/>
                <w:color w:val="0000FF"/>
              </w:rPr>
            </w:pPr>
            <w:hyperlink w:anchor="page32">
              <w:r>
                <w:rPr>
                  <w:rFonts w:ascii="Arial" w:cs="Arial" w:eastAsia="Arial" w:hAnsi="Arial"/>
                  <w:sz w:val="16"/>
                  <w:szCs w:val="16"/>
                  <w:color w:val="0000FF"/>
                </w:rPr>
                <w:t>Note 14. Subsequent Events</w:t>
              </w:r>
            </w:hyperlink>
          </w:p>
        </w:tc>
        <w:tc>
          <w:tcPr>
            <w:tcW w:w="4820" w:type="dxa"/>
            <w:vAlign w:val="bottom"/>
            <w:gridSpan w:val="7"/>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gridSpan w:val="2"/>
          </w:tcPr>
          <w:p>
            <w:pPr>
              <w:jc w:val="center"/>
              <w:ind w:right="660"/>
              <w:spacing w:after="0" w:line="175" w:lineRule="exact"/>
              <w:rPr>
                <w:rFonts w:ascii="Arial" w:cs="Arial" w:eastAsia="Arial" w:hAnsi="Arial"/>
                <w:sz w:val="16"/>
                <w:szCs w:val="16"/>
                <w:color w:val="0000FF"/>
                <w:w w:val="78"/>
              </w:rPr>
            </w:pPr>
            <w:hyperlink w:anchor="page32">
              <w:r>
                <w:rPr>
                  <w:rFonts w:ascii="Arial" w:cs="Arial" w:eastAsia="Arial" w:hAnsi="Arial"/>
                  <w:sz w:val="16"/>
                  <w:szCs w:val="16"/>
                  <w:color w:val="0000FF"/>
                  <w:w w:val="78"/>
                </w:rPr>
                <w:t>32</w:t>
              </w:r>
            </w:hyperlink>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1460" w:type="dxa"/>
            <w:vAlign w:val="bottom"/>
            <w:gridSpan w:val="4"/>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9"/>
        </w:trPr>
        <w:tc>
          <w:tcPr>
            <w:tcW w:w="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0" w:type="dxa"/>
            <w:vAlign w:val="bottom"/>
            <w:gridSpan w:val="6"/>
          </w:tcPr>
          <w:p>
            <w:pPr>
              <w:ind w:left="240"/>
              <w:spacing w:after="0"/>
              <w:rPr>
                <w:sz w:val="20"/>
                <w:szCs w:val="20"/>
                <w:color w:val="auto"/>
              </w:rPr>
            </w:pPr>
            <w:r>
              <w:rPr>
                <w:rFonts w:ascii="Arial" w:cs="Arial" w:eastAsia="Arial" w:hAnsi="Arial"/>
                <w:sz w:val="16"/>
                <w:szCs w:val="16"/>
                <w:b w:val="1"/>
                <w:bCs w:val="1"/>
                <w:color w:val="auto"/>
              </w:rPr>
              <w:t>TABLE OF CONTENTS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gridSpan w:val="4"/>
          </w:tcPr>
          <w:p>
            <w:pPr>
              <w:jc w:val="center"/>
              <w:ind w:right="2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172"/>
        </w:trPr>
        <w:tc>
          <w:tcPr>
            <w:tcW w:w="40" w:type="dxa"/>
            <w:vAlign w:val="bottom"/>
            <w:tcBorders>
              <w:right w:val="single" w:sz="8" w:color="CEFFE7"/>
            </w:tcBorders>
          </w:tcPr>
          <w:p>
            <w:pPr>
              <w:spacing w:after="0"/>
              <w:rPr>
                <w:sz w:val="14"/>
                <w:szCs w:val="14"/>
                <w:color w:val="auto"/>
              </w:rPr>
            </w:pPr>
          </w:p>
        </w:tc>
        <w:tc>
          <w:tcPr>
            <w:tcW w:w="1420" w:type="dxa"/>
            <w:vAlign w:val="bottom"/>
            <w:tcBorders>
              <w:top w:val="single" w:sz="8" w:color="CEFFE7"/>
            </w:tcBorders>
            <w:gridSpan w:val="3"/>
            <w:shd w:val="clear" w:color="auto" w:fill="CEFFE7"/>
          </w:tcPr>
          <w:p>
            <w:pPr>
              <w:spacing w:after="0" w:line="172" w:lineRule="exact"/>
              <w:rPr>
                <w:sz w:val="20"/>
                <w:szCs w:val="20"/>
                <w:color w:val="auto"/>
              </w:rPr>
            </w:pPr>
            <w:r>
              <w:rPr>
                <w:rFonts w:ascii="Arial" w:cs="Arial" w:eastAsia="Arial" w:hAnsi="Arial"/>
                <w:sz w:val="16"/>
                <w:szCs w:val="16"/>
                <w:color w:val="auto"/>
              </w:rPr>
              <w:t>Item 2.</w:t>
            </w:r>
          </w:p>
        </w:tc>
        <w:tc>
          <w:tcPr>
            <w:tcW w:w="8260" w:type="dxa"/>
            <w:vAlign w:val="bottom"/>
            <w:tcBorders>
              <w:top w:val="single" w:sz="8" w:color="CEFFE7"/>
            </w:tcBorders>
            <w:gridSpan w:val="30"/>
            <w:shd w:val="clear" w:color="auto" w:fill="CEFFE7"/>
          </w:tcPr>
          <w:p>
            <w:pPr>
              <w:spacing w:after="0" w:line="172" w:lineRule="exact"/>
              <w:rPr>
                <w:rFonts w:ascii="Arial" w:cs="Arial" w:eastAsia="Arial" w:hAnsi="Arial"/>
                <w:sz w:val="16"/>
                <w:szCs w:val="16"/>
                <w:color w:val="0000FF"/>
              </w:rPr>
            </w:pPr>
            <w:hyperlink w:anchor="page32">
              <w:r>
                <w:rPr>
                  <w:rFonts w:ascii="Arial" w:cs="Arial" w:eastAsia="Arial" w:hAnsi="Arial"/>
                  <w:sz w:val="16"/>
                  <w:szCs w:val="16"/>
                  <w:color w:val="0000FF"/>
                </w:rPr>
                <w:t>Management’s Discussion and Analysis of Financial Condition and Results of Operations</w:t>
              </w:r>
            </w:hyperlink>
          </w:p>
        </w:tc>
        <w:tc>
          <w:tcPr>
            <w:tcW w:w="1500" w:type="dxa"/>
            <w:vAlign w:val="bottom"/>
            <w:tcBorders>
              <w:top w:val="single" w:sz="8" w:color="auto"/>
            </w:tcBorders>
            <w:gridSpan w:val="3"/>
            <w:shd w:val="clear" w:color="auto" w:fill="CEFFE7"/>
          </w:tcPr>
          <w:p>
            <w:pPr>
              <w:jc w:val="center"/>
              <w:spacing w:after="0" w:line="172" w:lineRule="exact"/>
              <w:rPr>
                <w:rFonts w:ascii="Arial" w:cs="Arial" w:eastAsia="Arial" w:hAnsi="Arial"/>
                <w:sz w:val="16"/>
                <w:szCs w:val="16"/>
                <w:color w:val="0000FF"/>
              </w:rPr>
            </w:pPr>
            <w:hyperlink w:anchor="page32">
              <w:r>
                <w:rPr>
                  <w:rFonts w:ascii="Arial" w:cs="Arial" w:eastAsia="Arial" w:hAnsi="Arial"/>
                  <w:sz w:val="16"/>
                  <w:szCs w:val="16"/>
                  <w:color w:val="0000FF"/>
                </w:rPr>
                <w:t>33</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500" w:type="dxa"/>
            <w:vAlign w:val="bottom"/>
            <w:tcBorders>
              <w:top w:val="single" w:sz="8" w:color="0000FF"/>
            </w:tcBorders>
            <w:shd w:val="clear" w:color="auto" w:fill="CEFFE7"/>
          </w:tcPr>
          <w:p>
            <w:pPr>
              <w:spacing w:after="0" w:line="20" w:lineRule="exact"/>
              <w:rPr>
                <w:sz w:val="1"/>
                <w:szCs w:val="1"/>
                <w:color w:val="auto"/>
              </w:rPr>
            </w:pPr>
          </w:p>
        </w:tc>
        <w:tc>
          <w:tcPr>
            <w:tcW w:w="11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2000" w:type="dxa"/>
            <w:vAlign w:val="bottom"/>
            <w:tcBorders>
              <w:top w:val="single" w:sz="8" w:color="0000FF"/>
            </w:tcBorders>
            <w:shd w:val="clear" w:color="auto" w:fill="CEFFE7"/>
          </w:tcPr>
          <w:p>
            <w:pPr>
              <w:spacing w:after="0" w:line="20" w:lineRule="exact"/>
              <w:rPr>
                <w:sz w:val="1"/>
                <w:szCs w:val="1"/>
                <w:color w:val="auto"/>
              </w:rPr>
            </w:pPr>
          </w:p>
        </w:tc>
        <w:tc>
          <w:tcPr>
            <w:tcW w:w="1120" w:type="dxa"/>
            <w:vAlign w:val="bottom"/>
            <w:tcBorders>
              <w:top w:val="single" w:sz="8" w:color="CEFFE7"/>
            </w:tcBorders>
            <w:shd w:val="clear" w:color="auto" w:fill="CEFFE7"/>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360" w:type="dxa"/>
            <w:vAlign w:val="bottom"/>
            <w:gridSpan w:val="28"/>
          </w:tcPr>
          <w:p>
            <w:pPr>
              <w:ind w:left="120"/>
              <w:spacing w:after="0" w:line="175" w:lineRule="exact"/>
              <w:rPr>
                <w:rFonts w:ascii="Arial" w:cs="Arial" w:eastAsia="Arial" w:hAnsi="Arial"/>
                <w:sz w:val="16"/>
                <w:szCs w:val="16"/>
                <w:color w:val="0000FF"/>
              </w:rPr>
            </w:pPr>
            <w:hyperlink w:anchor="page33">
              <w:r>
                <w:rPr>
                  <w:rFonts w:ascii="Arial" w:cs="Arial" w:eastAsia="Arial" w:hAnsi="Arial"/>
                  <w:sz w:val="16"/>
                  <w:szCs w:val="16"/>
                  <w:color w:val="0000FF"/>
                </w:rPr>
                <w:t>Executive Summary</w:t>
              </w:r>
            </w:hyperlink>
          </w:p>
        </w:tc>
        <w:tc>
          <w:tcPr>
            <w:tcW w:w="190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8260" w:type="dxa"/>
            <w:vAlign w:val="bottom"/>
            <w:gridSpan w:val="30"/>
            <w:shd w:val="clear" w:color="auto" w:fill="CEFFE7"/>
          </w:tcPr>
          <w:p>
            <w:pPr>
              <w:ind w:left="120"/>
              <w:spacing w:after="0" w:line="175" w:lineRule="exact"/>
              <w:rPr>
                <w:rFonts w:ascii="Arial" w:cs="Arial" w:eastAsia="Arial" w:hAnsi="Arial"/>
                <w:sz w:val="16"/>
                <w:szCs w:val="16"/>
                <w:color w:val="0000FF"/>
              </w:rPr>
            </w:pPr>
            <w:hyperlink w:anchor="page33">
              <w:r>
                <w:rPr>
                  <w:rFonts w:ascii="Arial" w:cs="Arial" w:eastAsia="Arial" w:hAnsi="Arial"/>
                  <w:sz w:val="16"/>
                  <w:szCs w:val="16"/>
                  <w:color w:val="0000FF"/>
                </w:rPr>
                <w:t>Recent Developments</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00" w:type="dxa"/>
            <w:vAlign w:val="bottom"/>
            <w:tcBorders>
              <w:top w:val="single" w:sz="8" w:color="CEFFE7"/>
            </w:tcBorders>
            <w:shd w:val="clear" w:color="auto" w:fill="CEFFE7"/>
          </w:tcPr>
          <w:p>
            <w:pPr>
              <w:spacing w:after="0" w:line="20" w:lineRule="exact"/>
              <w:rPr>
                <w:sz w:val="1"/>
                <w:szCs w:val="1"/>
                <w:color w:val="auto"/>
              </w:rPr>
            </w:pPr>
          </w:p>
        </w:tc>
        <w:tc>
          <w:tcPr>
            <w:tcW w:w="1120" w:type="dxa"/>
            <w:vAlign w:val="bottom"/>
            <w:tcBorders>
              <w:top w:val="single" w:sz="8" w:color="CEFFE7"/>
            </w:tcBorders>
            <w:shd w:val="clear" w:color="auto" w:fill="CEFFE7"/>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60" w:type="dxa"/>
            <w:vAlign w:val="bottom"/>
            <w:gridSpan w:val="30"/>
          </w:tcPr>
          <w:p>
            <w:pPr>
              <w:ind w:left="120"/>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Results of Operations</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940" w:type="dxa"/>
            <w:vAlign w:val="bottom"/>
            <w:gridSpan w:val="28"/>
            <w:shd w:val="clear" w:color="auto" w:fill="CEFFE7"/>
          </w:tcPr>
          <w:p>
            <w:pPr>
              <w:ind w:left="20"/>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Consolidated Summary and Overview</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500" w:type="dxa"/>
            <w:vAlign w:val="bottom"/>
            <w:tcBorders>
              <w:top w:val="single" w:sz="8" w:color="0000FF"/>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00" w:type="dxa"/>
            <w:vAlign w:val="bottom"/>
            <w:tcBorders>
              <w:top w:val="single" w:sz="8" w:color="CEFFE7"/>
            </w:tcBorders>
            <w:shd w:val="clear" w:color="auto" w:fill="CEFFE7"/>
          </w:tcPr>
          <w:p>
            <w:pPr>
              <w:spacing w:after="0" w:line="20" w:lineRule="exact"/>
              <w:rPr>
                <w:sz w:val="1"/>
                <w:szCs w:val="1"/>
                <w:color w:val="auto"/>
              </w:rPr>
            </w:pPr>
          </w:p>
        </w:tc>
        <w:tc>
          <w:tcPr>
            <w:tcW w:w="1120" w:type="dxa"/>
            <w:vAlign w:val="bottom"/>
            <w:tcBorders>
              <w:top w:val="single" w:sz="8" w:color="CEFFE7"/>
            </w:tcBorders>
            <w:shd w:val="clear" w:color="auto" w:fill="CEFFE7"/>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40" w:type="dxa"/>
            <w:vAlign w:val="bottom"/>
            <w:gridSpan w:val="28"/>
          </w:tcPr>
          <w:p>
            <w:pPr>
              <w:ind w:left="20"/>
              <w:spacing w:after="0" w:line="175" w:lineRule="exact"/>
              <w:rPr>
                <w:rFonts w:ascii="Arial" w:cs="Arial" w:eastAsia="Arial" w:hAnsi="Arial"/>
                <w:sz w:val="16"/>
                <w:szCs w:val="16"/>
                <w:color w:val="0000FF"/>
              </w:rPr>
            </w:pPr>
            <w:hyperlink w:anchor="page35">
              <w:r>
                <w:rPr>
                  <w:rFonts w:ascii="Arial" w:cs="Arial" w:eastAsia="Arial" w:hAnsi="Arial"/>
                  <w:sz w:val="16"/>
                  <w:szCs w:val="16"/>
                  <w:color w:val="0000FF"/>
                </w:rPr>
                <w:t>Non-GAAP Financial Measure</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35">
              <w:r>
                <w:rPr>
                  <w:rFonts w:ascii="Arial" w:cs="Arial" w:eastAsia="Arial" w:hAnsi="Arial"/>
                  <w:sz w:val="16"/>
                  <w:szCs w:val="16"/>
                  <w:color w:val="0000FF"/>
                </w:rPr>
                <w:t>35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1100" w:type="dxa"/>
            <w:vAlign w:val="bottom"/>
            <w:gridSpan w:val="9"/>
            <w:shd w:val="clear" w:color="auto" w:fill="CEFFE7"/>
          </w:tcPr>
          <w:p>
            <w:pPr>
              <w:spacing w:after="0" w:line="175" w:lineRule="exact"/>
              <w:rPr>
                <w:rFonts w:ascii="Arial" w:cs="Arial" w:eastAsia="Arial" w:hAnsi="Arial"/>
                <w:sz w:val="16"/>
                <w:szCs w:val="16"/>
                <w:color w:val="0000FF"/>
                <w:w w:val="99"/>
              </w:rPr>
            </w:pPr>
            <w:hyperlink w:anchor="page35">
              <w:r>
                <w:rPr>
                  <w:rFonts w:ascii="Arial" w:cs="Arial" w:eastAsia="Arial" w:hAnsi="Arial"/>
                  <w:sz w:val="16"/>
                  <w:szCs w:val="16"/>
                  <w:color w:val="0000FF"/>
                  <w:w w:val="99"/>
                </w:rPr>
                <w:t>Electric Utilities</w:t>
              </w:r>
            </w:hyperlink>
          </w:p>
        </w:tc>
        <w:tc>
          <w:tcPr>
            <w:tcW w:w="6840" w:type="dxa"/>
            <w:vAlign w:val="bottom"/>
            <w:gridSpan w:val="19"/>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840" w:type="dxa"/>
            <w:vAlign w:val="bottom"/>
            <w:gridSpan w:val="2"/>
            <w:shd w:val="clear" w:color="auto" w:fill="CEFFE7"/>
          </w:tcPr>
          <w:p>
            <w:pPr>
              <w:jc w:val="center"/>
              <w:ind w:right="660"/>
              <w:spacing w:after="0" w:line="175" w:lineRule="exact"/>
              <w:rPr>
                <w:rFonts w:ascii="Arial" w:cs="Arial" w:eastAsia="Arial" w:hAnsi="Arial"/>
                <w:sz w:val="16"/>
                <w:szCs w:val="16"/>
                <w:color w:val="0000FF"/>
              </w:rPr>
            </w:pPr>
            <w:hyperlink w:anchor="page35">
              <w:r>
                <w:rPr>
                  <w:rFonts w:ascii="Arial" w:cs="Arial" w:eastAsia="Arial" w:hAnsi="Arial"/>
                  <w:sz w:val="16"/>
                  <w:szCs w:val="16"/>
                  <w:color w:val="0000FF"/>
                </w:rPr>
                <w:t>36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00" w:type="dxa"/>
            <w:vAlign w:val="bottom"/>
            <w:tcBorders>
              <w:top w:val="single" w:sz="8" w:color="CEFFE7"/>
            </w:tcBorders>
            <w:shd w:val="clear" w:color="auto" w:fill="CEFFE7"/>
          </w:tcPr>
          <w:p>
            <w:pPr>
              <w:spacing w:after="0" w:line="20" w:lineRule="exact"/>
              <w:rPr>
                <w:sz w:val="1"/>
                <w:szCs w:val="1"/>
                <w:color w:val="auto"/>
              </w:rPr>
            </w:pPr>
          </w:p>
        </w:tc>
        <w:tc>
          <w:tcPr>
            <w:tcW w:w="1120" w:type="dxa"/>
            <w:vAlign w:val="bottom"/>
            <w:tcBorders>
              <w:top w:val="single" w:sz="8" w:color="CEFFE7"/>
            </w:tcBorders>
            <w:shd w:val="clear" w:color="auto" w:fill="CEFFE7"/>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9"/>
          </w:tcPr>
          <w:p>
            <w:pPr>
              <w:spacing w:after="0" w:line="175" w:lineRule="exact"/>
              <w:rPr>
                <w:rFonts w:ascii="Arial" w:cs="Arial" w:eastAsia="Arial" w:hAnsi="Arial"/>
                <w:sz w:val="16"/>
                <w:szCs w:val="16"/>
                <w:color w:val="0000FF"/>
              </w:rPr>
            </w:pPr>
            <w:hyperlink w:anchor="page39">
              <w:r>
                <w:rPr>
                  <w:rFonts w:ascii="Arial" w:cs="Arial" w:eastAsia="Arial" w:hAnsi="Arial"/>
                  <w:sz w:val="16"/>
                  <w:szCs w:val="16"/>
                  <w:color w:val="0000FF"/>
                </w:rPr>
                <w:t>Gas Utilities</w:t>
              </w:r>
            </w:hyperlink>
          </w:p>
        </w:tc>
        <w:tc>
          <w:tcPr>
            <w:tcW w:w="6840" w:type="dxa"/>
            <w:vAlign w:val="bottom"/>
            <w:gridSpan w:val="19"/>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rFonts w:ascii="Arial" w:cs="Arial" w:eastAsia="Arial" w:hAnsi="Arial"/>
                <w:sz w:val="16"/>
                <w:szCs w:val="16"/>
                <w:color w:val="0000FF"/>
              </w:rPr>
            </w:pPr>
            <w:hyperlink w:anchor="page39">
              <w:r>
                <w:rPr>
                  <w:rFonts w:ascii="Arial" w:cs="Arial" w:eastAsia="Arial" w:hAnsi="Arial"/>
                  <w:sz w:val="16"/>
                  <w:szCs w:val="16"/>
                  <w:color w:val="0000FF"/>
                </w:rPr>
                <w:t>40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940" w:type="dxa"/>
            <w:vAlign w:val="bottom"/>
            <w:gridSpan w:val="28"/>
            <w:shd w:val="clear" w:color="auto" w:fill="CEFFE7"/>
          </w:tcPr>
          <w:p>
            <w:pPr>
              <w:spacing w:after="0" w:line="175" w:lineRule="exact"/>
              <w:rPr>
                <w:rFonts w:ascii="Arial" w:cs="Arial" w:eastAsia="Arial" w:hAnsi="Arial"/>
                <w:sz w:val="16"/>
                <w:szCs w:val="16"/>
                <w:color w:val="0000FF"/>
              </w:rPr>
            </w:pPr>
            <w:hyperlink w:anchor="page43">
              <w:r>
                <w:rPr>
                  <w:rFonts w:ascii="Arial" w:cs="Arial" w:eastAsia="Arial" w:hAnsi="Arial"/>
                  <w:sz w:val="16"/>
                  <w:szCs w:val="16"/>
                  <w:color w:val="0000FF"/>
                </w:rPr>
                <w:t>Regulatory Matters</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43">
              <w:r>
                <w:rPr>
                  <w:rFonts w:ascii="Arial" w:cs="Arial" w:eastAsia="Arial" w:hAnsi="Arial"/>
                  <w:sz w:val="16"/>
                  <w:szCs w:val="16"/>
                  <w:color w:val="0000FF"/>
                </w:rPr>
                <w:t>43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00" w:type="dxa"/>
            <w:vAlign w:val="bottom"/>
            <w:tcBorders>
              <w:top w:val="single" w:sz="8" w:color="CEFFE7"/>
            </w:tcBorders>
            <w:shd w:val="clear" w:color="auto" w:fill="CEFFE7"/>
          </w:tcPr>
          <w:p>
            <w:pPr>
              <w:spacing w:after="0" w:line="20" w:lineRule="exact"/>
              <w:rPr>
                <w:sz w:val="1"/>
                <w:szCs w:val="1"/>
                <w:color w:val="auto"/>
              </w:rPr>
            </w:pPr>
          </w:p>
        </w:tc>
        <w:tc>
          <w:tcPr>
            <w:tcW w:w="1120" w:type="dxa"/>
            <w:vAlign w:val="bottom"/>
            <w:tcBorders>
              <w:top w:val="single" w:sz="8" w:color="CEFFE7"/>
            </w:tcBorders>
            <w:shd w:val="clear" w:color="auto" w:fill="CEFFE7"/>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13"/>
          </w:tcPr>
          <w:p>
            <w:pPr>
              <w:spacing w:after="0" w:line="175" w:lineRule="exact"/>
              <w:rPr>
                <w:rFonts w:ascii="Arial" w:cs="Arial" w:eastAsia="Arial" w:hAnsi="Arial"/>
                <w:sz w:val="16"/>
                <w:szCs w:val="16"/>
                <w:color w:val="0000FF"/>
              </w:rPr>
            </w:pPr>
            <w:hyperlink w:anchor="page43">
              <w:r>
                <w:rPr>
                  <w:rFonts w:ascii="Arial" w:cs="Arial" w:eastAsia="Arial" w:hAnsi="Arial"/>
                  <w:sz w:val="16"/>
                  <w:szCs w:val="16"/>
                  <w:color w:val="0000FF"/>
                </w:rPr>
                <w:t>Power Generation</w:t>
              </w:r>
            </w:hyperlink>
          </w:p>
        </w:tc>
        <w:tc>
          <w:tcPr>
            <w:tcW w:w="6580" w:type="dxa"/>
            <w:vAlign w:val="bottom"/>
            <w:gridSpan w:val="15"/>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rFonts w:ascii="Arial" w:cs="Arial" w:eastAsia="Arial" w:hAnsi="Arial"/>
                <w:sz w:val="16"/>
                <w:szCs w:val="16"/>
                <w:color w:val="0000FF"/>
              </w:rPr>
            </w:pPr>
            <w:hyperlink w:anchor="page43">
              <w:r>
                <w:rPr>
                  <w:rFonts w:ascii="Arial" w:cs="Arial" w:eastAsia="Arial" w:hAnsi="Arial"/>
                  <w:sz w:val="16"/>
                  <w:szCs w:val="16"/>
                  <w:color w:val="0000FF"/>
                </w:rPr>
                <w:t>44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480" w:type="dxa"/>
            <w:vAlign w:val="bottom"/>
            <w:gridSpan w:val="3"/>
            <w:shd w:val="clear" w:color="auto" w:fill="CEFFE7"/>
          </w:tcPr>
          <w:p>
            <w:pPr>
              <w:spacing w:after="0" w:line="175" w:lineRule="exact"/>
              <w:rPr>
                <w:rFonts w:ascii="Arial" w:cs="Arial" w:eastAsia="Arial" w:hAnsi="Arial"/>
                <w:sz w:val="16"/>
                <w:szCs w:val="16"/>
                <w:color w:val="0000FF"/>
                <w:w w:val="97"/>
              </w:rPr>
            </w:pPr>
            <w:hyperlink w:anchor="page45">
              <w:r>
                <w:rPr>
                  <w:rFonts w:ascii="Arial" w:cs="Arial" w:eastAsia="Arial" w:hAnsi="Arial"/>
                  <w:sz w:val="16"/>
                  <w:szCs w:val="16"/>
                  <w:color w:val="0000FF"/>
                  <w:w w:val="97"/>
                </w:rPr>
                <w:t>Mining</w:t>
              </w:r>
            </w:hyperlink>
          </w:p>
        </w:tc>
        <w:tc>
          <w:tcPr>
            <w:tcW w:w="7460" w:type="dxa"/>
            <w:vAlign w:val="bottom"/>
            <w:gridSpan w:val="25"/>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840" w:type="dxa"/>
            <w:vAlign w:val="bottom"/>
            <w:gridSpan w:val="2"/>
            <w:shd w:val="clear" w:color="auto" w:fill="CEFFE7"/>
          </w:tcPr>
          <w:p>
            <w:pPr>
              <w:jc w:val="center"/>
              <w:ind w:right="660"/>
              <w:spacing w:after="0" w:line="175" w:lineRule="exact"/>
              <w:rPr>
                <w:rFonts w:ascii="Arial" w:cs="Arial" w:eastAsia="Arial" w:hAnsi="Arial"/>
                <w:sz w:val="16"/>
                <w:szCs w:val="16"/>
                <w:color w:val="0000FF"/>
              </w:rPr>
            </w:pPr>
            <w:hyperlink w:anchor="page45">
              <w:r>
                <w:rPr>
                  <w:rFonts w:ascii="Arial" w:cs="Arial" w:eastAsia="Arial" w:hAnsi="Arial"/>
                  <w:sz w:val="16"/>
                  <w:szCs w:val="16"/>
                  <w:color w:val="0000FF"/>
                </w:rPr>
                <w:t>45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00" w:type="dxa"/>
            <w:vAlign w:val="bottom"/>
            <w:tcBorders>
              <w:top w:val="single" w:sz="8" w:color="CEFFE7"/>
            </w:tcBorders>
            <w:shd w:val="clear" w:color="auto" w:fill="CEFFE7"/>
          </w:tcPr>
          <w:p>
            <w:pPr>
              <w:spacing w:after="0" w:line="20" w:lineRule="exact"/>
              <w:rPr>
                <w:sz w:val="1"/>
                <w:szCs w:val="1"/>
                <w:color w:val="auto"/>
              </w:rPr>
            </w:pPr>
          </w:p>
        </w:tc>
        <w:tc>
          <w:tcPr>
            <w:tcW w:w="1120" w:type="dxa"/>
            <w:vAlign w:val="bottom"/>
            <w:tcBorders>
              <w:top w:val="single" w:sz="8" w:color="CEFFE7"/>
            </w:tcBorders>
            <w:shd w:val="clear" w:color="auto" w:fill="CEFFE7"/>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40" w:type="dxa"/>
            <w:vAlign w:val="bottom"/>
            <w:gridSpan w:val="28"/>
          </w:tcPr>
          <w:p>
            <w:pPr>
              <w:spacing w:after="0" w:line="175" w:lineRule="exact"/>
              <w:rPr>
                <w:rFonts w:ascii="Arial" w:cs="Arial" w:eastAsia="Arial" w:hAnsi="Arial"/>
                <w:sz w:val="16"/>
                <w:szCs w:val="16"/>
                <w:color w:val="0000FF"/>
              </w:rPr>
            </w:pPr>
            <w:hyperlink w:anchor="page46">
              <w:r>
                <w:rPr>
                  <w:rFonts w:ascii="Arial" w:cs="Arial" w:eastAsia="Arial" w:hAnsi="Arial"/>
                  <w:sz w:val="16"/>
                  <w:szCs w:val="16"/>
                  <w:color w:val="0000FF"/>
                </w:rPr>
                <w:t>Corporate and Other</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46">
              <w:r>
                <w:rPr>
                  <w:rFonts w:ascii="Arial" w:cs="Arial" w:eastAsia="Arial" w:hAnsi="Arial"/>
                  <w:sz w:val="16"/>
                  <w:szCs w:val="16"/>
                  <w:color w:val="0000FF"/>
                </w:rPr>
                <w:t>46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940" w:type="dxa"/>
            <w:vAlign w:val="bottom"/>
            <w:gridSpan w:val="28"/>
            <w:shd w:val="clear" w:color="auto" w:fill="CEFFE7"/>
          </w:tcPr>
          <w:p>
            <w:pPr>
              <w:spacing w:after="0" w:line="175" w:lineRule="exact"/>
              <w:rPr>
                <w:rFonts w:ascii="Arial" w:cs="Arial" w:eastAsia="Arial" w:hAnsi="Arial"/>
                <w:sz w:val="16"/>
                <w:szCs w:val="16"/>
                <w:color w:val="0000FF"/>
              </w:rPr>
            </w:pPr>
            <w:hyperlink w:anchor="page46">
              <w:r>
                <w:rPr>
                  <w:rFonts w:ascii="Arial" w:cs="Arial" w:eastAsia="Arial" w:hAnsi="Arial"/>
                  <w:sz w:val="16"/>
                  <w:szCs w:val="16"/>
                  <w:color w:val="0000FF"/>
                </w:rPr>
                <w:t>Consolidated Interest Expense, Impairment of Investment, Other Income (Expense) and Income Tax</w:t>
              </w:r>
            </w:hyperlink>
          </w:p>
        </w:tc>
        <w:tc>
          <w:tcPr>
            <w:tcW w:w="660" w:type="dxa"/>
            <w:vAlign w:val="bottom"/>
            <w:vMerge w:val="restart"/>
            <w:shd w:val="clear" w:color="auto" w:fill="CEFFE7"/>
          </w:tcPr>
          <w:p>
            <w:pPr>
              <w:spacing w:after="0"/>
              <w:rPr>
                <w:sz w:val="15"/>
                <w:szCs w:val="15"/>
                <w:color w:val="auto"/>
              </w:rPr>
            </w:pPr>
          </w:p>
        </w:tc>
        <w:tc>
          <w:tcPr>
            <w:tcW w:w="840" w:type="dxa"/>
            <w:vAlign w:val="bottom"/>
            <w:gridSpan w:val="2"/>
            <w:vMerge w:val="restart"/>
            <w:shd w:val="clear" w:color="auto" w:fill="CEFFE7"/>
          </w:tcPr>
          <w:p>
            <w:pPr>
              <w:jc w:val="center"/>
              <w:ind w:right="660"/>
              <w:spacing w:after="0"/>
              <w:rPr>
                <w:rFonts w:ascii="Arial" w:cs="Arial" w:eastAsia="Arial" w:hAnsi="Arial"/>
                <w:sz w:val="16"/>
                <w:szCs w:val="16"/>
                <w:color w:val="0000FF"/>
              </w:rPr>
            </w:pPr>
            <w:hyperlink w:anchor="page46">
              <w:r>
                <w:rPr>
                  <w:rFonts w:ascii="Arial" w:cs="Arial" w:eastAsia="Arial" w:hAnsi="Arial"/>
                  <w:sz w:val="16"/>
                  <w:szCs w:val="16"/>
                  <w:color w:val="0000FF"/>
                </w:rPr>
                <w:t>46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 w:type="dxa"/>
            <w:vAlign w:val="bottom"/>
            <w:tcBorders>
              <w:right w:val="single" w:sz="8" w:color="CEFFE7"/>
            </w:tcBorders>
          </w:tcPr>
          <w:p>
            <w:pPr>
              <w:spacing w:after="0"/>
              <w:rPr>
                <w:sz w:val="12"/>
                <w:szCs w:val="12"/>
                <w:color w:val="auto"/>
              </w:rPr>
            </w:pPr>
          </w:p>
        </w:tc>
        <w:tc>
          <w:tcPr>
            <w:tcW w:w="780" w:type="dxa"/>
            <w:vAlign w:val="bottom"/>
            <w:tcBorders>
              <w:top w:val="single" w:sz="8" w:color="CEFFE7"/>
            </w:tcBorders>
            <w:shd w:val="clear" w:color="auto" w:fill="CEFFE7"/>
          </w:tcPr>
          <w:p>
            <w:pPr>
              <w:spacing w:after="0"/>
              <w:rPr>
                <w:sz w:val="12"/>
                <w:szCs w:val="12"/>
                <w:color w:val="auto"/>
              </w:rPr>
            </w:pPr>
          </w:p>
        </w:tc>
        <w:tc>
          <w:tcPr>
            <w:tcW w:w="540" w:type="dxa"/>
            <w:vAlign w:val="bottom"/>
            <w:tcBorders>
              <w:top w:val="single" w:sz="8" w:color="CEFFE7"/>
            </w:tcBorders>
            <w:shd w:val="clear" w:color="auto" w:fill="CEFFE7"/>
          </w:tcPr>
          <w:p>
            <w:pPr>
              <w:spacing w:after="0"/>
              <w:rPr>
                <w:sz w:val="12"/>
                <w:szCs w:val="12"/>
                <w:color w:val="auto"/>
              </w:rPr>
            </w:pPr>
          </w:p>
        </w:tc>
        <w:tc>
          <w:tcPr>
            <w:tcW w:w="100" w:type="dxa"/>
            <w:vAlign w:val="bottom"/>
            <w:tcBorders>
              <w:top w:val="single" w:sz="8" w:color="CEFFE7"/>
            </w:tcBorders>
            <w:shd w:val="clear" w:color="auto" w:fill="CEFFE7"/>
          </w:tcPr>
          <w:p>
            <w:pPr>
              <w:spacing w:after="0"/>
              <w:rPr>
                <w:sz w:val="12"/>
                <w:szCs w:val="12"/>
                <w:color w:val="auto"/>
              </w:rPr>
            </w:pPr>
          </w:p>
        </w:tc>
        <w:tc>
          <w:tcPr>
            <w:tcW w:w="120" w:type="dxa"/>
            <w:vAlign w:val="bottom"/>
            <w:tcBorders>
              <w:top w:val="single" w:sz="8" w:color="CEFFE7"/>
            </w:tcBorders>
            <w:shd w:val="clear" w:color="auto" w:fill="CEFFE7"/>
          </w:tcPr>
          <w:p>
            <w:pPr>
              <w:spacing w:after="0"/>
              <w:rPr>
                <w:sz w:val="12"/>
                <w:szCs w:val="12"/>
                <w:color w:val="auto"/>
              </w:rPr>
            </w:pPr>
          </w:p>
        </w:tc>
        <w:tc>
          <w:tcPr>
            <w:tcW w:w="200" w:type="dxa"/>
            <w:vAlign w:val="bottom"/>
            <w:tcBorders>
              <w:top w:val="single" w:sz="8" w:color="CEFFE7"/>
            </w:tcBorders>
            <w:shd w:val="clear" w:color="auto" w:fill="CEFFE7"/>
          </w:tcPr>
          <w:p>
            <w:pPr>
              <w:spacing w:after="0"/>
              <w:rPr>
                <w:sz w:val="12"/>
                <w:szCs w:val="12"/>
                <w:color w:val="auto"/>
              </w:rPr>
            </w:pPr>
          </w:p>
        </w:tc>
        <w:tc>
          <w:tcPr>
            <w:tcW w:w="740" w:type="dxa"/>
            <w:vAlign w:val="bottom"/>
            <w:tcBorders>
              <w:top w:val="single" w:sz="8" w:color="0000FF"/>
            </w:tcBorders>
            <w:gridSpan w:val="6"/>
            <w:shd w:val="clear" w:color="auto" w:fill="CEFFE7"/>
          </w:tcPr>
          <w:p>
            <w:pPr>
              <w:spacing w:after="0" w:line="142" w:lineRule="exact"/>
              <w:rPr>
                <w:rFonts w:ascii="Arial" w:cs="Arial" w:eastAsia="Arial" w:hAnsi="Arial"/>
                <w:sz w:val="16"/>
                <w:szCs w:val="16"/>
                <w:color w:val="0000FF"/>
                <w:w w:val="98"/>
              </w:rPr>
            </w:pPr>
            <w:hyperlink w:anchor="page46">
              <w:r>
                <w:rPr>
                  <w:rFonts w:ascii="Arial" w:cs="Arial" w:eastAsia="Arial" w:hAnsi="Arial"/>
                  <w:sz w:val="16"/>
                  <w:szCs w:val="16"/>
                  <w:color w:val="0000FF"/>
                  <w:w w:val="98"/>
                </w:rPr>
                <w:t>(Expense)</w:t>
              </w:r>
            </w:hyperlink>
          </w:p>
        </w:tc>
        <w:tc>
          <w:tcPr>
            <w:tcW w:w="6420" w:type="dxa"/>
            <w:vAlign w:val="bottom"/>
            <w:tcBorders>
              <w:top w:val="single" w:sz="8" w:color="0000FF"/>
            </w:tcBorders>
            <w:gridSpan w:val="21"/>
            <w:shd w:val="clear" w:color="auto" w:fill="CEFFE7"/>
          </w:tcPr>
          <w:p>
            <w:pPr>
              <w:spacing w:after="0"/>
              <w:rPr>
                <w:sz w:val="12"/>
                <w:szCs w:val="12"/>
                <w:color w:val="auto"/>
              </w:rPr>
            </w:pPr>
          </w:p>
        </w:tc>
        <w:tc>
          <w:tcPr>
            <w:tcW w:w="780" w:type="dxa"/>
            <w:vAlign w:val="bottom"/>
            <w:tcBorders>
              <w:top w:val="single" w:sz="8" w:color="CEFFE7"/>
            </w:tcBorders>
            <w:shd w:val="clear" w:color="auto" w:fill="CEFFE7"/>
          </w:tcPr>
          <w:p>
            <w:pPr>
              <w:spacing w:after="0"/>
              <w:rPr>
                <w:sz w:val="12"/>
                <w:szCs w:val="12"/>
                <w:color w:val="auto"/>
              </w:rPr>
            </w:pPr>
          </w:p>
        </w:tc>
        <w:tc>
          <w:tcPr>
            <w:tcW w:w="660" w:type="dxa"/>
            <w:vAlign w:val="bottom"/>
            <w:tcBorders>
              <w:top w:val="single" w:sz="8" w:color="CEFFE7"/>
            </w:tcBorders>
            <w:vMerge w:val="continue"/>
            <w:shd w:val="clear" w:color="auto" w:fill="CEFFE7"/>
          </w:tcPr>
          <w:p>
            <w:pPr>
              <w:spacing w:after="0"/>
              <w:rPr>
                <w:sz w:val="12"/>
                <w:szCs w:val="12"/>
                <w:color w:val="auto"/>
              </w:rPr>
            </w:pPr>
          </w:p>
        </w:tc>
        <w:tc>
          <w:tcPr>
            <w:tcW w:w="840" w:type="dxa"/>
            <w:vAlign w:val="bottom"/>
            <w:tcBorders>
              <w:top w:val="single" w:sz="8" w:color="CEFFE7"/>
            </w:tcBorders>
            <w:gridSpan w:val="2"/>
            <w:vMerge w:val="continue"/>
            <w:shd w:val="clear" w:color="auto" w:fill="CEFFE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00" w:type="dxa"/>
            <w:vAlign w:val="bottom"/>
            <w:tcBorders>
              <w:top w:val="single" w:sz="8" w:color="CEFFE7"/>
            </w:tcBorders>
            <w:shd w:val="clear" w:color="auto" w:fill="CEFFE7"/>
          </w:tcPr>
          <w:p>
            <w:pPr>
              <w:spacing w:after="0" w:line="20" w:lineRule="exact"/>
              <w:rPr>
                <w:sz w:val="1"/>
                <w:szCs w:val="1"/>
                <w:color w:val="auto"/>
              </w:rPr>
            </w:pPr>
          </w:p>
        </w:tc>
        <w:tc>
          <w:tcPr>
            <w:tcW w:w="1120" w:type="dxa"/>
            <w:vAlign w:val="bottom"/>
            <w:tcBorders>
              <w:top w:val="single" w:sz="8" w:color="CEFFE7"/>
            </w:tcBorders>
            <w:shd w:val="clear" w:color="auto" w:fill="CEFFE7"/>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60" w:type="dxa"/>
            <w:vAlign w:val="bottom"/>
            <w:gridSpan w:val="30"/>
          </w:tcPr>
          <w:p>
            <w:pPr>
              <w:ind w:left="120"/>
              <w:spacing w:after="0" w:line="175" w:lineRule="exact"/>
              <w:rPr>
                <w:rFonts w:ascii="Arial" w:cs="Arial" w:eastAsia="Arial" w:hAnsi="Arial"/>
                <w:sz w:val="16"/>
                <w:szCs w:val="16"/>
                <w:color w:val="0000FF"/>
              </w:rPr>
            </w:pPr>
            <w:hyperlink w:anchor="page47">
              <w:r>
                <w:rPr>
                  <w:rFonts w:ascii="Arial" w:cs="Arial" w:eastAsia="Arial" w:hAnsi="Arial"/>
                  <w:sz w:val="16"/>
                  <w:szCs w:val="16"/>
                  <w:color w:val="0000FF"/>
                </w:rPr>
                <w:t>Liquidity and Capital Resources</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47">
              <w:r>
                <w:rPr>
                  <w:rFonts w:ascii="Arial" w:cs="Arial" w:eastAsia="Arial" w:hAnsi="Arial"/>
                  <w:sz w:val="16"/>
                  <w:szCs w:val="16"/>
                  <w:color w:val="0000FF"/>
                </w:rPr>
                <w:t>47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1460" w:type="dxa"/>
            <w:vAlign w:val="bottom"/>
            <w:gridSpan w:val="16"/>
            <w:shd w:val="clear" w:color="auto" w:fill="CEFFE7"/>
          </w:tcPr>
          <w:p>
            <w:pPr>
              <w:spacing w:after="0" w:line="175" w:lineRule="exact"/>
              <w:rPr>
                <w:rFonts w:ascii="Arial" w:cs="Arial" w:eastAsia="Arial" w:hAnsi="Arial"/>
                <w:sz w:val="16"/>
                <w:szCs w:val="16"/>
                <w:color w:val="0000FF"/>
              </w:rPr>
            </w:pPr>
            <w:hyperlink w:anchor="page47">
              <w:r>
                <w:rPr>
                  <w:rFonts w:ascii="Arial" w:cs="Arial" w:eastAsia="Arial" w:hAnsi="Arial"/>
                  <w:sz w:val="16"/>
                  <w:szCs w:val="16"/>
                  <w:color w:val="0000FF"/>
                </w:rPr>
                <w:t>Cash Flow Activities</w:t>
              </w:r>
            </w:hyperlink>
          </w:p>
        </w:tc>
        <w:tc>
          <w:tcPr>
            <w:tcW w:w="6480" w:type="dxa"/>
            <w:vAlign w:val="bottom"/>
            <w:gridSpan w:val="12"/>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840" w:type="dxa"/>
            <w:vAlign w:val="bottom"/>
            <w:gridSpan w:val="2"/>
            <w:shd w:val="clear" w:color="auto" w:fill="CEFFE7"/>
          </w:tcPr>
          <w:p>
            <w:pPr>
              <w:jc w:val="center"/>
              <w:ind w:right="660"/>
              <w:spacing w:after="0" w:line="175" w:lineRule="exact"/>
              <w:rPr>
                <w:rFonts w:ascii="Arial" w:cs="Arial" w:eastAsia="Arial" w:hAnsi="Arial"/>
                <w:sz w:val="16"/>
                <w:szCs w:val="16"/>
                <w:color w:val="0000FF"/>
              </w:rPr>
            </w:pPr>
            <w:hyperlink w:anchor="page47">
              <w:r>
                <w:rPr>
                  <w:rFonts w:ascii="Arial" w:cs="Arial" w:eastAsia="Arial" w:hAnsi="Arial"/>
                  <w:sz w:val="16"/>
                  <w:szCs w:val="16"/>
                  <w:color w:val="0000FF"/>
                </w:rPr>
                <w:t>47</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00" w:type="dxa"/>
            <w:vAlign w:val="bottom"/>
            <w:tcBorders>
              <w:top w:val="single" w:sz="8" w:color="CEFFE7"/>
            </w:tcBorders>
            <w:shd w:val="clear" w:color="auto" w:fill="CEFFE7"/>
          </w:tcPr>
          <w:p>
            <w:pPr>
              <w:spacing w:after="0" w:line="20" w:lineRule="exact"/>
              <w:rPr>
                <w:sz w:val="1"/>
                <w:szCs w:val="1"/>
                <w:color w:val="auto"/>
              </w:rPr>
            </w:pPr>
          </w:p>
        </w:tc>
        <w:tc>
          <w:tcPr>
            <w:tcW w:w="1120" w:type="dxa"/>
            <w:vAlign w:val="bottom"/>
            <w:tcBorders>
              <w:top w:val="single" w:sz="8" w:color="CEFFE7"/>
            </w:tcBorders>
            <w:shd w:val="clear" w:color="auto" w:fill="CEFFE7"/>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16"/>
          </w:tcPr>
          <w:p>
            <w:pPr>
              <w:spacing w:after="0" w:line="175" w:lineRule="exact"/>
              <w:rPr>
                <w:rFonts w:ascii="Arial" w:cs="Arial" w:eastAsia="Arial" w:hAnsi="Arial"/>
                <w:sz w:val="16"/>
                <w:szCs w:val="16"/>
                <w:color w:val="0000FF"/>
              </w:rPr>
            </w:pPr>
            <w:hyperlink w:anchor="page48">
              <w:r>
                <w:rPr>
                  <w:rFonts w:ascii="Arial" w:cs="Arial" w:eastAsia="Arial" w:hAnsi="Arial"/>
                  <w:sz w:val="16"/>
                  <w:szCs w:val="16"/>
                  <w:color w:val="0000FF"/>
                </w:rPr>
                <w:t>Capital Sources</w:t>
              </w:r>
            </w:hyperlink>
          </w:p>
        </w:tc>
        <w:tc>
          <w:tcPr>
            <w:tcW w:w="6480" w:type="dxa"/>
            <w:vAlign w:val="bottom"/>
            <w:gridSpan w:val="12"/>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rFonts w:ascii="Arial" w:cs="Arial" w:eastAsia="Arial" w:hAnsi="Arial"/>
                <w:sz w:val="16"/>
                <w:szCs w:val="16"/>
                <w:color w:val="0000FF"/>
              </w:rPr>
            </w:pPr>
            <w:hyperlink w:anchor="page48">
              <w:r>
                <w:rPr>
                  <w:rFonts w:ascii="Arial" w:cs="Arial" w:eastAsia="Arial" w:hAnsi="Arial"/>
                  <w:sz w:val="16"/>
                  <w:szCs w:val="16"/>
                  <w:color w:val="0000FF"/>
                </w:rPr>
                <w:t>48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12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7940" w:type="dxa"/>
            <w:vAlign w:val="bottom"/>
            <w:gridSpan w:val="28"/>
            <w:shd w:val="clear" w:color="auto" w:fill="CEFFE7"/>
          </w:tcPr>
          <w:p>
            <w:pPr>
              <w:spacing w:after="0" w:line="175" w:lineRule="exact"/>
              <w:rPr>
                <w:rFonts w:ascii="Arial" w:cs="Arial" w:eastAsia="Arial" w:hAnsi="Arial"/>
                <w:sz w:val="16"/>
                <w:szCs w:val="16"/>
                <w:color w:val="0000FF"/>
              </w:rPr>
            </w:pPr>
            <w:hyperlink w:anchor="page49">
              <w:r>
                <w:rPr>
                  <w:rFonts w:ascii="Arial" w:cs="Arial" w:eastAsia="Arial" w:hAnsi="Arial"/>
                  <w:sz w:val="16"/>
                  <w:szCs w:val="16"/>
                  <w:color w:val="0000FF"/>
                </w:rPr>
                <w:t>Credit Ratings</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48">
              <w:r>
                <w:rPr>
                  <w:rFonts w:ascii="Arial" w:cs="Arial" w:eastAsia="Arial" w:hAnsi="Arial"/>
                  <w:sz w:val="16"/>
                  <w:szCs w:val="16"/>
                  <w:color w:val="0000FF"/>
                </w:rPr>
                <w:t>48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00" w:type="dxa"/>
            <w:vAlign w:val="bottom"/>
            <w:tcBorders>
              <w:top w:val="single" w:sz="8" w:color="CEFFE7"/>
            </w:tcBorders>
            <w:shd w:val="clear" w:color="auto" w:fill="CEFFE7"/>
          </w:tcPr>
          <w:p>
            <w:pPr>
              <w:spacing w:after="0" w:line="20" w:lineRule="exact"/>
              <w:rPr>
                <w:sz w:val="1"/>
                <w:szCs w:val="1"/>
                <w:color w:val="auto"/>
              </w:rPr>
            </w:pPr>
          </w:p>
        </w:tc>
        <w:tc>
          <w:tcPr>
            <w:tcW w:w="1120" w:type="dxa"/>
            <w:vAlign w:val="bottom"/>
            <w:tcBorders>
              <w:top w:val="single" w:sz="8" w:color="CEFFE7"/>
            </w:tcBorders>
            <w:shd w:val="clear" w:color="auto" w:fill="CEFFE7"/>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940" w:type="dxa"/>
            <w:vAlign w:val="bottom"/>
            <w:gridSpan w:val="28"/>
          </w:tcPr>
          <w:p>
            <w:pPr>
              <w:spacing w:after="0" w:line="175" w:lineRule="exact"/>
              <w:rPr>
                <w:rFonts w:ascii="Arial" w:cs="Arial" w:eastAsia="Arial" w:hAnsi="Arial"/>
                <w:sz w:val="16"/>
                <w:szCs w:val="16"/>
                <w:color w:val="0000FF"/>
              </w:rPr>
            </w:pPr>
            <w:hyperlink w:anchor="page50">
              <w:r>
                <w:rPr>
                  <w:rFonts w:ascii="Arial" w:cs="Arial" w:eastAsia="Arial" w:hAnsi="Arial"/>
                  <w:sz w:val="16"/>
                  <w:szCs w:val="16"/>
                  <w:color w:val="0000FF"/>
                </w:rPr>
                <w:t>Capital Requirements</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50">
              <w:r>
                <w:rPr>
                  <w:rFonts w:ascii="Arial" w:cs="Arial" w:eastAsia="Arial" w:hAnsi="Arial"/>
                  <w:sz w:val="16"/>
                  <w:szCs w:val="16"/>
                  <w:color w:val="0000FF"/>
                </w:rPr>
                <w:t>50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780" w:type="dxa"/>
            <w:vAlign w:val="bottom"/>
            <w:shd w:val="clear" w:color="auto" w:fill="CEFFE7"/>
          </w:tcPr>
          <w:p>
            <w:pPr>
              <w:spacing w:after="0"/>
              <w:rPr>
                <w:sz w:val="15"/>
                <w:szCs w:val="15"/>
                <w:color w:val="auto"/>
              </w:rPr>
            </w:pPr>
          </w:p>
        </w:tc>
        <w:tc>
          <w:tcPr>
            <w:tcW w:w="540" w:type="dxa"/>
            <w:vAlign w:val="bottom"/>
            <w:shd w:val="clear" w:color="auto" w:fill="CEFFE7"/>
          </w:tcPr>
          <w:p>
            <w:pPr>
              <w:spacing w:after="0"/>
              <w:rPr>
                <w:sz w:val="15"/>
                <w:szCs w:val="15"/>
                <w:color w:val="auto"/>
              </w:rPr>
            </w:pPr>
          </w:p>
        </w:tc>
        <w:tc>
          <w:tcPr>
            <w:tcW w:w="100" w:type="dxa"/>
            <w:vAlign w:val="bottom"/>
            <w:shd w:val="clear" w:color="auto" w:fill="CEFFE7"/>
          </w:tcPr>
          <w:p>
            <w:pPr>
              <w:spacing w:after="0"/>
              <w:rPr>
                <w:sz w:val="15"/>
                <w:szCs w:val="15"/>
                <w:color w:val="auto"/>
              </w:rPr>
            </w:pPr>
          </w:p>
        </w:tc>
        <w:tc>
          <w:tcPr>
            <w:tcW w:w="8260" w:type="dxa"/>
            <w:vAlign w:val="bottom"/>
            <w:gridSpan w:val="30"/>
            <w:shd w:val="clear" w:color="auto" w:fill="CEFFE7"/>
          </w:tcPr>
          <w:p>
            <w:pPr>
              <w:ind w:left="120"/>
              <w:spacing w:after="0" w:line="175" w:lineRule="exact"/>
              <w:rPr>
                <w:rFonts w:ascii="Arial" w:cs="Arial" w:eastAsia="Arial" w:hAnsi="Arial"/>
                <w:sz w:val="16"/>
                <w:szCs w:val="16"/>
                <w:color w:val="0000FF"/>
              </w:rPr>
            </w:pPr>
            <w:hyperlink w:anchor="page50">
              <w:r>
                <w:rPr>
                  <w:rFonts w:ascii="Arial" w:cs="Arial" w:eastAsia="Arial" w:hAnsi="Arial"/>
                  <w:sz w:val="16"/>
                  <w:szCs w:val="16"/>
                  <w:color w:val="0000FF"/>
                </w:rPr>
                <w:t>Critical Accounting Policies Involving Significant Estimates</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50">
              <w:r>
                <w:rPr>
                  <w:rFonts w:ascii="Arial" w:cs="Arial" w:eastAsia="Arial" w:hAnsi="Arial"/>
                  <w:sz w:val="16"/>
                  <w:szCs w:val="16"/>
                  <w:color w:val="0000FF"/>
                </w:rPr>
                <w:t>50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5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500" w:type="dxa"/>
            <w:vAlign w:val="bottom"/>
            <w:tcBorders>
              <w:top w:val="single" w:sz="8" w:color="0000FF"/>
            </w:tcBorders>
            <w:shd w:val="clear" w:color="auto" w:fill="CEFFE7"/>
          </w:tcPr>
          <w:p>
            <w:pPr>
              <w:spacing w:after="0" w:line="20" w:lineRule="exact"/>
              <w:rPr>
                <w:sz w:val="1"/>
                <w:szCs w:val="1"/>
                <w:color w:val="auto"/>
              </w:rPr>
            </w:pPr>
          </w:p>
        </w:tc>
        <w:tc>
          <w:tcPr>
            <w:tcW w:w="118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00" w:type="dxa"/>
            <w:vAlign w:val="bottom"/>
            <w:tcBorders>
              <w:top w:val="single" w:sz="8" w:color="CEFFE7"/>
            </w:tcBorders>
            <w:shd w:val="clear" w:color="auto" w:fill="CEFFE7"/>
          </w:tcPr>
          <w:p>
            <w:pPr>
              <w:spacing w:after="0" w:line="20" w:lineRule="exact"/>
              <w:rPr>
                <w:sz w:val="1"/>
                <w:szCs w:val="1"/>
                <w:color w:val="auto"/>
              </w:rPr>
            </w:pPr>
          </w:p>
        </w:tc>
        <w:tc>
          <w:tcPr>
            <w:tcW w:w="1120" w:type="dxa"/>
            <w:vAlign w:val="bottom"/>
            <w:tcBorders>
              <w:top w:val="single" w:sz="8" w:color="CEFFE7"/>
            </w:tcBorders>
            <w:shd w:val="clear" w:color="auto" w:fill="CEFFE7"/>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60" w:type="dxa"/>
            <w:vAlign w:val="bottom"/>
            <w:gridSpan w:val="30"/>
          </w:tcPr>
          <w:p>
            <w:pPr>
              <w:ind w:left="120"/>
              <w:spacing w:after="0" w:line="175" w:lineRule="exact"/>
              <w:rPr>
                <w:rFonts w:ascii="Arial" w:cs="Arial" w:eastAsia="Arial" w:hAnsi="Arial"/>
                <w:sz w:val="16"/>
                <w:szCs w:val="16"/>
                <w:color w:val="0000FF"/>
              </w:rPr>
            </w:pPr>
            <w:hyperlink w:anchor="page50">
              <w:r>
                <w:rPr>
                  <w:rFonts w:ascii="Arial" w:cs="Arial" w:eastAsia="Arial" w:hAnsi="Arial"/>
                  <w:sz w:val="16"/>
                  <w:szCs w:val="16"/>
                  <w:color w:val="0000FF"/>
                </w:rPr>
                <w:t>New Accounting Pronouncements</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50">
              <w:r>
                <w:rPr>
                  <w:rFonts w:ascii="Arial" w:cs="Arial" w:eastAsia="Arial" w:hAnsi="Arial"/>
                  <w:sz w:val="16"/>
                  <w:szCs w:val="16"/>
                  <w:color w:val="0000FF"/>
                </w:rPr>
                <w:t>51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right w:val="single" w:sz="8" w:color="CEFFE7"/>
            </w:tcBorders>
          </w:tcPr>
          <w:p>
            <w:pPr>
              <w:spacing w:after="0"/>
              <w:rPr>
                <w:sz w:val="23"/>
                <w:szCs w:val="23"/>
                <w:color w:val="auto"/>
              </w:rPr>
            </w:pPr>
          </w:p>
        </w:tc>
        <w:tc>
          <w:tcPr>
            <w:tcW w:w="780" w:type="dxa"/>
            <w:vAlign w:val="bottom"/>
            <w:shd w:val="clear" w:color="auto" w:fill="CEFFE7"/>
          </w:tcPr>
          <w:p>
            <w:pPr>
              <w:spacing w:after="0"/>
              <w:rPr>
                <w:sz w:val="23"/>
                <w:szCs w:val="23"/>
                <w:color w:val="auto"/>
              </w:rPr>
            </w:pPr>
          </w:p>
        </w:tc>
        <w:tc>
          <w:tcPr>
            <w:tcW w:w="640" w:type="dxa"/>
            <w:vAlign w:val="bottom"/>
            <w:gridSpan w:val="2"/>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24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16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52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500" w:type="dxa"/>
            <w:vAlign w:val="bottom"/>
            <w:shd w:val="clear" w:color="auto" w:fill="CEFFE7"/>
          </w:tcPr>
          <w:p>
            <w:pPr>
              <w:spacing w:after="0"/>
              <w:rPr>
                <w:sz w:val="23"/>
                <w:szCs w:val="23"/>
                <w:color w:val="auto"/>
              </w:rPr>
            </w:pPr>
          </w:p>
        </w:tc>
        <w:tc>
          <w:tcPr>
            <w:tcW w:w="118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2000" w:type="dxa"/>
            <w:vAlign w:val="bottom"/>
            <w:shd w:val="clear" w:color="auto" w:fill="CEFFE7"/>
          </w:tcPr>
          <w:p>
            <w:pPr>
              <w:spacing w:after="0"/>
              <w:rPr>
                <w:sz w:val="23"/>
                <w:szCs w:val="23"/>
                <w:color w:val="auto"/>
              </w:rPr>
            </w:pPr>
          </w:p>
        </w:tc>
        <w:tc>
          <w:tcPr>
            <w:tcW w:w="1120" w:type="dxa"/>
            <w:vAlign w:val="bottom"/>
            <w:shd w:val="clear" w:color="auto" w:fill="CEFFE7"/>
          </w:tcPr>
          <w:p>
            <w:pPr>
              <w:spacing w:after="0"/>
              <w:rPr>
                <w:sz w:val="23"/>
                <w:szCs w:val="23"/>
                <w:color w:val="auto"/>
              </w:rPr>
            </w:pPr>
          </w:p>
        </w:tc>
        <w:tc>
          <w:tcPr>
            <w:tcW w:w="78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420" w:type="dxa"/>
            <w:vAlign w:val="bottom"/>
            <w:gridSpan w:val="3"/>
          </w:tcPr>
          <w:p>
            <w:pPr>
              <w:spacing w:after="0" w:line="175" w:lineRule="exact"/>
              <w:rPr>
                <w:sz w:val="20"/>
                <w:szCs w:val="20"/>
                <w:color w:val="auto"/>
              </w:rPr>
            </w:pPr>
            <w:r>
              <w:rPr>
                <w:rFonts w:ascii="Arial" w:cs="Arial" w:eastAsia="Arial" w:hAnsi="Arial"/>
                <w:sz w:val="16"/>
                <w:szCs w:val="16"/>
                <w:color w:val="auto"/>
              </w:rPr>
              <w:t>Item 3.</w:t>
            </w:r>
          </w:p>
        </w:tc>
        <w:tc>
          <w:tcPr>
            <w:tcW w:w="8260" w:type="dxa"/>
            <w:vAlign w:val="bottom"/>
            <w:gridSpan w:val="30"/>
          </w:tcPr>
          <w:p>
            <w:pPr>
              <w:spacing w:after="0" w:line="175" w:lineRule="exact"/>
              <w:rPr>
                <w:rFonts w:ascii="Arial" w:cs="Arial" w:eastAsia="Arial" w:hAnsi="Arial"/>
                <w:sz w:val="16"/>
                <w:szCs w:val="16"/>
                <w:color w:val="0000FF"/>
              </w:rPr>
            </w:pPr>
            <w:hyperlink w:anchor="page51">
              <w:r>
                <w:rPr>
                  <w:rFonts w:ascii="Arial" w:cs="Arial" w:eastAsia="Arial" w:hAnsi="Arial"/>
                  <w:sz w:val="16"/>
                  <w:szCs w:val="16"/>
                  <w:color w:val="0000FF"/>
                </w:rPr>
                <w:t>Quantitative and Qualitative Disclosures About Market Risk</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51">
              <w:r>
                <w:rPr>
                  <w:rFonts w:ascii="Arial" w:cs="Arial" w:eastAsia="Arial" w:hAnsi="Arial"/>
                  <w:sz w:val="16"/>
                  <w:szCs w:val="16"/>
                  <w:color w:val="0000FF"/>
                </w:rPr>
                <w:t>51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Borders>
              <w:right w:val="single" w:sz="8" w:color="CEFFE7"/>
            </w:tcBorders>
          </w:tcPr>
          <w:p>
            <w:pPr>
              <w:spacing w:after="0"/>
              <w:rPr>
                <w:sz w:val="17"/>
                <w:szCs w:val="17"/>
                <w:color w:val="auto"/>
              </w:rPr>
            </w:pPr>
          </w:p>
        </w:tc>
        <w:tc>
          <w:tcPr>
            <w:tcW w:w="1420" w:type="dxa"/>
            <w:vAlign w:val="bottom"/>
            <w:gridSpan w:val="3"/>
            <w:shd w:val="clear" w:color="auto" w:fill="CEFFE7"/>
          </w:tcPr>
          <w:p>
            <w:pPr>
              <w:spacing w:after="0" w:line="175" w:lineRule="exact"/>
              <w:rPr>
                <w:sz w:val="20"/>
                <w:szCs w:val="20"/>
                <w:color w:val="auto"/>
              </w:rPr>
            </w:pPr>
            <w:r>
              <w:rPr>
                <w:rFonts w:ascii="Arial" w:cs="Arial" w:eastAsia="Arial" w:hAnsi="Arial"/>
                <w:sz w:val="16"/>
                <w:szCs w:val="16"/>
                <w:color w:val="auto"/>
              </w:rPr>
              <w:t>Item 4.</w:t>
            </w:r>
          </w:p>
        </w:tc>
        <w:tc>
          <w:tcPr>
            <w:tcW w:w="8260" w:type="dxa"/>
            <w:vAlign w:val="bottom"/>
            <w:gridSpan w:val="30"/>
            <w:shd w:val="clear" w:color="auto" w:fill="CEFFE7"/>
          </w:tcPr>
          <w:p>
            <w:pPr>
              <w:spacing w:after="0" w:line="175" w:lineRule="exact"/>
              <w:rPr>
                <w:rFonts w:ascii="Arial" w:cs="Arial" w:eastAsia="Arial" w:hAnsi="Arial"/>
                <w:sz w:val="16"/>
                <w:szCs w:val="16"/>
                <w:color w:val="0000FF"/>
              </w:rPr>
            </w:pPr>
            <w:hyperlink w:anchor="page51">
              <w:r>
                <w:rPr>
                  <w:rFonts w:ascii="Arial" w:cs="Arial" w:eastAsia="Arial" w:hAnsi="Arial"/>
                  <w:sz w:val="16"/>
                  <w:szCs w:val="16"/>
                  <w:color w:val="0000FF"/>
                </w:rPr>
                <w:t>Controls and Procedures</w:t>
              </w:r>
            </w:hyperlink>
          </w:p>
        </w:tc>
        <w:tc>
          <w:tcPr>
            <w:tcW w:w="1500" w:type="dxa"/>
            <w:vAlign w:val="bottom"/>
            <w:gridSpan w:val="3"/>
            <w:shd w:val="clear" w:color="auto" w:fill="CEFFE7"/>
          </w:tcPr>
          <w:p>
            <w:pPr>
              <w:jc w:val="center"/>
              <w:spacing w:after="0" w:line="175" w:lineRule="exact"/>
              <w:rPr>
                <w:rFonts w:ascii="Arial" w:cs="Arial" w:eastAsia="Arial" w:hAnsi="Arial"/>
                <w:sz w:val="16"/>
                <w:szCs w:val="16"/>
                <w:color w:val="0000FF"/>
              </w:rPr>
            </w:pPr>
            <w:hyperlink w:anchor="page51">
              <w:r>
                <w:rPr>
                  <w:rFonts w:ascii="Arial" w:cs="Arial" w:eastAsia="Arial" w:hAnsi="Arial"/>
                  <w:sz w:val="16"/>
                  <w:szCs w:val="16"/>
                  <w:color w:val="0000FF"/>
                </w:rPr>
                <w:t>52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80" w:type="dxa"/>
            <w:vAlign w:val="bottom"/>
            <w:tcBorders>
              <w:top w:val="single" w:sz="8" w:color="CEFFE7"/>
            </w:tcBorders>
          </w:tcPr>
          <w:p>
            <w:pPr>
              <w:spacing w:after="0"/>
              <w:rPr>
                <w:sz w:val="23"/>
                <w:szCs w:val="23"/>
                <w:color w:val="auto"/>
              </w:rPr>
            </w:pPr>
          </w:p>
        </w:tc>
        <w:tc>
          <w:tcPr>
            <w:tcW w:w="640" w:type="dxa"/>
            <w:vAlign w:val="bottom"/>
            <w:tcBorders>
              <w:top w:val="single" w:sz="8" w:color="CEFFE7"/>
            </w:tcBorders>
            <w:gridSpan w:val="2"/>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CEFFE7"/>
            </w:tcBorders>
          </w:tcPr>
          <w:p>
            <w:pPr>
              <w:spacing w:after="0"/>
              <w:rPr>
                <w:sz w:val="23"/>
                <w:szCs w:val="23"/>
                <w:color w:val="auto"/>
              </w:rPr>
            </w:pPr>
          </w:p>
        </w:tc>
        <w:tc>
          <w:tcPr>
            <w:tcW w:w="80" w:type="dxa"/>
            <w:vAlign w:val="bottom"/>
            <w:tcBorders>
              <w:top w:val="single" w:sz="8" w:color="CEFFE7"/>
            </w:tcBorders>
          </w:tcPr>
          <w:p>
            <w:pPr>
              <w:spacing w:after="0"/>
              <w:rPr>
                <w:sz w:val="23"/>
                <w:szCs w:val="23"/>
                <w:color w:val="auto"/>
              </w:rPr>
            </w:pPr>
          </w:p>
        </w:tc>
        <w:tc>
          <w:tcPr>
            <w:tcW w:w="520" w:type="dxa"/>
            <w:vAlign w:val="bottom"/>
            <w:tcBorders>
              <w:top w:val="single" w:sz="8" w:color="CEFFE7"/>
            </w:tcBorders>
          </w:tcPr>
          <w:p>
            <w:pPr>
              <w:spacing w:after="0"/>
              <w:rPr>
                <w:sz w:val="23"/>
                <w:szCs w:val="23"/>
                <w:color w:val="auto"/>
              </w:rPr>
            </w:pPr>
          </w:p>
        </w:tc>
        <w:tc>
          <w:tcPr>
            <w:tcW w:w="100" w:type="dxa"/>
            <w:vAlign w:val="bottom"/>
            <w:tcBorders>
              <w:top w:val="single" w:sz="8" w:color="CEFFE7"/>
            </w:tcBorders>
          </w:tcPr>
          <w:p>
            <w:pPr>
              <w:spacing w:after="0"/>
              <w:rPr>
                <w:sz w:val="23"/>
                <w:szCs w:val="23"/>
                <w:color w:val="auto"/>
              </w:rPr>
            </w:pPr>
          </w:p>
        </w:tc>
        <w:tc>
          <w:tcPr>
            <w:tcW w:w="60" w:type="dxa"/>
            <w:vAlign w:val="bottom"/>
            <w:tcBorders>
              <w:top w:val="single" w:sz="8" w:color="CEFFE7"/>
            </w:tcBorders>
          </w:tcPr>
          <w:p>
            <w:pPr>
              <w:spacing w:after="0"/>
              <w:rPr>
                <w:sz w:val="23"/>
                <w:szCs w:val="23"/>
                <w:color w:val="auto"/>
              </w:rPr>
            </w:pPr>
          </w:p>
        </w:tc>
        <w:tc>
          <w:tcPr>
            <w:tcW w:w="500" w:type="dxa"/>
            <w:vAlign w:val="bottom"/>
            <w:tcBorders>
              <w:top w:val="single" w:sz="8" w:color="CEFFE7"/>
            </w:tcBorders>
          </w:tcPr>
          <w:p>
            <w:pPr>
              <w:spacing w:after="0"/>
              <w:rPr>
                <w:sz w:val="23"/>
                <w:szCs w:val="23"/>
                <w:color w:val="auto"/>
              </w:rPr>
            </w:pPr>
          </w:p>
        </w:tc>
        <w:tc>
          <w:tcPr>
            <w:tcW w:w="1180" w:type="dxa"/>
            <w:vAlign w:val="bottom"/>
            <w:tcBorders>
              <w:top w:val="single" w:sz="8" w:color="CEFFE7"/>
            </w:tcBorders>
          </w:tcPr>
          <w:p>
            <w:pPr>
              <w:spacing w:after="0"/>
              <w:rPr>
                <w:sz w:val="23"/>
                <w:szCs w:val="23"/>
                <w:color w:val="auto"/>
              </w:rPr>
            </w:pPr>
          </w:p>
        </w:tc>
        <w:tc>
          <w:tcPr>
            <w:tcW w:w="60" w:type="dxa"/>
            <w:vAlign w:val="bottom"/>
            <w:tcBorders>
              <w:top w:val="single" w:sz="8" w:color="CEFFE7"/>
            </w:tcBorders>
          </w:tcPr>
          <w:p>
            <w:pPr>
              <w:spacing w:after="0"/>
              <w:rPr>
                <w:sz w:val="23"/>
                <w:szCs w:val="23"/>
                <w:color w:val="auto"/>
              </w:rPr>
            </w:pPr>
          </w:p>
        </w:tc>
        <w:tc>
          <w:tcPr>
            <w:tcW w:w="60" w:type="dxa"/>
            <w:vAlign w:val="bottom"/>
            <w:tcBorders>
              <w:top w:val="single" w:sz="8" w:color="CEFFE7"/>
            </w:tcBorders>
          </w:tcPr>
          <w:p>
            <w:pPr>
              <w:spacing w:after="0"/>
              <w:rPr>
                <w:sz w:val="23"/>
                <w:szCs w:val="23"/>
                <w:color w:val="auto"/>
              </w:rPr>
            </w:pPr>
          </w:p>
        </w:tc>
        <w:tc>
          <w:tcPr>
            <w:tcW w:w="2000" w:type="dxa"/>
            <w:vAlign w:val="bottom"/>
            <w:tcBorders>
              <w:top w:val="single" w:sz="8" w:color="CEFFE7"/>
            </w:tcBorders>
          </w:tcPr>
          <w:p>
            <w:pPr>
              <w:spacing w:after="0"/>
              <w:rPr>
                <w:sz w:val="23"/>
                <w:szCs w:val="23"/>
                <w:color w:val="auto"/>
              </w:rPr>
            </w:pPr>
          </w:p>
        </w:tc>
        <w:tc>
          <w:tcPr>
            <w:tcW w:w="1120" w:type="dxa"/>
            <w:vAlign w:val="bottom"/>
            <w:tcBorders>
              <w:top w:val="single" w:sz="8" w:color="CEFFE7"/>
            </w:tcBorders>
          </w:tcPr>
          <w:p>
            <w:pPr>
              <w:spacing w:after="0"/>
              <w:rPr>
                <w:sz w:val="23"/>
                <w:szCs w:val="23"/>
                <w:color w:val="auto"/>
              </w:rPr>
            </w:pPr>
          </w:p>
        </w:tc>
        <w:tc>
          <w:tcPr>
            <w:tcW w:w="780" w:type="dxa"/>
            <w:vAlign w:val="bottom"/>
            <w:tcBorders>
              <w:top w:val="single" w:sz="8" w:color="CEFFE7"/>
            </w:tcBorders>
          </w:tcPr>
          <w:p>
            <w:pPr>
              <w:spacing w:after="0"/>
              <w:rPr>
                <w:sz w:val="23"/>
                <w:szCs w:val="23"/>
                <w:color w:val="auto"/>
              </w:rPr>
            </w:pPr>
          </w:p>
        </w:tc>
        <w:tc>
          <w:tcPr>
            <w:tcW w:w="660" w:type="dxa"/>
            <w:vAlign w:val="bottom"/>
            <w:tcBorders>
              <w:top w:val="single" w:sz="8" w:color="CEFFE7"/>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60" w:type="dxa"/>
            <w:vAlign w:val="bottom"/>
            <w:tcBorders>
              <w:top w:val="single" w:sz="8" w:color="CEFFE7"/>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9680" w:type="dxa"/>
            <w:vAlign w:val="bottom"/>
            <w:gridSpan w:val="33"/>
            <w:shd w:val="clear" w:color="auto" w:fill="CEFFE7"/>
          </w:tcPr>
          <w:p>
            <w:pPr>
              <w:spacing w:after="0" w:line="175" w:lineRule="exact"/>
              <w:rPr>
                <w:rFonts w:ascii="Arial" w:cs="Arial" w:eastAsia="Arial" w:hAnsi="Arial"/>
                <w:sz w:val="16"/>
                <w:szCs w:val="16"/>
                <w:color w:val="0000FF"/>
              </w:rPr>
            </w:pPr>
            <w:hyperlink w:anchor="page51">
              <w:r>
                <w:rPr>
                  <w:rFonts w:ascii="Arial" w:cs="Arial" w:eastAsia="Arial" w:hAnsi="Arial"/>
                  <w:sz w:val="16"/>
                  <w:szCs w:val="16"/>
                  <w:color w:val="0000FF"/>
                </w:rPr>
                <w:t>PART II. OTHER INFORMATION</w:t>
              </w:r>
            </w:hyperlink>
          </w:p>
        </w:tc>
        <w:tc>
          <w:tcPr>
            <w:tcW w:w="660" w:type="dxa"/>
            <w:vAlign w:val="bottom"/>
            <w:shd w:val="clear" w:color="auto" w:fill="CEFFE7"/>
          </w:tcPr>
          <w:p>
            <w:pPr>
              <w:spacing w:after="0"/>
              <w:rPr>
                <w:sz w:val="15"/>
                <w:szCs w:val="15"/>
                <w:color w:val="auto"/>
              </w:rPr>
            </w:pPr>
          </w:p>
        </w:tc>
        <w:tc>
          <w:tcPr>
            <w:tcW w:w="180" w:type="dxa"/>
            <w:vAlign w:val="bottom"/>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0000FF"/>
            </w:tcBorders>
            <w:shd w:val="clear" w:color="auto" w:fill="CEFFE7"/>
          </w:tcPr>
          <w:p>
            <w:pPr>
              <w:spacing w:after="0" w:line="20" w:lineRule="exact"/>
              <w:rPr>
                <w:sz w:val="1"/>
                <w:szCs w:val="1"/>
                <w:color w:val="auto"/>
              </w:rPr>
            </w:pPr>
          </w:p>
        </w:tc>
        <w:tc>
          <w:tcPr>
            <w:tcW w:w="5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00" w:type="dxa"/>
            <w:vAlign w:val="bottom"/>
            <w:tcBorders>
              <w:top w:val="single" w:sz="8" w:color="CEFFE7"/>
            </w:tcBorders>
            <w:shd w:val="clear" w:color="auto" w:fill="CEFFE7"/>
          </w:tcPr>
          <w:p>
            <w:pPr>
              <w:spacing w:after="0" w:line="20" w:lineRule="exact"/>
              <w:rPr>
                <w:sz w:val="1"/>
                <w:szCs w:val="1"/>
                <w:color w:val="auto"/>
              </w:rPr>
            </w:pPr>
          </w:p>
        </w:tc>
        <w:tc>
          <w:tcPr>
            <w:tcW w:w="1120" w:type="dxa"/>
            <w:vAlign w:val="bottom"/>
            <w:tcBorders>
              <w:top w:val="single" w:sz="8" w:color="CEFFE7"/>
            </w:tcBorders>
            <w:shd w:val="clear" w:color="auto" w:fill="CEFFE7"/>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1420" w:type="dxa"/>
            <w:vAlign w:val="bottom"/>
            <w:gridSpan w:val="3"/>
          </w:tcPr>
          <w:p>
            <w:pPr>
              <w:spacing w:after="0" w:line="175" w:lineRule="exact"/>
              <w:rPr>
                <w:sz w:val="20"/>
                <w:szCs w:val="20"/>
                <w:color w:val="auto"/>
              </w:rPr>
            </w:pPr>
            <w:r>
              <w:rPr>
                <w:rFonts w:ascii="Arial" w:cs="Arial" w:eastAsia="Arial" w:hAnsi="Arial"/>
                <w:sz w:val="16"/>
                <w:szCs w:val="16"/>
                <w:color w:val="auto"/>
              </w:rPr>
              <w:t>Item 1.</w:t>
            </w:r>
          </w:p>
        </w:tc>
        <w:tc>
          <w:tcPr>
            <w:tcW w:w="8260" w:type="dxa"/>
            <w:vAlign w:val="bottom"/>
            <w:gridSpan w:val="30"/>
          </w:tcPr>
          <w:p>
            <w:pPr>
              <w:spacing w:after="0" w:line="175" w:lineRule="exact"/>
              <w:rPr>
                <w:rFonts w:ascii="Arial" w:cs="Arial" w:eastAsia="Arial" w:hAnsi="Arial"/>
                <w:sz w:val="16"/>
                <w:szCs w:val="16"/>
                <w:color w:val="0000FF"/>
              </w:rPr>
            </w:pPr>
            <w:hyperlink w:anchor="page52">
              <w:r>
                <w:rPr>
                  <w:rFonts w:ascii="Arial" w:cs="Arial" w:eastAsia="Arial" w:hAnsi="Arial"/>
                  <w:sz w:val="16"/>
                  <w:szCs w:val="16"/>
                  <w:color w:val="0000FF"/>
                </w:rPr>
                <w:t>Legal Proceedings</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52">
              <w:r>
                <w:rPr>
                  <w:rFonts w:ascii="Arial" w:cs="Arial" w:eastAsia="Arial" w:hAnsi="Arial"/>
                  <w:sz w:val="16"/>
                  <w:szCs w:val="16"/>
                  <w:color w:val="0000FF"/>
                </w:rPr>
                <w:t>52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1420" w:type="dxa"/>
            <w:vAlign w:val="bottom"/>
            <w:gridSpan w:val="3"/>
            <w:shd w:val="clear" w:color="auto" w:fill="CEFFE7"/>
          </w:tcPr>
          <w:p>
            <w:pPr>
              <w:spacing w:after="0" w:line="175" w:lineRule="exact"/>
              <w:rPr>
                <w:sz w:val="20"/>
                <w:szCs w:val="20"/>
                <w:color w:val="auto"/>
              </w:rPr>
            </w:pPr>
            <w:r>
              <w:rPr>
                <w:rFonts w:ascii="Arial" w:cs="Arial" w:eastAsia="Arial" w:hAnsi="Arial"/>
                <w:sz w:val="16"/>
                <w:szCs w:val="16"/>
                <w:color w:val="auto"/>
              </w:rPr>
              <w:t>Item 1A.</w:t>
            </w:r>
          </w:p>
        </w:tc>
        <w:tc>
          <w:tcPr>
            <w:tcW w:w="900" w:type="dxa"/>
            <w:vAlign w:val="bottom"/>
            <w:gridSpan w:val="6"/>
            <w:shd w:val="clear" w:color="auto" w:fill="CEFFE7"/>
          </w:tcPr>
          <w:p>
            <w:pPr>
              <w:spacing w:after="0" w:line="175" w:lineRule="exact"/>
              <w:rPr>
                <w:rFonts w:ascii="Arial" w:cs="Arial" w:eastAsia="Arial" w:hAnsi="Arial"/>
                <w:sz w:val="16"/>
                <w:szCs w:val="16"/>
                <w:color w:val="0000FF"/>
                <w:w w:val="98"/>
              </w:rPr>
            </w:pPr>
            <w:hyperlink w:anchor="page52">
              <w:r>
                <w:rPr>
                  <w:rFonts w:ascii="Arial" w:cs="Arial" w:eastAsia="Arial" w:hAnsi="Arial"/>
                  <w:sz w:val="16"/>
                  <w:szCs w:val="16"/>
                  <w:color w:val="0000FF"/>
                  <w:w w:val="98"/>
                </w:rPr>
                <w:t>Risk Factors</w:t>
              </w:r>
            </w:hyperlink>
          </w:p>
        </w:tc>
        <w:tc>
          <w:tcPr>
            <w:tcW w:w="7360" w:type="dxa"/>
            <w:vAlign w:val="bottom"/>
            <w:gridSpan w:val="24"/>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840" w:type="dxa"/>
            <w:vAlign w:val="bottom"/>
            <w:gridSpan w:val="2"/>
            <w:shd w:val="clear" w:color="auto" w:fill="CEFFE7"/>
          </w:tcPr>
          <w:p>
            <w:pPr>
              <w:jc w:val="center"/>
              <w:ind w:right="660"/>
              <w:spacing w:after="0" w:line="175" w:lineRule="exact"/>
              <w:rPr>
                <w:rFonts w:ascii="Arial" w:cs="Arial" w:eastAsia="Arial" w:hAnsi="Arial"/>
                <w:sz w:val="16"/>
                <w:szCs w:val="16"/>
                <w:color w:val="0000FF"/>
              </w:rPr>
            </w:pPr>
            <w:hyperlink w:anchor="page52">
              <w:r>
                <w:rPr>
                  <w:rFonts w:ascii="Arial" w:cs="Arial" w:eastAsia="Arial" w:hAnsi="Arial"/>
                  <w:sz w:val="16"/>
                  <w:szCs w:val="16"/>
                  <w:color w:val="0000FF"/>
                </w:rPr>
                <w:t>52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CEFFE7"/>
            </w:tcBorders>
            <w:shd w:val="clear" w:color="auto" w:fill="CEFFE7"/>
          </w:tcPr>
          <w:p>
            <w:pPr>
              <w:spacing w:after="0" w:line="20" w:lineRule="exact"/>
              <w:rPr>
                <w:sz w:val="1"/>
                <w:szCs w:val="1"/>
                <w:color w:val="auto"/>
              </w:rPr>
            </w:pPr>
          </w:p>
        </w:tc>
        <w:tc>
          <w:tcPr>
            <w:tcW w:w="1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00" w:type="dxa"/>
            <w:vAlign w:val="bottom"/>
            <w:tcBorders>
              <w:top w:val="single" w:sz="8" w:color="CEFFE7"/>
            </w:tcBorders>
            <w:shd w:val="clear" w:color="auto" w:fill="CEFFE7"/>
          </w:tcPr>
          <w:p>
            <w:pPr>
              <w:spacing w:after="0" w:line="20" w:lineRule="exact"/>
              <w:rPr>
                <w:sz w:val="1"/>
                <w:szCs w:val="1"/>
                <w:color w:val="auto"/>
              </w:rPr>
            </w:pPr>
          </w:p>
        </w:tc>
        <w:tc>
          <w:tcPr>
            <w:tcW w:w="1120" w:type="dxa"/>
            <w:vAlign w:val="bottom"/>
            <w:tcBorders>
              <w:top w:val="single" w:sz="8" w:color="CEFFE7"/>
            </w:tcBorders>
            <w:shd w:val="clear" w:color="auto" w:fill="CEFFE7"/>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1420" w:type="dxa"/>
            <w:vAlign w:val="bottom"/>
            <w:gridSpan w:val="3"/>
          </w:tcPr>
          <w:p>
            <w:pPr>
              <w:spacing w:after="0" w:line="175" w:lineRule="exact"/>
              <w:rPr>
                <w:sz w:val="20"/>
                <w:szCs w:val="20"/>
                <w:color w:val="auto"/>
              </w:rPr>
            </w:pPr>
            <w:r>
              <w:rPr>
                <w:rFonts w:ascii="Arial" w:cs="Arial" w:eastAsia="Arial" w:hAnsi="Arial"/>
                <w:sz w:val="16"/>
                <w:szCs w:val="16"/>
                <w:color w:val="auto"/>
              </w:rPr>
              <w:t>Item 2.</w:t>
            </w:r>
          </w:p>
        </w:tc>
        <w:tc>
          <w:tcPr>
            <w:tcW w:w="8260" w:type="dxa"/>
            <w:vAlign w:val="bottom"/>
            <w:gridSpan w:val="30"/>
          </w:tcPr>
          <w:p>
            <w:pPr>
              <w:spacing w:after="0" w:line="175" w:lineRule="exact"/>
              <w:rPr>
                <w:rFonts w:ascii="Arial" w:cs="Arial" w:eastAsia="Arial" w:hAnsi="Arial"/>
                <w:sz w:val="16"/>
                <w:szCs w:val="16"/>
                <w:color w:val="0000FF"/>
              </w:rPr>
            </w:pPr>
            <w:hyperlink w:anchor="page52">
              <w:r>
                <w:rPr>
                  <w:rFonts w:ascii="Arial" w:cs="Arial" w:eastAsia="Arial" w:hAnsi="Arial"/>
                  <w:sz w:val="16"/>
                  <w:szCs w:val="16"/>
                  <w:color w:val="0000FF"/>
                </w:rPr>
                <w:t>Unregistered Sales of Equity Securities and Use of Proceeds</w:t>
              </w:r>
            </w:hyperlink>
          </w:p>
        </w:tc>
        <w:tc>
          <w:tcPr>
            <w:tcW w:w="1500" w:type="dxa"/>
            <w:vAlign w:val="bottom"/>
            <w:gridSpan w:val="3"/>
          </w:tcPr>
          <w:p>
            <w:pPr>
              <w:jc w:val="center"/>
              <w:spacing w:after="0" w:line="175" w:lineRule="exact"/>
              <w:rPr>
                <w:rFonts w:ascii="Arial" w:cs="Arial" w:eastAsia="Arial" w:hAnsi="Arial"/>
                <w:sz w:val="16"/>
                <w:szCs w:val="16"/>
                <w:color w:val="0000FF"/>
              </w:rPr>
            </w:pPr>
            <w:hyperlink w:anchor="page52">
              <w:r>
                <w:rPr>
                  <w:rFonts w:ascii="Arial" w:cs="Arial" w:eastAsia="Arial" w:hAnsi="Arial"/>
                  <w:sz w:val="16"/>
                  <w:szCs w:val="16"/>
                  <w:color w:val="0000FF"/>
                </w:rPr>
                <w:t>52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Borders>
              <w:right w:val="single" w:sz="8" w:color="CEFFE7"/>
            </w:tcBorders>
          </w:tcPr>
          <w:p>
            <w:pPr>
              <w:spacing w:after="0"/>
              <w:rPr>
                <w:sz w:val="15"/>
                <w:szCs w:val="15"/>
                <w:color w:val="auto"/>
              </w:rPr>
            </w:pPr>
          </w:p>
        </w:tc>
        <w:tc>
          <w:tcPr>
            <w:tcW w:w="1420" w:type="dxa"/>
            <w:vAlign w:val="bottom"/>
            <w:gridSpan w:val="3"/>
            <w:shd w:val="clear" w:color="auto" w:fill="CEFFE7"/>
          </w:tcPr>
          <w:p>
            <w:pPr>
              <w:spacing w:after="0" w:line="175" w:lineRule="exact"/>
              <w:rPr>
                <w:sz w:val="20"/>
                <w:szCs w:val="20"/>
                <w:color w:val="auto"/>
              </w:rPr>
            </w:pPr>
            <w:r>
              <w:rPr>
                <w:rFonts w:ascii="Arial" w:cs="Arial" w:eastAsia="Arial" w:hAnsi="Arial"/>
                <w:sz w:val="16"/>
                <w:szCs w:val="16"/>
                <w:color w:val="auto"/>
              </w:rPr>
              <w:t>Item 4.</w:t>
            </w:r>
          </w:p>
        </w:tc>
        <w:tc>
          <w:tcPr>
            <w:tcW w:w="1740" w:type="dxa"/>
            <w:vAlign w:val="bottom"/>
            <w:gridSpan w:val="17"/>
            <w:shd w:val="clear" w:color="auto" w:fill="CEFFE7"/>
          </w:tcPr>
          <w:p>
            <w:pPr>
              <w:spacing w:after="0" w:line="175" w:lineRule="exact"/>
              <w:rPr>
                <w:rFonts w:ascii="Arial" w:cs="Arial" w:eastAsia="Arial" w:hAnsi="Arial"/>
                <w:sz w:val="16"/>
                <w:szCs w:val="16"/>
                <w:color w:val="0000FF"/>
              </w:rPr>
            </w:pPr>
            <w:hyperlink w:anchor="page52">
              <w:r>
                <w:rPr>
                  <w:rFonts w:ascii="Arial" w:cs="Arial" w:eastAsia="Arial" w:hAnsi="Arial"/>
                  <w:sz w:val="16"/>
                  <w:szCs w:val="16"/>
                  <w:color w:val="0000FF"/>
                </w:rPr>
                <w:t>Mine Safety Disclosures</w:t>
              </w:r>
            </w:hyperlink>
          </w:p>
        </w:tc>
        <w:tc>
          <w:tcPr>
            <w:tcW w:w="6520" w:type="dxa"/>
            <w:vAlign w:val="bottom"/>
            <w:gridSpan w:val="13"/>
            <w:shd w:val="clear" w:color="auto" w:fill="CEFFE7"/>
          </w:tcPr>
          <w:p>
            <w:pPr>
              <w:spacing w:after="0"/>
              <w:rPr>
                <w:sz w:val="15"/>
                <w:szCs w:val="15"/>
                <w:color w:val="auto"/>
              </w:rPr>
            </w:pPr>
          </w:p>
        </w:tc>
        <w:tc>
          <w:tcPr>
            <w:tcW w:w="660" w:type="dxa"/>
            <w:vAlign w:val="bottom"/>
            <w:shd w:val="clear" w:color="auto" w:fill="CEFFE7"/>
          </w:tcPr>
          <w:p>
            <w:pPr>
              <w:spacing w:after="0"/>
              <w:rPr>
                <w:sz w:val="15"/>
                <w:szCs w:val="15"/>
                <w:color w:val="auto"/>
              </w:rPr>
            </w:pPr>
          </w:p>
        </w:tc>
        <w:tc>
          <w:tcPr>
            <w:tcW w:w="840" w:type="dxa"/>
            <w:vAlign w:val="bottom"/>
            <w:gridSpan w:val="2"/>
            <w:shd w:val="clear" w:color="auto" w:fill="CEFFE7"/>
          </w:tcPr>
          <w:p>
            <w:pPr>
              <w:jc w:val="center"/>
              <w:ind w:right="660"/>
              <w:spacing w:after="0" w:line="175" w:lineRule="exact"/>
              <w:rPr>
                <w:rFonts w:ascii="Arial" w:cs="Arial" w:eastAsia="Arial" w:hAnsi="Arial"/>
                <w:sz w:val="16"/>
                <w:szCs w:val="16"/>
                <w:color w:val="0000FF"/>
              </w:rPr>
            </w:pPr>
            <w:hyperlink w:anchor="page52">
              <w:r>
                <w:rPr>
                  <w:rFonts w:ascii="Arial" w:cs="Arial" w:eastAsia="Arial" w:hAnsi="Arial"/>
                  <w:sz w:val="16"/>
                  <w:szCs w:val="16"/>
                  <w:color w:val="0000FF"/>
                </w:rPr>
                <w:t>52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CEFFE7"/>
            </w:tcBorders>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5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22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120" w:type="dxa"/>
            <w:vAlign w:val="bottom"/>
            <w:tcBorders>
              <w:top w:val="single" w:sz="8" w:color="0000FF"/>
            </w:tcBorders>
            <w:shd w:val="clear" w:color="auto" w:fill="CEFFE7"/>
          </w:tcPr>
          <w:p>
            <w:pPr>
              <w:spacing w:after="0" w:line="20" w:lineRule="exact"/>
              <w:rPr>
                <w:sz w:val="1"/>
                <w:szCs w:val="1"/>
                <w:color w:val="auto"/>
              </w:rPr>
            </w:pPr>
          </w:p>
        </w:tc>
        <w:tc>
          <w:tcPr>
            <w:tcW w:w="160" w:type="dxa"/>
            <w:vAlign w:val="bottom"/>
            <w:tcBorders>
              <w:top w:val="single" w:sz="8" w:color="0000FF"/>
            </w:tcBorders>
            <w:shd w:val="clear" w:color="auto" w:fill="CEFFE7"/>
          </w:tcPr>
          <w:p>
            <w:pPr>
              <w:spacing w:after="0" w:line="20" w:lineRule="exact"/>
              <w:rPr>
                <w:sz w:val="1"/>
                <w:szCs w:val="1"/>
                <w:color w:val="auto"/>
              </w:rPr>
            </w:pPr>
          </w:p>
        </w:tc>
        <w:tc>
          <w:tcPr>
            <w:tcW w:w="8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5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500" w:type="dxa"/>
            <w:vAlign w:val="bottom"/>
            <w:tcBorders>
              <w:top w:val="single" w:sz="8" w:color="CEFFE7"/>
            </w:tcBorders>
            <w:shd w:val="clear" w:color="auto" w:fill="CEFFE7"/>
          </w:tcPr>
          <w:p>
            <w:pPr>
              <w:spacing w:after="0" w:line="20" w:lineRule="exact"/>
              <w:rPr>
                <w:sz w:val="1"/>
                <w:szCs w:val="1"/>
                <w:color w:val="auto"/>
              </w:rPr>
            </w:pPr>
          </w:p>
        </w:tc>
        <w:tc>
          <w:tcPr>
            <w:tcW w:w="118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00" w:type="dxa"/>
            <w:vAlign w:val="bottom"/>
            <w:tcBorders>
              <w:top w:val="single" w:sz="8" w:color="CEFFE7"/>
            </w:tcBorders>
            <w:shd w:val="clear" w:color="auto" w:fill="CEFFE7"/>
          </w:tcPr>
          <w:p>
            <w:pPr>
              <w:spacing w:after="0" w:line="20" w:lineRule="exact"/>
              <w:rPr>
                <w:sz w:val="1"/>
                <w:szCs w:val="1"/>
                <w:color w:val="auto"/>
              </w:rPr>
            </w:pPr>
          </w:p>
        </w:tc>
        <w:tc>
          <w:tcPr>
            <w:tcW w:w="1120" w:type="dxa"/>
            <w:vAlign w:val="bottom"/>
            <w:tcBorders>
              <w:top w:val="single" w:sz="8" w:color="CEFFE7"/>
            </w:tcBorders>
            <w:shd w:val="clear" w:color="auto" w:fill="CEFFE7"/>
          </w:tcPr>
          <w:p>
            <w:pPr>
              <w:spacing w:after="0" w:line="20" w:lineRule="exact"/>
              <w:rPr>
                <w:sz w:val="1"/>
                <w:szCs w:val="1"/>
                <w:color w:val="auto"/>
              </w:rPr>
            </w:pPr>
          </w:p>
        </w:tc>
        <w:tc>
          <w:tcPr>
            <w:tcW w:w="780" w:type="dxa"/>
            <w:vAlign w:val="bottom"/>
            <w:tcBorders>
              <w:top w:val="single" w:sz="8" w:color="CEFFE7"/>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6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1420" w:type="dxa"/>
            <w:vAlign w:val="bottom"/>
            <w:gridSpan w:val="3"/>
          </w:tcPr>
          <w:p>
            <w:pPr>
              <w:spacing w:after="0" w:line="175" w:lineRule="exact"/>
              <w:rPr>
                <w:sz w:val="20"/>
                <w:szCs w:val="20"/>
                <w:color w:val="auto"/>
              </w:rPr>
            </w:pPr>
            <w:r>
              <w:rPr>
                <w:rFonts w:ascii="Arial" w:cs="Arial" w:eastAsia="Arial" w:hAnsi="Arial"/>
                <w:sz w:val="16"/>
                <w:szCs w:val="16"/>
                <w:color w:val="auto"/>
              </w:rPr>
              <w:t>Item 6.</w:t>
            </w:r>
          </w:p>
        </w:tc>
        <w:tc>
          <w:tcPr>
            <w:tcW w:w="1740" w:type="dxa"/>
            <w:vAlign w:val="bottom"/>
            <w:gridSpan w:val="17"/>
          </w:tcPr>
          <w:p>
            <w:pPr>
              <w:spacing w:after="0" w:line="175" w:lineRule="exact"/>
              <w:rPr>
                <w:rFonts w:ascii="Arial" w:cs="Arial" w:eastAsia="Arial" w:hAnsi="Arial"/>
                <w:sz w:val="16"/>
                <w:szCs w:val="16"/>
                <w:color w:val="0000FF"/>
              </w:rPr>
            </w:pPr>
            <w:hyperlink w:anchor="page52">
              <w:r>
                <w:rPr>
                  <w:rFonts w:ascii="Arial" w:cs="Arial" w:eastAsia="Arial" w:hAnsi="Arial"/>
                  <w:sz w:val="16"/>
                  <w:szCs w:val="16"/>
                  <w:color w:val="0000FF"/>
                </w:rPr>
                <w:t>Exhibits</w:t>
              </w:r>
            </w:hyperlink>
          </w:p>
        </w:tc>
        <w:tc>
          <w:tcPr>
            <w:tcW w:w="6520" w:type="dxa"/>
            <w:vAlign w:val="bottom"/>
            <w:gridSpan w:val="13"/>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gridSpan w:val="2"/>
          </w:tcPr>
          <w:p>
            <w:pPr>
              <w:jc w:val="center"/>
              <w:ind w:right="660"/>
              <w:spacing w:after="0" w:line="175" w:lineRule="exact"/>
              <w:rPr>
                <w:rFonts w:ascii="Arial" w:cs="Arial" w:eastAsia="Arial" w:hAnsi="Arial"/>
                <w:sz w:val="16"/>
                <w:szCs w:val="16"/>
                <w:color w:val="0000FF"/>
              </w:rPr>
            </w:pPr>
            <w:hyperlink w:anchor="page52">
              <w:r>
                <w:rPr>
                  <w:rFonts w:ascii="Arial" w:cs="Arial" w:eastAsia="Arial" w:hAnsi="Arial"/>
                  <w:sz w:val="16"/>
                  <w:szCs w:val="16"/>
                  <w:color w:val="0000FF"/>
                </w:rPr>
                <w:t>52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right w:val="single" w:sz="8" w:color="CEFFE7"/>
            </w:tcBorders>
          </w:tcPr>
          <w:p>
            <w:pPr>
              <w:spacing w:after="0"/>
              <w:rPr>
                <w:sz w:val="23"/>
                <w:szCs w:val="23"/>
                <w:color w:val="auto"/>
              </w:rPr>
            </w:pPr>
          </w:p>
        </w:tc>
        <w:tc>
          <w:tcPr>
            <w:tcW w:w="780" w:type="dxa"/>
            <w:vAlign w:val="bottom"/>
            <w:shd w:val="clear" w:color="auto" w:fill="CEFFE7"/>
          </w:tcPr>
          <w:p>
            <w:pPr>
              <w:spacing w:after="0"/>
              <w:rPr>
                <w:sz w:val="23"/>
                <w:szCs w:val="23"/>
                <w:color w:val="auto"/>
              </w:rPr>
            </w:pPr>
          </w:p>
        </w:tc>
        <w:tc>
          <w:tcPr>
            <w:tcW w:w="640" w:type="dxa"/>
            <w:vAlign w:val="bottom"/>
            <w:gridSpan w:val="2"/>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24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16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40" w:type="dxa"/>
            <w:vAlign w:val="bottom"/>
            <w:shd w:val="clear" w:color="auto" w:fill="CEFFE7"/>
          </w:tcPr>
          <w:p>
            <w:pPr>
              <w:spacing w:after="0"/>
              <w:rPr>
                <w:sz w:val="23"/>
                <w:szCs w:val="23"/>
                <w:color w:val="auto"/>
              </w:rPr>
            </w:pPr>
          </w:p>
        </w:tc>
        <w:tc>
          <w:tcPr>
            <w:tcW w:w="20" w:type="dxa"/>
            <w:vAlign w:val="bottom"/>
            <w:shd w:val="clear" w:color="auto" w:fill="CEFFE7"/>
          </w:tcPr>
          <w:p>
            <w:pPr>
              <w:spacing w:after="0"/>
              <w:rPr>
                <w:sz w:val="23"/>
                <w:szCs w:val="23"/>
                <w:color w:val="auto"/>
              </w:rPr>
            </w:pPr>
          </w:p>
        </w:tc>
        <w:tc>
          <w:tcPr>
            <w:tcW w:w="80" w:type="dxa"/>
            <w:vAlign w:val="bottom"/>
            <w:shd w:val="clear" w:color="auto" w:fill="CEFFE7"/>
          </w:tcPr>
          <w:p>
            <w:pPr>
              <w:spacing w:after="0"/>
              <w:rPr>
                <w:sz w:val="23"/>
                <w:szCs w:val="23"/>
                <w:color w:val="auto"/>
              </w:rPr>
            </w:pPr>
          </w:p>
        </w:tc>
        <w:tc>
          <w:tcPr>
            <w:tcW w:w="520" w:type="dxa"/>
            <w:vAlign w:val="bottom"/>
            <w:shd w:val="clear" w:color="auto" w:fill="CEFFE7"/>
          </w:tcPr>
          <w:p>
            <w:pPr>
              <w:spacing w:after="0"/>
              <w:rPr>
                <w:sz w:val="23"/>
                <w:szCs w:val="23"/>
                <w:color w:val="auto"/>
              </w:rPr>
            </w:pPr>
          </w:p>
        </w:tc>
        <w:tc>
          <w:tcPr>
            <w:tcW w:w="10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500" w:type="dxa"/>
            <w:vAlign w:val="bottom"/>
            <w:shd w:val="clear" w:color="auto" w:fill="CEFFE7"/>
          </w:tcPr>
          <w:p>
            <w:pPr>
              <w:spacing w:after="0"/>
              <w:rPr>
                <w:sz w:val="23"/>
                <w:szCs w:val="23"/>
                <w:color w:val="auto"/>
              </w:rPr>
            </w:pPr>
          </w:p>
        </w:tc>
        <w:tc>
          <w:tcPr>
            <w:tcW w:w="118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60" w:type="dxa"/>
            <w:vAlign w:val="bottom"/>
            <w:shd w:val="clear" w:color="auto" w:fill="CEFFE7"/>
          </w:tcPr>
          <w:p>
            <w:pPr>
              <w:spacing w:after="0"/>
              <w:rPr>
                <w:sz w:val="23"/>
                <w:szCs w:val="23"/>
                <w:color w:val="auto"/>
              </w:rPr>
            </w:pPr>
          </w:p>
        </w:tc>
        <w:tc>
          <w:tcPr>
            <w:tcW w:w="2000" w:type="dxa"/>
            <w:vAlign w:val="bottom"/>
            <w:shd w:val="clear" w:color="auto" w:fill="CEFFE7"/>
          </w:tcPr>
          <w:p>
            <w:pPr>
              <w:spacing w:after="0"/>
              <w:rPr>
                <w:sz w:val="23"/>
                <w:szCs w:val="23"/>
                <w:color w:val="auto"/>
              </w:rPr>
            </w:pPr>
          </w:p>
        </w:tc>
        <w:tc>
          <w:tcPr>
            <w:tcW w:w="1120" w:type="dxa"/>
            <w:vAlign w:val="bottom"/>
            <w:shd w:val="clear" w:color="auto" w:fill="CEFFE7"/>
          </w:tcPr>
          <w:p>
            <w:pPr>
              <w:spacing w:after="0"/>
              <w:rPr>
                <w:sz w:val="23"/>
                <w:szCs w:val="23"/>
                <w:color w:val="auto"/>
              </w:rPr>
            </w:pPr>
          </w:p>
        </w:tc>
        <w:tc>
          <w:tcPr>
            <w:tcW w:w="78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660" w:type="dxa"/>
            <w:vAlign w:val="bottom"/>
            <w:shd w:val="clear" w:color="auto" w:fill="CEFFE7"/>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420" w:type="dxa"/>
            <w:vAlign w:val="bottom"/>
            <w:gridSpan w:val="3"/>
          </w:tcPr>
          <w:p>
            <w:pPr>
              <w:spacing w:after="0" w:line="175" w:lineRule="exact"/>
              <w:rPr>
                <w:rFonts w:ascii="Arial" w:cs="Arial" w:eastAsia="Arial" w:hAnsi="Arial"/>
                <w:sz w:val="16"/>
                <w:szCs w:val="16"/>
                <w:color w:val="0000FF"/>
              </w:rPr>
            </w:pPr>
            <w:hyperlink w:anchor="page53">
              <w:r>
                <w:rPr>
                  <w:rFonts w:ascii="Arial" w:cs="Arial" w:eastAsia="Arial" w:hAnsi="Arial"/>
                  <w:sz w:val="16"/>
                  <w:szCs w:val="16"/>
                  <w:color w:val="0000FF"/>
                </w:rPr>
                <w:t>Signatures</w:t>
              </w:r>
            </w:hyperlink>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00" w:type="dxa"/>
            <w:vAlign w:val="bottom"/>
            <w:gridSpan w:val="3"/>
          </w:tcPr>
          <w:p>
            <w:pPr>
              <w:jc w:val="center"/>
              <w:spacing w:after="0" w:line="175" w:lineRule="exact"/>
              <w:rPr>
                <w:rFonts w:ascii="Arial" w:cs="Arial" w:eastAsia="Arial" w:hAnsi="Arial"/>
                <w:sz w:val="16"/>
                <w:szCs w:val="16"/>
                <w:color w:val="0000FF"/>
              </w:rPr>
            </w:pPr>
            <w:hyperlink w:anchor="page53">
              <w:r>
                <w:rPr>
                  <w:rFonts w:ascii="Arial" w:cs="Arial" w:eastAsia="Arial" w:hAnsi="Arial"/>
                  <w:sz w:val="16"/>
                  <w:szCs w:val="16"/>
                  <w:color w:val="0000FF"/>
                </w:rPr>
                <w:t>54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8"/>
        </w:trPr>
        <w:tc>
          <w:tcPr>
            <w:tcW w:w="40" w:type="dxa"/>
            <w:vAlign w:val="bottom"/>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40" w:type="dxa"/>
            <w:vAlign w:val="bottom"/>
            <w:gridSpan w:val="25"/>
          </w:tcPr>
          <w:p>
            <w:pPr>
              <w:ind w:left="4120"/>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8540" w:type="dxa"/>
            <w:vAlign w:val="bottom"/>
          </w:tcPr>
          <w:p>
            <w:pPr>
              <w:ind w:left="1140"/>
              <w:spacing w:after="0"/>
              <w:rPr>
                <w:sz w:val="20"/>
                <w:szCs w:val="20"/>
                <w:color w:val="auto"/>
              </w:rPr>
            </w:pPr>
            <w:r>
              <w:rPr>
                <w:rFonts w:ascii="Arial" w:cs="Arial" w:eastAsia="Arial" w:hAnsi="Arial"/>
                <w:sz w:val="16"/>
                <w:szCs w:val="16"/>
                <w:b w:val="1"/>
                <w:bCs w:val="1"/>
                <w:color w:val="auto"/>
              </w:rPr>
              <w:t>GLOSSARY OF TERMS AND ABBREVIATIONS</w:t>
            </w:r>
          </w:p>
        </w:tc>
      </w:tr>
      <w:tr>
        <w:trPr>
          <w:trHeight w:val="432"/>
        </w:trPr>
        <w:tc>
          <w:tcPr>
            <w:tcW w:w="11240" w:type="dxa"/>
            <w:vAlign w:val="bottom"/>
            <w:gridSpan w:val="2"/>
          </w:tcPr>
          <w:p>
            <w:pPr>
              <w:spacing w:after="0"/>
              <w:rPr>
                <w:sz w:val="20"/>
                <w:szCs w:val="20"/>
                <w:color w:val="auto"/>
              </w:rPr>
            </w:pPr>
            <w:r>
              <w:rPr>
                <w:rFonts w:ascii="Arial" w:cs="Arial" w:eastAsia="Arial" w:hAnsi="Arial"/>
                <w:sz w:val="16"/>
                <w:szCs w:val="16"/>
                <w:color w:val="auto"/>
              </w:rPr>
              <w:t>The following terms and abbreviations appear in the text of this report and have the definitions described below:</w:t>
            </w:r>
          </w:p>
        </w:tc>
      </w:tr>
      <w:tr>
        <w:trPr>
          <w:trHeight w:val="114"/>
        </w:trPr>
        <w:tc>
          <w:tcPr>
            <w:tcW w:w="2700" w:type="dxa"/>
            <w:vAlign w:val="bottom"/>
          </w:tcPr>
          <w:p>
            <w:pPr>
              <w:spacing w:after="0"/>
              <w:rPr>
                <w:sz w:val="9"/>
                <w:szCs w:val="9"/>
                <w:color w:val="auto"/>
              </w:rPr>
            </w:pPr>
          </w:p>
        </w:tc>
        <w:tc>
          <w:tcPr>
            <w:tcW w:w="8540" w:type="dxa"/>
            <w:vAlign w:val="bottom"/>
          </w:tcPr>
          <w:p>
            <w:pPr>
              <w:spacing w:after="0"/>
              <w:rPr>
                <w:sz w:val="9"/>
                <w:szCs w:val="9"/>
                <w:color w:val="auto"/>
              </w:rPr>
            </w:pPr>
          </w:p>
        </w:tc>
      </w:tr>
      <w:tr>
        <w:trPr>
          <w:trHeight w:val="216"/>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AFUDC</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Allowance for Funds Used During Construction</w:t>
            </w: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AOCI</w:t>
            </w:r>
          </w:p>
        </w:tc>
        <w:tc>
          <w:tcPr>
            <w:tcW w:w="8540" w:type="dxa"/>
            <w:vAlign w:val="bottom"/>
          </w:tcPr>
          <w:p>
            <w:pPr>
              <w:ind w:left="160"/>
              <w:spacing w:after="0"/>
              <w:rPr>
                <w:sz w:val="20"/>
                <w:szCs w:val="20"/>
                <w:color w:val="auto"/>
              </w:rPr>
            </w:pPr>
            <w:r>
              <w:rPr>
                <w:rFonts w:ascii="Arial" w:cs="Arial" w:eastAsia="Arial" w:hAnsi="Arial"/>
                <w:sz w:val="16"/>
                <w:szCs w:val="16"/>
                <w:color w:val="auto"/>
              </w:rPr>
              <w:t>Accumulated Other Comprehensive Income (Loss)</w:t>
            </w:r>
          </w:p>
        </w:tc>
      </w:tr>
      <w:tr>
        <w:trPr>
          <w:trHeight w:val="180"/>
        </w:trPr>
        <w:tc>
          <w:tcPr>
            <w:tcW w:w="27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Arkansas Gas</w:t>
            </w:r>
          </w:p>
        </w:tc>
        <w:tc>
          <w:tcPr>
            <w:tcW w:w="854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Black Hills Energy Arkansas, Inc., an indirect, wholly-owned subsidiary of Black Hills Utility Holdings, providing</w:t>
            </w:r>
          </w:p>
        </w:tc>
      </w:tr>
      <w:tr>
        <w:trPr>
          <w:trHeight w:val="201"/>
        </w:trPr>
        <w:tc>
          <w:tcPr>
            <w:tcW w:w="2700" w:type="dxa"/>
            <w:vAlign w:val="bottom"/>
            <w:shd w:val="clear" w:color="auto" w:fill="CEFFE7"/>
          </w:tcPr>
          <w:p>
            <w:pPr>
              <w:spacing w:after="0"/>
              <w:rPr>
                <w:sz w:val="17"/>
                <w:szCs w:val="17"/>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natural gas services to customers in Arkansas (doing business as Black Hills Energy).</w:t>
            </w: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ASC</w:t>
            </w:r>
          </w:p>
        </w:tc>
        <w:tc>
          <w:tcPr>
            <w:tcW w:w="8540" w:type="dxa"/>
            <w:vAlign w:val="bottom"/>
          </w:tcPr>
          <w:p>
            <w:pPr>
              <w:ind w:left="160"/>
              <w:spacing w:after="0"/>
              <w:rPr>
                <w:sz w:val="20"/>
                <w:szCs w:val="20"/>
                <w:color w:val="auto"/>
              </w:rPr>
            </w:pPr>
            <w:r>
              <w:rPr>
                <w:rFonts w:ascii="Arial" w:cs="Arial" w:eastAsia="Arial" w:hAnsi="Arial"/>
                <w:sz w:val="16"/>
                <w:szCs w:val="16"/>
                <w:color w:val="auto"/>
              </w:rPr>
              <w:t>Accounting Standards Codification</w:t>
            </w:r>
          </w:p>
        </w:tc>
      </w:tr>
      <w:tr>
        <w:trPr>
          <w:trHeight w:val="219"/>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ASU</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Accounting Standards Update issued by the FASB</w:t>
            </w: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ATM</w:t>
            </w:r>
          </w:p>
        </w:tc>
        <w:tc>
          <w:tcPr>
            <w:tcW w:w="8540" w:type="dxa"/>
            <w:vAlign w:val="bottom"/>
          </w:tcPr>
          <w:p>
            <w:pPr>
              <w:ind w:left="160"/>
              <w:spacing w:after="0"/>
              <w:rPr>
                <w:sz w:val="20"/>
                <w:szCs w:val="20"/>
                <w:color w:val="auto"/>
              </w:rPr>
            </w:pPr>
            <w:r>
              <w:rPr>
                <w:rFonts w:ascii="Arial" w:cs="Arial" w:eastAsia="Arial" w:hAnsi="Arial"/>
                <w:sz w:val="16"/>
                <w:szCs w:val="16"/>
                <w:color w:val="auto"/>
              </w:rPr>
              <w:t>At-the-market equity offering program</w:t>
            </w:r>
          </w:p>
        </w:tc>
      </w:tr>
      <w:tr>
        <w:trPr>
          <w:trHeight w:val="219"/>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Availability</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The availability factor of a power plant is the percentage of the time that it is available to provide energy.</w:t>
            </w: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BHC</w:t>
            </w:r>
          </w:p>
        </w:tc>
        <w:tc>
          <w:tcPr>
            <w:tcW w:w="8540" w:type="dxa"/>
            <w:vAlign w:val="bottom"/>
          </w:tcPr>
          <w:p>
            <w:pPr>
              <w:ind w:left="160"/>
              <w:spacing w:after="0"/>
              <w:rPr>
                <w:sz w:val="20"/>
                <w:szCs w:val="20"/>
                <w:color w:val="auto"/>
              </w:rPr>
            </w:pPr>
            <w:r>
              <w:rPr>
                <w:rFonts w:ascii="Arial" w:cs="Arial" w:eastAsia="Arial" w:hAnsi="Arial"/>
                <w:sz w:val="16"/>
                <w:szCs w:val="16"/>
                <w:color w:val="auto"/>
              </w:rPr>
              <w:t>Black Hills Corporation; the Company</w:t>
            </w:r>
          </w:p>
        </w:tc>
      </w:tr>
      <w:tr>
        <w:trPr>
          <w:trHeight w:val="219"/>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Black Hills Colorado IPP</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Black Hills Colorado IPP, LLC a 50.1% owned subsidiary of Black Hills Electric Generation</w:t>
            </w: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Black Hills Electric Generation</w:t>
            </w:r>
          </w:p>
        </w:tc>
        <w:tc>
          <w:tcPr>
            <w:tcW w:w="8540" w:type="dxa"/>
            <w:vAlign w:val="bottom"/>
          </w:tcPr>
          <w:p>
            <w:pPr>
              <w:ind w:left="160"/>
              <w:spacing w:after="0" w:line="178" w:lineRule="exact"/>
              <w:rPr>
                <w:sz w:val="20"/>
                <w:szCs w:val="20"/>
                <w:color w:val="auto"/>
              </w:rPr>
            </w:pPr>
            <w:r>
              <w:rPr>
                <w:rFonts w:ascii="Arial" w:cs="Arial" w:eastAsia="Arial" w:hAnsi="Arial"/>
                <w:sz w:val="16"/>
                <w:szCs w:val="16"/>
                <w:color w:val="auto"/>
              </w:rPr>
              <w:t>Black Hills Electric Generation, LLC, a direct, wholly-owned subsidiary of Black Hills Non-regulated Holdings,</w:t>
            </w:r>
          </w:p>
        </w:tc>
      </w:tr>
      <w:tr>
        <w:trPr>
          <w:trHeight w:val="198"/>
        </w:trPr>
        <w:tc>
          <w:tcPr>
            <w:tcW w:w="2700" w:type="dxa"/>
            <w:vAlign w:val="bottom"/>
          </w:tcPr>
          <w:p>
            <w:pPr>
              <w:spacing w:after="0"/>
              <w:rPr>
                <w:sz w:val="17"/>
                <w:szCs w:val="17"/>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providing wholesale electric capacity and energy primarily to our affiliate utilities.</w:t>
            </w:r>
          </w:p>
        </w:tc>
      </w:tr>
      <w:tr>
        <w:trPr>
          <w:trHeight w:val="219"/>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Black Hills Energy</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The name used to conduct the business of our utility companies</w:t>
            </w: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Black Hills Energy Services</w:t>
            </w:r>
          </w:p>
        </w:tc>
        <w:tc>
          <w:tcPr>
            <w:tcW w:w="8540" w:type="dxa"/>
            <w:vAlign w:val="bottom"/>
          </w:tcPr>
          <w:p>
            <w:pPr>
              <w:ind w:left="160"/>
              <w:spacing w:after="0" w:line="178" w:lineRule="exact"/>
              <w:rPr>
                <w:sz w:val="20"/>
                <w:szCs w:val="20"/>
                <w:color w:val="auto"/>
              </w:rPr>
            </w:pPr>
            <w:r>
              <w:rPr>
                <w:rFonts w:ascii="Arial" w:cs="Arial" w:eastAsia="Arial" w:hAnsi="Arial"/>
                <w:sz w:val="16"/>
                <w:szCs w:val="16"/>
                <w:color w:val="auto"/>
              </w:rPr>
              <w:t>Black Hills Energy Services Company, an indirect, wholly-owned subsidiary of Black Hills Utility Holdings, providing</w:t>
            </w:r>
          </w:p>
        </w:tc>
      </w:tr>
      <w:tr>
        <w:trPr>
          <w:trHeight w:val="198"/>
        </w:trPr>
        <w:tc>
          <w:tcPr>
            <w:tcW w:w="2700" w:type="dxa"/>
            <w:vAlign w:val="bottom"/>
          </w:tcPr>
          <w:p>
            <w:pPr>
              <w:spacing w:after="0"/>
              <w:rPr>
                <w:sz w:val="17"/>
                <w:szCs w:val="17"/>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natural gas commodity supply for the Choice Gas Programs (doing business as Black Hills Energy).</w:t>
            </w:r>
          </w:p>
        </w:tc>
      </w:tr>
      <w:tr>
        <w:trPr>
          <w:trHeight w:val="219"/>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Black Hills Non-regulated Holdings</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Black Hills Non-regulated Holdings, LLC, a direct, wholly-owned subsidiary of Black Hills Corporation</w:t>
            </w: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Black Hills Power</w:t>
            </w:r>
          </w:p>
        </w:tc>
        <w:tc>
          <w:tcPr>
            <w:tcW w:w="8540" w:type="dxa"/>
            <w:vAlign w:val="bottom"/>
          </w:tcPr>
          <w:p>
            <w:pPr>
              <w:ind w:left="160"/>
              <w:spacing w:after="0" w:line="178" w:lineRule="exact"/>
              <w:rPr>
                <w:sz w:val="20"/>
                <w:szCs w:val="20"/>
                <w:color w:val="auto"/>
              </w:rPr>
            </w:pPr>
            <w:r>
              <w:rPr>
                <w:rFonts w:ascii="Arial" w:cs="Arial" w:eastAsia="Arial" w:hAnsi="Arial"/>
                <w:sz w:val="16"/>
                <w:szCs w:val="16"/>
                <w:color w:val="auto"/>
              </w:rPr>
              <w:t>Black Hills Power, Inc., a direct, wholly-owned subsidiary of Black Hills Corporation (doing business as Black Hills</w:t>
            </w:r>
          </w:p>
        </w:tc>
      </w:tr>
      <w:tr>
        <w:trPr>
          <w:trHeight w:val="198"/>
        </w:trPr>
        <w:tc>
          <w:tcPr>
            <w:tcW w:w="2700" w:type="dxa"/>
            <w:vAlign w:val="bottom"/>
          </w:tcPr>
          <w:p>
            <w:pPr>
              <w:spacing w:after="0"/>
              <w:rPr>
                <w:sz w:val="17"/>
                <w:szCs w:val="17"/>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Energy). Also known as South Dakota Electric.</w:t>
            </w:r>
          </w:p>
        </w:tc>
      </w:tr>
      <w:tr>
        <w:trPr>
          <w:trHeight w:val="180"/>
        </w:trPr>
        <w:tc>
          <w:tcPr>
            <w:tcW w:w="27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Black Hills Utility Holdings</w:t>
            </w:r>
          </w:p>
        </w:tc>
        <w:tc>
          <w:tcPr>
            <w:tcW w:w="854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Black Hills Utility Holdings, Inc., a direct, wholly-owned subsidiary of Black Hills Corporation (doing business as</w:t>
            </w:r>
          </w:p>
        </w:tc>
      </w:tr>
      <w:tr>
        <w:trPr>
          <w:trHeight w:val="201"/>
        </w:trPr>
        <w:tc>
          <w:tcPr>
            <w:tcW w:w="2700" w:type="dxa"/>
            <w:vAlign w:val="bottom"/>
            <w:shd w:val="clear" w:color="auto" w:fill="CEFFE7"/>
          </w:tcPr>
          <w:p>
            <w:pPr>
              <w:spacing w:after="0"/>
              <w:rPr>
                <w:sz w:val="17"/>
                <w:szCs w:val="17"/>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Black Hills Energy)</w:t>
            </w: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Black Hills Wyoming</w:t>
            </w:r>
          </w:p>
        </w:tc>
        <w:tc>
          <w:tcPr>
            <w:tcW w:w="8540" w:type="dxa"/>
            <w:vAlign w:val="bottom"/>
          </w:tcPr>
          <w:p>
            <w:pPr>
              <w:ind w:left="160"/>
              <w:spacing w:after="0"/>
              <w:rPr>
                <w:sz w:val="20"/>
                <w:szCs w:val="20"/>
                <w:color w:val="auto"/>
              </w:rPr>
            </w:pPr>
            <w:r>
              <w:rPr>
                <w:rFonts w:ascii="Arial" w:cs="Arial" w:eastAsia="Arial" w:hAnsi="Arial"/>
                <w:sz w:val="16"/>
                <w:szCs w:val="16"/>
                <w:color w:val="auto"/>
              </w:rPr>
              <w:t>Black Hills Wyoming, LLC, a direct, wholly-owned subsidiary of Black Hills Electric Generation</w:t>
            </w:r>
          </w:p>
        </w:tc>
      </w:tr>
      <w:tr>
        <w:trPr>
          <w:trHeight w:val="180"/>
        </w:trPr>
        <w:tc>
          <w:tcPr>
            <w:tcW w:w="27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Cheyenne Light</w:t>
            </w:r>
          </w:p>
        </w:tc>
        <w:tc>
          <w:tcPr>
            <w:tcW w:w="854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Cheyenne Light, Fuel and Power Company, a direct, wholly-owned subsidiary of Black Hills Corporation, providing</w:t>
            </w:r>
          </w:p>
        </w:tc>
      </w:tr>
      <w:tr>
        <w:trPr>
          <w:trHeight w:val="162"/>
        </w:trPr>
        <w:tc>
          <w:tcPr>
            <w:tcW w:w="2700" w:type="dxa"/>
            <w:vAlign w:val="bottom"/>
            <w:shd w:val="clear" w:color="auto" w:fill="CEFFE7"/>
          </w:tcPr>
          <w:p>
            <w:pPr>
              <w:spacing w:after="0"/>
              <w:rPr>
                <w:sz w:val="14"/>
                <w:szCs w:val="14"/>
                <w:color w:val="auto"/>
              </w:rPr>
            </w:pPr>
          </w:p>
        </w:tc>
        <w:tc>
          <w:tcPr>
            <w:tcW w:w="8540" w:type="dxa"/>
            <w:vAlign w:val="bottom"/>
            <w:shd w:val="clear" w:color="auto" w:fill="CEFFE7"/>
          </w:tcPr>
          <w:p>
            <w:pPr>
              <w:ind w:left="160"/>
              <w:spacing w:after="0" w:line="162" w:lineRule="exact"/>
              <w:rPr>
                <w:sz w:val="20"/>
                <w:szCs w:val="20"/>
                <w:color w:val="auto"/>
              </w:rPr>
            </w:pPr>
            <w:r>
              <w:rPr>
                <w:rFonts w:ascii="Arial" w:cs="Arial" w:eastAsia="Arial" w:hAnsi="Arial"/>
                <w:sz w:val="16"/>
                <w:szCs w:val="16"/>
                <w:color w:val="auto"/>
              </w:rPr>
              <w:t>electric service in the Cheyenne, Wyoming area (doing business as Black Hills Energy). Also known as Wyoming</w:t>
            </w:r>
          </w:p>
        </w:tc>
      </w:tr>
      <w:tr>
        <w:trPr>
          <w:trHeight w:val="201"/>
        </w:trPr>
        <w:tc>
          <w:tcPr>
            <w:tcW w:w="2700" w:type="dxa"/>
            <w:vAlign w:val="bottom"/>
            <w:shd w:val="clear" w:color="auto" w:fill="CEFFE7"/>
          </w:tcPr>
          <w:p>
            <w:pPr>
              <w:spacing w:after="0"/>
              <w:rPr>
                <w:sz w:val="17"/>
                <w:szCs w:val="17"/>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Electric.</w:t>
            </w: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Chief Operating Decision Maker</w:t>
            </w:r>
          </w:p>
        </w:tc>
        <w:tc>
          <w:tcPr>
            <w:tcW w:w="8540" w:type="dxa"/>
            <w:vAlign w:val="bottom"/>
          </w:tcPr>
          <w:p>
            <w:pPr>
              <w:ind w:left="160"/>
              <w:spacing w:after="0" w:line="178" w:lineRule="exact"/>
              <w:rPr>
                <w:sz w:val="20"/>
                <w:szCs w:val="20"/>
                <w:color w:val="auto"/>
              </w:rPr>
            </w:pPr>
            <w:r>
              <w:rPr>
                <w:rFonts w:ascii="Arial" w:cs="Arial" w:eastAsia="Arial" w:hAnsi="Arial"/>
                <w:sz w:val="16"/>
                <w:szCs w:val="16"/>
                <w:color w:val="auto"/>
              </w:rPr>
              <w:t>Chief Executive Officer</w:t>
            </w:r>
          </w:p>
        </w:tc>
      </w:tr>
      <w:tr>
        <w:trPr>
          <w:trHeight w:val="198"/>
        </w:trPr>
        <w:tc>
          <w:tcPr>
            <w:tcW w:w="2700" w:type="dxa"/>
            <w:vAlign w:val="bottom"/>
          </w:tcPr>
          <w:p>
            <w:pPr>
              <w:ind w:left="20"/>
              <w:spacing w:after="0"/>
              <w:rPr>
                <w:sz w:val="20"/>
                <w:szCs w:val="20"/>
                <w:color w:val="auto"/>
              </w:rPr>
            </w:pPr>
            <w:r>
              <w:rPr>
                <w:rFonts w:ascii="Arial" w:cs="Arial" w:eastAsia="Arial" w:hAnsi="Arial"/>
                <w:sz w:val="16"/>
                <w:szCs w:val="16"/>
                <w:color w:val="auto"/>
              </w:rPr>
              <w:t>(CODM)</w:t>
            </w:r>
          </w:p>
        </w:tc>
        <w:tc>
          <w:tcPr>
            <w:tcW w:w="8540" w:type="dxa"/>
            <w:vAlign w:val="bottom"/>
          </w:tcPr>
          <w:p>
            <w:pPr>
              <w:spacing w:after="0"/>
              <w:rPr>
                <w:sz w:val="17"/>
                <w:szCs w:val="17"/>
                <w:color w:val="auto"/>
              </w:rPr>
            </w:pPr>
          </w:p>
        </w:tc>
      </w:tr>
      <w:tr>
        <w:trPr>
          <w:trHeight w:val="180"/>
        </w:trPr>
        <w:tc>
          <w:tcPr>
            <w:tcW w:w="27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Choice Gas Program</w:t>
            </w:r>
          </w:p>
        </w:tc>
        <w:tc>
          <w:tcPr>
            <w:tcW w:w="854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Regulator-approved programs in Wyoming and Nebraska that allow certain utility customers to select their natural</w:t>
            </w:r>
          </w:p>
        </w:tc>
      </w:tr>
      <w:tr>
        <w:trPr>
          <w:trHeight w:val="201"/>
        </w:trPr>
        <w:tc>
          <w:tcPr>
            <w:tcW w:w="2700" w:type="dxa"/>
            <w:vAlign w:val="bottom"/>
            <w:shd w:val="clear" w:color="auto" w:fill="CEFFE7"/>
          </w:tcPr>
          <w:p>
            <w:pPr>
              <w:spacing w:after="0"/>
              <w:rPr>
                <w:sz w:val="17"/>
                <w:szCs w:val="17"/>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gas commodity supplier, providing for the unbundling of the commodity service from the distribution delivery service.</w:t>
            </w:r>
          </w:p>
        </w:tc>
      </w:tr>
      <w:tr>
        <w:trPr>
          <w:trHeight w:val="213"/>
        </w:trPr>
        <w:tc>
          <w:tcPr>
            <w:tcW w:w="2700" w:type="dxa"/>
            <w:vAlign w:val="bottom"/>
          </w:tcPr>
          <w:p>
            <w:pPr>
              <w:ind w:left="20"/>
              <w:spacing w:after="0"/>
              <w:rPr>
                <w:sz w:val="20"/>
                <w:szCs w:val="20"/>
                <w:color w:val="auto"/>
              </w:rPr>
            </w:pPr>
            <w:r>
              <w:rPr>
                <w:rFonts w:ascii="Arial" w:cs="Arial" w:eastAsia="Arial" w:hAnsi="Arial"/>
                <w:sz w:val="16"/>
                <w:szCs w:val="16"/>
                <w:color w:val="auto"/>
              </w:rPr>
              <w:t>City of Gillette</w:t>
            </w:r>
          </w:p>
        </w:tc>
        <w:tc>
          <w:tcPr>
            <w:tcW w:w="8540" w:type="dxa"/>
            <w:vAlign w:val="bottom"/>
          </w:tcPr>
          <w:p>
            <w:pPr>
              <w:ind w:left="160"/>
              <w:spacing w:after="0"/>
              <w:rPr>
                <w:sz w:val="20"/>
                <w:szCs w:val="20"/>
                <w:color w:val="auto"/>
              </w:rPr>
            </w:pPr>
            <w:r>
              <w:rPr>
                <w:rFonts w:ascii="Arial" w:cs="Arial" w:eastAsia="Arial" w:hAnsi="Arial"/>
                <w:sz w:val="16"/>
                <w:szCs w:val="16"/>
                <w:color w:val="auto"/>
              </w:rPr>
              <w:t>Gillette, Wyoming</w:t>
            </w:r>
          </w:p>
        </w:tc>
      </w:tr>
      <w:tr>
        <w:trPr>
          <w:trHeight w:val="180"/>
        </w:trPr>
        <w:tc>
          <w:tcPr>
            <w:tcW w:w="27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Colorado Electric</w:t>
            </w:r>
          </w:p>
        </w:tc>
        <w:tc>
          <w:tcPr>
            <w:tcW w:w="854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Black Hills Colorado Electric, LLC, a direct, wholly-owned subsidiary of Black Hills Utility Holdings, providing electric</w:t>
            </w:r>
          </w:p>
        </w:tc>
      </w:tr>
      <w:tr>
        <w:trPr>
          <w:trHeight w:val="201"/>
        </w:trPr>
        <w:tc>
          <w:tcPr>
            <w:tcW w:w="2700" w:type="dxa"/>
            <w:vAlign w:val="bottom"/>
            <w:shd w:val="clear" w:color="auto" w:fill="CEFFE7"/>
          </w:tcPr>
          <w:p>
            <w:pPr>
              <w:spacing w:after="0"/>
              <w:rPr>
                <w:sz w:val="17"/>
                <w:szCs w:val="17"/>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service to customers in Colorado (doing business as Black Hills Energy).</w:t>
            </w: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Colorado Gas</w:t>
            </w:r>
          </w:p>
        </w:tc>
        <w:tc>
          <w:tcPr>
            <w:tcW w:w="8540" w:type="dxa"/>
            <w:vAlign w:val="bottom"/>
          </w:tcPr>
          <w:p>
            <w:pPr>
              <w:ind w:left="160"/>
              <w:spacing w:after="0" w:line="178" w:lineRule="exact"/>
              <w:rPr>
                <w:sz w:val="20"/>
                <w:szCs w:val="20"/>
                <w:color w:val="auto"/>
              </w:rPr>
            </w:pPr>
            <w:r>
              <w:rPr>
                <w:rFonts w:ascii="Arial" w:cs="Arial" w:eastAsia="Arial" w:hAnsi="Arial"/>
                <w:sz w:val="16"/>
                <w:szCs w:val="16"/>
                <w:color w:val="auto"/>
              </w:rPr>
              <w:t>Black Hills Colorado Gas, Inc., an indirect, wholly-owned subsidiary of Black Hills Utility Holdings, providing natural</w:t>
            </w:r>
          </w:p>
        </w:tc>
      </w:tr>
      <w:tr>
        <w:trPr>
          <w:trHeight w:val="198"/>
        </w:trPr>
        <w:tc>
          <w:tcPr>
            <w:tcW w:w="2700" w:type="dxa"/>
            <w:vAlign w:val="bottom"/>
          </w:tcPr>
          <w:p>
            <w:pPr>
              <w:spacing w:after="0"/>
              <w:rPr>
                <w:sz w:val="17"/>
                <w:szCs w:val="17"/>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gas services to customers in Colorado (doing business as Black Hills Energy).</w:t>
            </w:r>
          </w:p>
        </w:tc>
      </w:tr>
      <w:tr>
        <w:trPr>
          <w:trHeight w:val="180"/>
        </w:trPr>
        <w:tc>
          <w:tcPr>
            <w:tcW w:w="27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Consolidated Indebtedness to</w:t>
            </w:r>
          </w:p>
        </w:tc>
        <w:tc>
          <w:tcPr>
            <w:tcW w:w="854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Any indebtedness outstanding at such time, divided by capital at such time. Capital being consolidated net worth</w:t>
            </w:r>
          </w:p>
        </w:tc>
      </w:tr>
      <w:tr>
        <w:trPr>
          <w:trHeight w:val="162"/>
        </w:trPr>
        <w:tc>
          <w:tcPr>
            <w:tcW w:w="2700" w:type="dxa"/>
            <w:vAlign w:val="bottom"/>
            <w:shd w:val="clear" w:color="auto" w:fill="CEFFE7"/>
          </w:tcPr>
          <w:p>
            <w:pPr>
              <w:ind w:left="20"/>
              <w:spacing w:after="0" w:line="162" w:lineRule="exact"/>
              <w:rPr>
                <w:sz w:val="20"/>
                <w:szCs w:val="20"/>
                <w:color w:val="auto"/>
              </w:rPr>
            </w:pPr>
            <w:r>
              <w:rPr>
                <w:rFonts w:ascii="Arial" w:cs="Arial" w:eastAsia="Arial" w:hAnsi="Arial"/>
                <w:sz w:val="16"/>
                <w:szCs w:val="16"/>
                <w:color w:val="auto"/>
              </w:rPr>
              <w:t>Capitalization Ratio</w:t>
            </w:r>
          </w:p>
        </w:tc>
        <w:tc>
          <w:tcPr>
            <w:tcW w:w="8540" w:type="dxa"/>
            <w:vAlign w:val="bottom"/>
            <w:shd w:val="clear" w:color="auto" w:fill="CEFFE7"/>
          </w:tcPr>
          <w:p>
            <w:pPr>
              <w:ind w:left="160"/>
              <w:spacing w:after="0" w:line="162" w:lineRule="exact"/>
              <w:rPr>
                <w:sz w:val="20"/>
                <w:szCs w:val="20"/>
                <w:color w:val="auto"/>
              </w:rPr>
            </w:pPr>
            <w:r>
              <w:rPr>
                <w:rFonts w:ascii="Arial" w:cs="Arial" w:eastAsia="Arial" w:hAnsi="Arial"/>
                <w:sz w:val="16"/>
                <w:szCs w:val="16"/>
                <w:color w:val="auto"/>
              </w:rPr>
              <w:t>(excluding noncontrolling interest) plus consolidated indebtedness (including letters of credit and certain guarantees</w:t>
            </w:r>
          </w:p>
        </w:tc>
      </w:tr>
      <w:tr>
        <w:trPr>
          <w:trHeight w:val="201"/>
        </w:trPr>
        <w:tc>
          <w:tcPr>
            <w:tcW w:w="2700" w:type="dxa"/>
            <w:vAlign w:val="bottom"/>
            <w:shd w:val="clear" w:color="auto" w:fill="CEFFE7"/>
          </w:tcPr>
          <w:p>
            <w:pPr>
              <w:spacing w:after="0"/>
              <w:rPr>
                <w:sz w:val="17"/>
                <w:szCs w:val="17"/>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issued) as defined within the current Revolving Credit Facility.</w:t>
            </w: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Cooling Degree Day (CDD)</w:t>
            </w:r>
          </w:p>
        </w:tc>
        <w:tc>
          <w:tcPr>
            <w:tcW w:w="8540" w:type="dxa"/>
            <w:vAlign w:val="bottom"/>
          </w:tcPr>
          <w:p>
            <w:pPr>
              <w:ind w:left="160"/>
              <w:spacing w:after="0" w:line="178" w:lineRule="exact"/>
              <w:rPr>
                <w:sz w:val="20"/>
                <w:szCs w:val="20"/>
                <w:color w:val="auto"/>
              </w:rPr>
            </w:pPr>
            <w:r>
              <w:rPr>
                <w:rFonts w:ascii="Arial" w:cs="Arial" w:eastAsia="Arial" w:hAnsi="Arial"/>
                <w:sz w:val="16"/>
                <w:szCs w:val="16"/>
                <w:color w:val="auto"/>
              </w:rPr>
              <w:t>A cooling degree day is equivalent to each degree that the average of the high and low temperatures for a day is</w:t>
            </w:r>
          </w:p>
        </w:tc>
      </w:tr>
      <w:tr>
        <w:trPr>
          <w:trHeight w:val="162"/>
        </w:trPr>
        <w:tc>
          <w:tcPr>
            <w:tcW w:w="2700" w:type="dxa"/>
            <w:vAlign w:val="bottom"/>
          </w:tcPr>
          <w:p>
            <w:pPr>
              <w:spacing w:after="0"/>
              <w:rPr>
                <w:sz w:val="14"/>
                <w:szCs w:val="14"/>
                <w:color w:val="auto"/>
              </w:rPr>
            </w:pP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above 65 degrees. The warmer the climate, the greater the number of cooling degree days. Cooling degree days are</w:t>
            </w:r>
          </w:p>
        </w:tc>
      </w:tr>
      <w:tr>
        <w:trPr>
          <w:trHeight w:val="162"/>
        </w:trPr>
        <w:tc>
          <w:tcPr>
            <w:tcW w:w="2700" w:type="dxa"/>
            <w:vAlign w:val="bottom"/>
          </w:tcPr>
          <w:p>
            <w:pPr>
              <w:spacing w:after="0"/>
              <w:rPr>
                <w:sz w:val="14"/>
                <w:szCs w:val="14"/>
                <w:color w:val="auto"/>
              </w:rPr>
            </w:pP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used in the utility industry to measure the relative warmth and to compare relative temperatures between one</w:t>
            </w:r>
          </w:p>
        </w:tc>
      </w:tr>
      <w:tr>
        <w:trPr>
          <w:trHeight w:val="162"/>
        </w:trPr>
        <w:tc>
          <w:tcPr>
            <w:tcW w:w="2700" w:type="dxa"/>
            <w:vAlign w:val="bottom"/>
          </w:tcPr>
          <w:p>
            <w:pPr>
              <w:spacing w:after="0"/>
              <w:rPr>
                <w:sz w:val="14"/>
                <w:szCs w:val="14"/>
                <w:color w:val="auto"/>
              </w:rPr>
            </w:pPr>
          </w:p>
        </w:tc>
        <w:tc>
          <w:tcPr>
            <w:tcW w:w="8540" w:type="dxa"/>
            <w:vAlign w:val="bottom"/>
          </w:tcPr>
          <w:p>
            <w:pPr>
              <w:ind w:left="160"/>
              <w:spacing w:after="0" w:line="162" w:lineRule="exact"/>
              <w:rPr>
                <w:sz w:val="20"/>
                <w:szCs w:val="20"/>
                <w:color w:val="auto"/>
              </w:rPr>
            </w:pPr>
            <w:r>
              <w:rPr>
                <w:rFonts w:ascii="Arial" w:cs="Arial" w:eastAsia="Arial" w:hAnsi="Arial"/>
                <w:sz w:val="16"/>
                <w:szCs w:val="16"/>
                <w:color w:val="auto"/>
              </w:rPr>
              <w:t>geographic area and another. Normal degree days are based on the National Weather Service data for selected</w:t>
            </w:r>
          </w:p>
        </w:tc>
      </w:tr>
      <w:tr>
        <w:trPr>
          <w:trHeight w:val="198"/>
        </w:trPr>
        <w:tc>
          <w:tcPr>
            <w:tcW w:w="2700" w:type="dxa"/>
            <w:vAlign w:val="bottom"/>
          </w:tcPr>
          <w:p>
            <w:pPr>
              <w:spacing w:after="0"/>
              <w:rPr>
                <w:sz w:val="17"/>
                <w:szCs w:val="17"/>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locations.</w:t>
            </w:r>
          </w:p>
        </w:tc>
      </w:tr>
      <w:tr>
        <w:trPr>
          <w:trHeight w:val="180"/>
        </w:trPr>
        <w:tc>
          <w:tcPr>
            <w:tcW w:w="270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Corriedale</w:t>
            </w:r>
          </w:p>
        </w:tc>
        <w:tc>
          <w:tcPr>
            <w:tcW w:w="8540" w:type="dxa"/>
            <w:vAlign w:val="bottom"/>
            <w:shd w:val="clear" w:color="auto" w:fill="CEFFE7"/>
          </w:tcPr>
          <w:p>
            <w:pPr>
              <w:ind w:left="160"/>
              <w:spacing w:after="0" w:line="181" w:lineRule="exact"/>
              <w:rPr>
                <w:sz w:val="20"/>
                <w:szCs w:val="20"/>
                <w:color w:val="auto"/>
              </w:rPr>
            </w:pPr>
            <w:r>
              <w:rPr>
                <w:rFonts w:ascii="Arial" w:cs="Arial" w:eastAsia="Arial" w:hAnsi="Arial"/>
                <w:sz w:val="16"/>
                <w:szCs w:val="16"/>
                <w:color w:val="auto"/>
              </w:rPr>
              <w:t>The 52.5 MW wind farm near Cheyenne, Wyoming, jointly owned by South Dakota Electric and Wyoming Electric,</w:t>
            </w:r>
          </w:p>
        </w:tc>
      </w:tr>
      <w:tr>
        <w:trPr>
          <w:trHeight w:val="201"/>
        </w:trPr>
        <w:tc>
          <w:tcPr>
            <w:tcW w:w="2700" w:type="dxa"/>
            <w:vAlign w:val="bottom"/>
            <w:shd w:val="clear" w:color="auto" w:fill="CEFFE7"/>
          </w:tcPr>
          <w:p>
            <w:pPr>
              <w:spacing w:after="0"/>
              <w:rPr>
                <w:sz w:val="17"/>
                <w:szCs w:val="17"/>
                <w:color w:val="auto"/>
              </w:rPr>
            </w:pP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serving as the dedicated wind energy supply to the Renewable Ready program.</w:t>
            </w:r>
          </w:p>
        </w:tc>
      </w:tr>
      <w:tr>
        <w:trPr>
          <w:trHeight w:val="177"/>
        </w:trPr>
        <w:tc>
          <w:tcPr>
            <w:tcW w:w="2700" w:type="dxa"/>
            <w:vAlign w:val="bottom"/>
          </w:tcPr>
          <w:p>
            <w:pPr>
              <w:ind w:left="20"/>
              <w:spacing w:after="0" w:line="178" w:lineRule="exact"/>
              <w:rPr>
                <w:sz w:val="20"/>
                <w:szCs w:val="20"/>
                <w:color w:val="auto"/>
              </w:rPr>
            </w:pPr>
            <w:r>
              <w:rPr>
                <w:rFonts w:ascii="Arial" w:cs="Arial" w:eastAsia="Arial" w:hAnsi="Arial"/>
                <w:sz w:val="16"/>
                <w:szCs w:val="16"/>
                <w:color w:val="auto"/>
              </w:rPr>
              <w:t>COVID-19</w:t>
            </w:r>
          </w:p>
        </w:tc>
        <w:tc>
          <w:tcPr>
            <w:tcW w:w="8540" w:type="dxa"/>
            <w:vAlign w:val="bottom"/>
          </w:tcPr>
          <w:p>
            <w:pPr>
              <w:ind w:left="160"/>
              <w:spacing w:after="0" w:line="178" w:lineRule="exact"/>
              <w:rPr>
                <w:sz w:val="20"/>
                <w:szCs w:val="20"/>
                <w:color w:val="auto"/>
              </w:rPr>
            </w:pPr>
            <w:r>
              <w:rPr>
                <w:rFonts w:ascii="Arial" w:cs="Arial" w:eastAsia="Arial" w:hAnsi="Arial"/>
                <w:sz w:val="16"/>
                <w:szCs w:val="16"/>
                <w:color w:val="auto"/>
              </w:rPr>
              <w:t>The official name for the 2019 novel coronavirus disease announced on February 11, 2020 by the World Health</w:t>
            </w:r>
          </w:p>
        </w:tc>
      </w:tr>
      <w:tr>
        <w:trPr>
          <w:trHeight w:val="198"/>
        </w:trPr>
        <w:tc>
          <w:tcPr>
            <w:tcW w:w="2700" w:type="dxa"/>
            <w:vAlign w:val="bottom"/>
          </w:tcPr>
          <w:p>
            <w:pPr>
              <w:spacing w:after="0"/>
              <w:rPr>
                <w:sz w:val="17"/>
                <w:szCs w:val="17"/>
                <w:color w:val="auto"/>
              </w:rPr>
            </w:pPr>
          </w:p>
        </w:tc>
        <w:tc>
          <w:tcPr>
            <w:tcW w:w="8540" w:type="dxa"/>
            <w:vAlign w:val="bottom"/>
          </w:tcPr>
          <w:p>
            <w:pPr>
              <w:ind w:left="160"/>
              <w:spacing w:after="0"/>
              <w:rPr>
                <w:sz w:val="20"/>
                <w:szCs w:val="20"/>
                <w:color w:val="auto"/>
              </w:rPr>
            </w:pPr>
            <w:r>
              <w:rPr>
                <w:rFonts w:ascii="Arial" w:cs="Arial" w:eastAsia="Arial" w:hAnsi="Arial"/>
                <w:sz w:val="16"/>
                <w:szCs w:val="16"/>
                <w:color w:val="auto"/>
              </w:rPr>
              <w:t>Organization, that is causing a global pandemic.</w:t>
            </w:r>
          </w:p>
        </w:tc>
      </w:tr>
      <w:tr>
        <w:trPr>
          <w:trHeight w:val="219"/>
        </w:trPr>
        <w:tc>
          <w:tcPr>
            <w:tcW w:w="2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CP Program</w:t>
            </w:r>
          </w:p>
        </w:tc>
        <w:tc>
          <w:tcPr>
            <w:tcW w:w="8540" w:type="dxa"/>
            <w:vAlign w:val="bottom"/>
            <w:shd w:val="clear" w:color="auto" w:fill="CEFFE7"/>
          </w:tcPr>
          <w:p>
            <w:pPr>
              <w:ind w:left="160"/>
              <w:spacing w:after="0"/>
              <w:rPr>
                <w:sz w:val="20"/>
                <w:szCs w:val="20"/>
                <w:color w:val="auto"/>
              </w:rPr>
            </w:pPr>
            <w:r>
              <w:rPr>
                <w:rFonts w:ascii="Arial" w:cs="Arial" w:eastAsia="Arial" w:hAnsi="Arial"/>
                <w:sz w:val="16"/>
                <w:szCs w:val="16"/>
                <w:color w:val="auto"/>
              </w:rPr>
              <w:t>Commercial Paper Program</w:t>
            </w:r>
          </w:p>
        </w:tc>
      </w:tr>
      <w:tr>
        <w:trPr>
          <w:trHeight w:val="210"/>
        </w:trPr>
        <w:tc>
          <w:tcPr>
            <w:tcW w:w="2700" w:type="dxa"/>
            <w:vAlign w:val="bottom"/>
          </w:tcPr>
          <w:p>
            <w:pPr>
              <w:ind w:left="20"/>
              <w:spacing w:after="0"/>
              <w:rPr>
                <w:sz w:val="20"/>
                <w:szCs w:val="20"/>
                <w:color w:val="auto"/>
              </w:rPr>
            </w:pPr>
            <w:r>
              <w:rPr>
                <w:rFonts w:ascii="Arial" w:cs="Arial" w:eastAsia="Arial" w:hAnsi="Arial"/>
                <w:sz w:val="16"/>
                <w:szCs w:val="16"/>
                <w:color w:val="auto"/>
              </w:rPr>
              <w:t>CPUC</w:t>
            </w:r>
          </w:p>
        </w:tc>
        <w:tc>
          <w:tcPr>
            <w:tcW w:w="8540" w:type="dxa"/>
            <w:vAlign w:val="bottom"/>
          </w:tcPr>
          <w:p>
            <w:pPr>
              <w:ind w:left="160"/>
              <w:spacing w:after="0"/>
              <w:rPr>
                <w:sz w:val="20"/>
                <w:szCs w:val="20"/>
                <w:color w:val="auto"/>
              </w:rPr>
            </w:pPr>
            <w:r>
              <w:rPr>
                <w:rFonts w:ascii="Arial" w:cs="Arial" w:eastAsia="Arial" w:hAnsi="Arial"/>
                <w:sz w:val="16"/>
                <w:szCs w:val="16"/>
                <w:color w:val="auto"/>
              </w:rPr>
              <w:t>Colorado Public Utilities Commission</w:t>
            </w:r>
          </w:p>
        </w:tc>
      </w:tr>
      <w:tr>
        <w:trPr>
          <w:trHeight w:val="500"/>
        </w:trPr>
        <w:tc>
          <w:tcPr>
            <w:tcW w:w="2700" w:type="dxa"/>
            <w:vAlign w:val="bottom"/>
          </w:tcPr>
          <w:p>
            <w:pPr>
              <w:spacing w:after="0"/>
              <w:rPr>
                <w:sz w:val="24"/>
                <w:szCs w:val="24"/>
                <w:color w:val="auto"/>
              </w:rPr>
            </w:pPr>
          </w:p>
        </w:tc>
        <w:tc>
          <w:tcPr>
            <w:tcW w:w="8540" w:type="dxa"/>
            <w:vAlign w:val="bottom"/>
          </w:tcPr>
          <w:p>
            <w:pPr>
              <w:ind w:left="2880"/>
              <w:spacing w:after="0"/>
              <w:rPr>
                <w:sz w:val="20"/>
                <w:szCs w:val="20"/>
                <w:color w:val="auto"/>
              </w:rPr>
            </w:pPr>
            <w:r>
              <w:rPr>
                <w:rFonts w:ascii="Arial" w:cs="Arial" w:eastAsia="Arial" w:hAnsi="Arial"/>
                <w:sz w:val="16"/>
                <w:szCs w:val="16"/>
                <w:color w:val="auto"/>
              </w:rPr>
              <w:t>4</w:t>
            </w:r>
          </w:p>
        </w:tc>
      </w:tr>
      <w:tr>
        <w:trPr>
          <w:trHeight w:val="350"/>
        </w:trPr>
        <w:tc>
          <w:tcPr>
            <w:tcW w:w="270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2420" w:type="dxa"/>
            <w:vAlign w:val="bottom"/>
            <w:gridSpan w:val="2"/>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8820" w:type="dxa"/>
            <w:vAlign w:val="bottom"/>
          </w:tcPr>
          <w:p>
            <w:pPr>
              <w:spacing w:after="0"/>
              <w:rPr>
                <w:sz w:val="16"/>
                <w:szCs w:val="16"/>
                <w:color w:val="auto"/>
              </w:rPr>
            </w:pPr>
          </w:p>
        </w:tc>
      </w:tr>
      <w:tr>
        <w:trPr>
          <w:trHeight w:val="588"/>
        </w:trPr>
        <w:tc>
          <w:tcPr>
            <w:tcW w:w="136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8820" w:type="dxa"/>
            <w:vAlign w:val="bottom"/>
          </w:tcPr>
          <w:p>
            <w:pPr>
              <w:spacing w:after="0"/>
              <w:rPr>
                <w:sz w:val="24"/>
                <w:szCs w:val="24"/>
                <w:color w:val="auto"/>
              </w:rPr>
            </w:pPr>
          </w:p>
        </w:tc>
      </w:tr>
      <w:tr>
        <w:trPr>
          <w:trHeight w:val="216"/>
        </w:trPr>
        <w:tc>
          <w:tcPr>
            <w:tcW w:w="2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CVA</w:t>
            </w: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Credit Valuation Adjustment</w:t>
            </w: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Dth</w:t>
            </w:r>
          </w:p>
        </w:tc>
        <w:tc>
          <w:tcPr>
            <w:tcW w:w="8820" w:type="dxa"/>
            <w:vAlign w:val="bottom"/>
          </w:tcPr>
          <w:p>
            <w:pPr>
              <w:ind w:left="440"/>
              <w:spacing w:after="0"/>
              <w:rPr>
                <w:sz w:val="20"/>
                <w:szCs w:val="20"/>
                <w:color w:val="auto"/>
              </w:rPr>
            </w:pPr>
            <w:r>
              <w:rPr>
                <w:rFonts w:ascii="Arial" w:cs="Arial" w:eastAsia="Arial" w:hAnsi="Arial"/>
                <w:sz w:val="16"/>
                <w:szCs w:val="16"/>
                <w:color w:val="auto"/>
              </w:rPr>
              <w:t>Dekatherm. A unit of energy equal to 10 therms or approximately one million British thermal units (MMBtu)</w:t>
            </w:r>
          </w:p>
        </w:tc>
      </w:tr>
      <w:tr>
        <w:trPr>
          <w:trHeight w:val="219"/>
        </w:trPr>
        <w:tc>
          <w:tcPr>
            <w:tcW w:w="2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Economy Energy</w:t>
            </w: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Purchased energy that costs less than that produced with the utilities’ owned generation.</w:t>
            </w: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FASB</w:t>
            </w:r>
          </w:p>
        </w:tc>
        <w:tc>
          <w:tcPr>
            <w:tcW w:w="8820" w:type="dxa"/>
            <w:vAlign w:val="bottom"/>
          </w:tcPr>
          <w:p>
            <w:pPr>
              <w:ind w:left="440"/>
              <w:spacing w:after="0"/>
              <w:rPr>
                <w:sz w:val="20"/>
                <w:szCs w:val="20"/>
                <w:color w:val="auto"/>
              </w:rPr>
            </w:pPr>
            <w:r>
              <w:rPr>
                <w:rFonts w:ascii="Arial" w:cs="Arial" w:eastAsia="Arial" w:hAnsi="Arial"/>
                <w:sz w:val="16"/>
                <w:szCs w:val="16"/>
                <w:color w:val="auto"/>
              </w:rPr>
              <w:t>Financial Accounting Standards Board</w:t>
            </w:r>
          </w:p>
        </w:tc>
      </w:tr>
      <w:tr>
        <w:trPr>
          <w:trHeight w:val="219"/>
        </w:trPr>
        <w:tc>
          <w:tcPr>
            <w:tcW w:w="2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FERC</w:t>
            </w: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United States Federal Energy Regulatory Commission</w:t>
            </w: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Fitch</w:t>
            </w:r>
          </w:p>
        </w:tc>
        <w:tc>
          <w:tcPr>
            <w:tcW w:w="8820" w:type="dxa"/>
            <w:vAlign w:val="bottom"/>
          </w:tcPr>
          <w:p>
            <w:pPr>
              <w:ind w:left="440"/>
              <w:spacing w:after="0"/>
              <w:rPr>
                <w:sz w:val="20"/>
                <w:szCs w:val="20"/>
                <w:color w:val="auto"/>
              </w:rPr>
            </w:pPr>
            <w:r>
              <w:rPr>
                <w:rFonts w:ascii="Arial" w:cs="Arial" w:eastAsia="Arial" w:hAnsi="Arial"/>
                <w:sz w:val="16"/>
                <w:szCs w:val="16"/>
                <w:color w:val="auto"/>
              </w:rPr>
              <w:t>Fitch Ratings Inc.</w:t>
            </w:r>
          </w:p>
        </w:tc>
      </w:tr>
      <w:tr>
        <w:trPr>
          <w:trHeight w:val="219"/>
        </w:trPr>
        <w:tc>
          <w:tcPr>
            <w:tcW w:w="2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GAAP</w:t>
            </w: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Accounting principles generally accepted in the United States of America</w:t>
            </w: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GHG</w:t>
            </w:r>
          </w:p>
        </w:tc>
        <w:tc>
          <w:tcPr>
            <w:tcW w:w="8820" w:type="dxa"/>
            <w:vAlign w:val="bottom"/>
          </w:tcPr>
          <w:p>
            <w:pPr>
              <w:ind w:left="440"/>
              <w:spacing w:after="0"/>
              <w:rPr>
                <w:sz w:val="20"/>
                <w:szCs w:val="20"/>
                <w:color w:val="auto"/>
              </w:rPr>
            </w:pPr>
            <w:r>
              <w:rPr>
                <w:rFonts w:ascii="Arial" w:cs="Arial" w:eastAsia="Arial" w:hAnsi="Arial"/>
                <w:sz w:val="16"/>
                <w:szCs w:val="16"/>
                <w:color w:val="auto"/>
              </w:rPr>
              <w:t>Greenhouse Gases</w:t>
            </w:r>
          </w:p>
        </w:tc>
      </w:tr>
      <w:tr>
        <w:trPr>
          <w:trHeight w:val="180"/>
        </w:trPr>
        <w:tc>
          <w:tcPr>
            <w:tcW w:w="2420" w:type="dxa"/>
            <w:vAlign w:val="bottom"/>
            <w:gridSpan w:val="2"/>
            <w:shd w:val="clear" w:color="auto" w:fill="CEFFE7"/>
          </w:tcPr>
          <w:p>
            <w:pPr>
              <w:ind w:left="20"/>
              <w:spacing w:after="0" w:line="181" w:lineRule="exact"/>
              <w:rPr>
                <w:sz w:val="20"/>
                <w:szCs w:val="20"/>
                <w:color w:val="auto"/>
              </w:rPr>
            </w:pPr>
            <w:r>
              <w:rPr>
                <w:rFonts w:ascii="Arial" w:cs="Arial" w:eastAsia="Arial" w:hAnsi="Arial"/>
                <w:sz w:val="16"/>
                <w:szCs w:val="16"/>
                <w:color w:val="auto"/>
              </w:rPr>
              <w:t>Heating Degree Day (HDD)</w:t>
            </w:r>
          </w:p>
        </w:tc>
        <w:tc>
          <w:tcPr>
            <w:tcW w:w="8820" w:type="dxa"/>
            <w:vAlign w:val="bottom"/>
            <w:shd w:val="clear" w:color="auto" w:fill="CEFFE7"/>
          </w:tcPr>
          <w:p>
            <w:pPr>
              <w:ind w:left="440"/>
              <w:spacing w:after="0" w:line="181" w:lineRule="exact"/>
              <w:rPr>
                <w:sz w:val="20"/>
                <w:szCs w:val="20"/>
                <w:color w:val="auto"/>
              </w:rPr>
            </w:pPr>
            <w:r>
              <w:rPr>
                <w:rFonts w:ascii="Arial" w:cs="Arial" w:eastAsia="Arial" w:hAnsi="Arial"/>
                <w:sz w:val="16"/>
                <w:szCs w:val="16"/>
                <w:color w:val="auto"/>
              </w:rPr>
              <w:t>A heating degree day is equivalent to each degree that the average of the high and the low temperatures for a day is</w:t>
            </w:r>
          </w:p>
        </w:tc>
      </w:tr>
      <w:tr>
        <w:trPr>
          <w:trHeight w:val="162"/>
        </w:trPr>
        <w:tc>
          <w:tcPr>
            <w:tcW w:w="1360" w:type="dxa"/>
            <w:vAlign w:val="bottom"/>
            <w:shd w:val="clear" w:color="auto" w:fill="CEFFE7"/>
          </w:tcPr>
          <w:p>
            <w:pPr>
              <w:spacing w:after="0"/>
              <w:rPr>
                <w:sz w:val="14"/>
                <w:szCs w:val="14"/>
                <w:color w:val="auto"/>
              </w:rPr>
            </w:pPr>
          </w:p>
        </w:tc>
        <w:tc>
          <w:tcPr>
            <w:tcW w:w="1060" w:type="dxa"/>
            <w:vAlign w:val="bottom"/>
            <w:shd w:val="clear" w:color="auto" w:fill="CEFFE7"/>
          </w:tcPr>
          <w:p>
            <w:pPr>
              <w:spacing w:after="0"/>
              <w:rPr>
                <w:sz w:val="14"/>
                <w:szCs w:val="14"/>
                <w:color w:val="auto"/>
              </w:rPr>
            </w:pPr>
          </w:p>
        </w:tc>
        <w:tc>
          <w:tcPr>
            <w:tcW w:w="8820" w:type="dxa"/>
            <w:vAlign w:val="bottom"/>
            <w:shd w:val="clear" w:color="auto" w:fill="CEFFE7"/>
          </w:tcPr>
          <w:p>
            <w:pPr>
              <w:ind w:left="440"/>
              <w:spacing w:after="0" w:line="162" w:lineRule="exact"/>
              <w:rPr>
                <w:sz w:val="20"/>
                <w:szCs w:val="20"/>
                <w:color w:val="auto"/>
              </w:rPr>
            </w:pPr>
            <w:r>
              <w:rPr>
                <w:rFonts w:ascii="Arial" w:cs="Arial" w:eastAsia="Arial" w:hAnsi="Arial"/>
                <w:sz w:val="16"/>
                <w:szCs w:val="16"/>
                <w:color w:val="auto"/>
              </w:rPr>
              <w:t>below 65 degrees. The colder the climate, the greater the number of heating degree days. Heating degree days are</w:t>
            </w:r>
          </w:p>
        </w:tc>
      </w:tr>
      <w:tr>
        <w:trPr>
          <w:trHeight w:val="162"/>
        </w:trPr>
        <w:tc>
          <w:tcPr>
            <w:tcW w:w="1360" w:type="dxa"/>
            <w:vAlign w:val="bottom"/>
            <w:shd w:val="clear" w:color="auto" w:fill="CEFFE7"/>
          </w:tcPr>
          <w:p>
            <w:pPr>
              <w:spacing w:after="0"/>
              <w:rPr>
                <w:sz w:val="14"/>
                <w:szCs w:val="14"/>
                <w:color w:val="auto"/>
              </w:rPr>
            </w:pPr>
          </w:p>
        </w:tc>
        <w:tc>
          <w:tcPr>
            <w:tcW w:w="1060" w:type="dxa"/>
            <w:vAlign w:val="bottom"/>
            <w:shd w:val="clear" w:color="auto" w:fill="CEFFE7"/>
          </w:tcPr>
          <w:p>
            <w:pPr>
              <w:spacing w:after="0"/>
              <w:rPr>
                <w:sz w:val="14"/>
                <w:szCs w:val="14"/>
                <w:color w:val="auto"/>
              </w:rPr>
            </w:pPr>
          </w:p>
        </w:tc>
        <w:tc>
          <w:tcPr>
            <w:tcW w:w="8820" w:type="dxa"/>
            <w:vAlign w:val="bottom"/>
            <w:shd w:val="clear" w:color="auto" w:fill="CEFFE7"/>
          </w:tcPr>
          <w:p>
            <w:pPr>
              <w:ind w:left="440"/>
              <w:spacing w:after="0" w:line="162" w:lineRule="exact"/>
              <w:rPr>
                <w:sz w:val="20"/>
                <w:szCs w:val="20"/>
                <w:color w:val="auto"/>
              </w:rPr>
            </w:pPr>
            <w:r>
              <w:rPr>
                <w:rFonts w:ascii="Arial" w:cs="Arial" w:eastAsia="Arial" w:hAnsi="Arial"/>
                <w:sz w:val="16"/>
                <w:szCs w:val="16"/>
                <w:color w:val="auto"/>
              </w:rPr>
              <w:t>used in the utility industry to measure the relative coldness and to compare relative temperatures between one</w:t>
            </w:r>
          </w:p>
        </w:tc>
      </w:tr>
      <w:tr>
        <w:trPr>
          <w:trHeight w:val="162"/>
        </w:trPr>
        <w:tc>
          <w:tcPr>
            <w:tcW w:w="1360" w:type="dxa"/>
            <w:vAlign w:val="bottom"/>
            <w:shd w:val="clear" w:color="auto" w:fill="CEFFE7"/>
          </w:tcPr>
          <w:p>
            <w:pPr>
              <w:spacing w:after="0"/>
              <w:rPr>
                <w:sz w:val="14"/>
                <w:szCs w:val="14"/>
                <w:color w:val="auto"/>
              </w:rPr>
            </w:pPr>
          </w:p>
        </w:tc>
        <w:tc>
          <w:tcPr>
            <w:tcW w:w="1060" w:type="dxa"/>
            <w:vAlign w:val="bottom"/>
            <w:shd w:val="clear" w:color="auto" w:fill="CEFFE7"/>
          </w:tcPr>
          <w:p>
            <w:pPr>
              <w:spacing w:after="0"/>
              <w:rPr>
                <w:sz w:val="14"/>
                <w:szCs w:val="14"/>
                <w:color w:val="auto"/>
              </w:rPr>
            </w:pPr>
          </w:p>
        </w:tc>
        <w:tc>
          <w:tcPr>
            <w:tcW w:w="8820" w:type="dxa"/>
            <w:vAlign w:val="bottom"/>
            <w:shd w:val="clear" w:color="auto" w:fill="CEFFE7"/>
          </w:tcPr>
          <w:p>
            <w:pPr>
              <w:ind w:left="440"/>
              <w:spacing w:after="0" w:line="162" w:lineRule="exact"/>
              <w:rPr>
                <w:sz w:val="20"/>
                <w:szCs w:val="20"/>
                <w:color w:val="auto"/>
              </w:rPr>
            </w:pPr>
            <w:r>
              <w:rPr>
                <w:rFonts w:ascii="Arial" w:cs="Arial" w:eastAsia="Arial" w:hAnsi="Arial"/>
                <w:sz w:val="16"/>
                <w:szCs w:val="16"/>
                <w:color w:val="auto"/>
              </w:rPr>
              <w:t>geographic area and another. Normal degree days are based on the National Weather Service data for selected</w:t>
            </w:r>
          </w:p>
        </w:tc>
      </w:tr>
      <w:tr>
        <w:trPr>
          <w:trHeight w:val="201"/>
        </w:trPr>
        <w:tc>
          <w:tcPr>
            <w:tcW w:w="13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locations.</w:t>
            </w:r>
          </w:p>
        </w:tc>
      </w:tr>
      <w:tr>
        <w:trPr>
          <w:trHeight w:val="177"/>
        </w:trPr>
        <w:tc>
          <w:tcPr>
            <w:tcW w:w="242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Iowa Gas</w:t>
            </w:r>
          </w:p>
        </w:tc>
        <w:tc>
          <w:tcPr>
            <w:tcW w:w="8820" w:type="dxa"/>
            <w:vAlign w:val="bottom"/>
          </w:tcPr>
          <w:p>
            <w:pPr>
              <w:ind w:left="440"/>
              <w:spacing w:after="0" w:line="178" w:lineRule="exact"/>
              <w:rPr>
                <w:sz w:val="20"/>
                <w:szCs w:val="20"/>
                <w:color w:val="auto"/>
              </w:rPr>
            </w:pPr>
            <w:r>
              <w:rPr>
                <w:rFonts w:ascii="Arial" w:cs="Arial" w:eastAsia="Arial" w:hAnsi="Arial"/>
                <w:sz w:val="16"/>
                <w:szCs w:val="16"/>
                <w:color w:val="auto"/>
              </w:rPr>
              <w:t>Black Hills Iowa Gas Utility Company, LLC, a direct, wholly-owned subsidiary of Black Hills Utility Holdings, providing</w:t>
            </w:r>
          </w:p>
        </w:tc>
      </w:tr>
      <w:tr>
        <w:trPr>
          <w:trHeight w:val="198"/>
        </w:trPr>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20" w:type="dxa"/>
            <w:vAlign w:val="bottom"/>
          </w:tcPr>
          <w:p>
            <w:pPr>
              <w:ind w:left="440"/>
              <w:spacing w:after="0"/>
              <w:rPr>
                <w:sz w:val="20"/>
                <w:szCs w:val="20"/>
                <w:color w:val="auto"/>
              </w:rPr>
            </w:pPr>
            <w:r>
              <w:rPr>
                <w:rFonts w:ascii="Arial" w:cs="Arial" w:eastAsia="Arial" w:hAnsi="Arial"/>
                <w:sz w:val="16"/>
                <w:szCs w:val="16"/>
                <w:color w:val="auto"/>
              </w:rPr>
              <w:t>natural gas services to customers in Iowa (doing business as Black Hills Energy).</w:t>
            </w:r>
          </w:p>
        </w:tc>
      </w:tr>
      <w:tr>
        <w:trPr>
          <w:trHeight w:val="219"/>
        </w:trPr>
        <w:tc>
          <w:tcPr>
            <w:tcW w:w="2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IPP</w:t>
            </w: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Independent Power Producer</w:t>
            </w: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IRP</w:t>
            </w:r>
          </w:p>
        </w:tc>
        <w:tc>
          <w:tcPr>
            <w:tcW w:w="8820" w:type="dxa"/>
            <w:vAlign w:val="bottom"/>
          </w:tcPr>
          <w:p>
            <w:pPr>
              <w:ind w:left="440"/>
              <w:spacing w:after="0"/>
              <w:rPr>
                <w:sz w:val="20"/>
                <w:szCs w:val="20"/>
                <w:color w:val="auto"/>
              </w:rPr>
            </w:pPr>
            <w:r>
              <w:rPr>
                <w:rFonts w:ascii="Arial" w:cs="Arial" w:eastAsia="Arial" w:hAnsi="Arial"/>
                <w:sz w:val="16"/>
                <w:szCs w:val="16"/>
                <w:color w:val="auto"/>
              </w:rPr>
              <w:t>Integrated Resource Plan</w:t>
            </w:r>
          </w:p>
        </w:tc>
      </w:tr>
      <w:tr>
        <w:trPr>
          <w:trHeight w:val="219"/>
        </w:trPr>
        <w:tc>
          <w:tcPr>
            <w:tcW w:w="2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IRS</w:t>
            </w: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United States Internal Revenue Service</w:t>
            </w: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IUB</w:t>
            </w:r>
          </w:p>
        </w:tc>
        <w:tc>
          <w:tcPr>
            <w:tcW w:w="8820" w:type="dxa"/>
            <w:vAlign w:val="bottom"/>
          </w:tcPr>
          <w:p>
            <w:pPr>
              <w:ind w:left="440"/>
              <w:spacing w:after="0"/>
              <w:rPr>
                <w:sz w:val="20"/>
                <w:szCs w:val="20"/>
                <w:color w:val="auto"/>
              </w:rPr>
            </w:pPr>
            <w:r>
              <w:rPr>
                <w:rFonts w:ascii="Arial" w:cs="Arial" w:eastAsia="Arial" w:hAnsi="Arial"/>
                <w:sz w:val="16"/>
                <w:szCs w:val="16"/>
                <w:color w:val="auto"/>
              </w:rPr>
              <w:t>Iowa Utilities Board</w:t>
            </w:r>
          </w:p>
        </w:tc>
      </w:tr>
      <w:tr>
        <w:trPr>
          <w:trHeight w:val="180"/>
        </w:trPr>
        <w:tc>
          <w:tcPr>
            <w:tcW w:w="2420" w:type="dxa"/>
            <w:vAlign w:val="bottom"/>
            <w:gridSpan w:val="2"/>
            <w:shd w:val="clear" w:color="auto" w:fill="CEFFE7"/>
          </w:tcPr>
          <w:p>
            <w:pPr>
              <w:ind w:left="20"/>
              <w:spacing w:after="0" w:line="181" w:lineRule="exact"/>
              <w:rPr>
                <w:sz w:val="20"/>
                <w:szCs w:val="20"/>
                <w:color w:val="auto"/>
              </w:rPr>
            </w:pPr>
            <w:r>
              <w:rPr>
                <w:rFonts w:ascii="Arial" w:cs="Arial" w:eastAsia="Arial" w:hAnsi="Arial"/>
                <w:sz w:val="16"/>
                <w:szCs w:val="16"/>
                <w:color w:val="auto"/>
              </w:rPr>
              <w:t>Kansas Gas</w:t>
            </w:r>
          </w:p>
        </w:tc>
        <w:tc>
          <w:tcPr>
            <w:tcW w:w="8820" w:type="dxa"/>
            <w:vAlign w:val="bottom"/>
            <w:shd w:val="clear" w:color="auto" w:fill="CEFFE7"/>
          </w:tcPr>
          <w:p>
            <w:pPr>
              <w:ind w:left="440"/>
              <w:spacing w:after="0" w:line="181" w:lineRule="exact"/>
              <w:rPr>
                <w:sz w:val="20"/>
                <w:szCs w:val="20"/>
                <w:color w:val="auto"/>
              </w:rPr>
            </w:pPr>
            <w:r>
              <w:rPr>
                <w:rFonts w:ascii="Arial" w:cs="Arial" w:eastAsia="Arial" w:hAnsi="Arial"/>
                <w:sz w:val="16"/>
                <w:szCs w:val="16"/>
                <w:color w:val="auto"/>
              </w:rPr>
              <w:t>Black Hills Kansas Gas Utility Company, LLC, a direct, wholly-owned subsidiary of Black Hills Utility Holdings,</w:t>
            </w:r>
          </w:p>
        </w:tc>
      </w:tr>
      <w:tr>
        <w:trPr>
          <w:trHeight w:val="201"/>
        </w:trPr>
        <w:tc>
          <w:tcPr>
            <w:tcW w:w="13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providing natural gas services to customers in Kansas (doing business as Black Hills Energy).</w:t>
            </w: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KCC</w:t>
            </w:r>
          </w:p>
        </w:tc>
        <w:tc>
          <w:tcPr>
            <w:tcW w:w="8820" w:type="dxa"/>
            <w:vAlign w:val="bottom"/>
          </w:tcPr>
          <w:p>
            <w:pPr>
              <w:ind w:left="440"/>
              <w:spacing w:after="0"/>
              <w:rPr>
                <w:sz w:val="20"/>
                <w:szCs w:val="20"/>
                <w:color w:val="auto"/>
              </w:rPr>
            </w:pPr>
            <w:r>
              <w:rPr>
                <w:rFonts w:ascii="Arial" w:cs="Arial" w:eastAsia="Arial" w:hAnsi="Arial"/>
                <w:sz w:val="16"/>
                <w:szCs w:val="16"/>
                <w:color w:val="auto"/>
              </w:rPr>
              <w:t>Kansas Corporation Commission</w:t>
            </w:r>
          </w:p>
        </w:tc>
      </w:tr>
      <w:tr>
        <w:trPr>
          <w:trHeight w:val="219"/>
        </w:trPr>
        <w:tc>
          <w:tcPr>
            <w:tcW w:w="2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LIBOR</w:t>
            </w: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London Interbank Offered Rate</w:t>
            </w: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MMBtu</w:t>
            </w:r>
          </w:p>
        </w:tc>
        <w:tc>
          <w:tcPr>
            <w:tcW w:w="8820" w:type="dxa"/>
            <w:vAlign w:val="bottom"/>
          </w:tcPr>
          <w:p>
            <w:pPr>
              <w:ind w:left="440"/>
              <w:spacing w:after="0"/>
              <w:rPr>
                <w:sz w:val="20"/>
                <w:szCs w:val="20"/>
                <w:color w:val="auto"/>
              </w:rPr>
            </w:pPr>
            <w:r>
              <w:rPr>
                <w:rFonts w:ascii="Arial" w:cs="Arial" w:eastAsia="Arial" w:hAnsi="Arial"/>
                <w:sz w:val="16"/>
                <w:szCs w:val="16"/>
                <w:color w:val="auto"/>
              </w:rPr>
              <w:t>Million British thermal units</w:t>
            </w:r>
          </w:p>
        </w:tc>
      </w:tr>
      <w:tr>
        <w:trPr>
          <w:trHeight w:val="219"/>
        </w:trPr>
        <w:tc>
          <w:tcPr>
            <w:tcW w:w="2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Moody’s</w:t>
            </w: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Moody’s Investors Service, Inc.</w:t>
            </w: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MW</w:t>
            </w:r>
          </w:p>
        </w:tc>
        <w:tc>
          <w:tcPr>
            <w:tcW w:w="8820" w:type="dxa"/>
            <w:vAlign w:val="bottom"/>
          </w:tcPr>
          <w:p>
            <w:pPr>
              <w:ind w:left="440"/>
              <w:spacing w:after="0"/>
              <w:rPr>
                <w:sz w:val="20"/>
                <w:szCs w:val="20"/>
                <w:color w:val="auto"/>
              </w:rPr>
            </w:pPr>
            <w:r>
              <w:rPr>
                <w:rFonts w:ascii="Arial" w:cs="Arial" w:eastAsia="Arial" w:hAnsi="Arial"/>
                <w:sz w:val="16"/>
                <w:szCs w:val="16"/>
                <w:color w:val="auto"/>
              </w:rPr>
              <w:t>Megawatts</w:t>
            </w:r>
          </w:p>
        </w:tc>
      </w:tr>
      <w:tr>
        <w:trPr>
          <w:trHeight w:val="219"/>
        </w:trPr>
        <w:tc>
          <w:tcPr>
            <w:tcW w:w="2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MWh</w:t>
            </w: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Megawatt-hours</w:t>
            </w:r>
          </w:p>
        </w:tc>
      </w:tr>
      <w:tr>
        <w:trPr>
          <w:trHeight w:val="177"/>
        </w:trPr>
        <w:tc>
          <w:tcPr>
            <w:tcW w:w="242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Nebraska Gas</w:t>
            </w:r>
          </w:p>
        </w:tc>
        <w:tc>
          <w:tcPr>
            <w:tcW w:w="8820" w:type="dxa"/>
            <w:vAlign w:val="bottom"/>
          </w:tcPr>
          <w:p>
            <w:pPr>
              <w:ind w:left="440"/>
              <w:spacing w:after="0" w:line="178" w:lineRule="exact"/>
              <w:rPr>
                <w:sz w:val="20"/>
                <w:szCs w:val="20"/>
                <w:color w:val="auto"/>
              </w:rPr>
            </w:pPr>
            <w:r>
              <w:rPr>
                <w:rFonts w:ascii="Arial" w:cs="Arial" w:eastAsia="Arial" w:hAnsi="Arial"/>
                <w:sz w:val="16"/>
                <w:szCs w:val="16"/>
                <w:color w:val="auto"/>
              </w:rPr>
              <w:t>Black Hills Nebraska Gas, LLC, an indirect, wholly-owned subsidiary of Black Hills Utility Holdings, providing natural</w:t>
            </w:r>
          </w:p>
        </w:tc>
      </w:tr>
      <w:tr>
        <w:trPr>
          <w:trHeight w:val="198"/>
        </w:trPr>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20" w:type="dxa"/>
            <w:vAlign w:val="bottom"/>
          </w:tcPr>
          <w:p>
            <w:pPr>
              <w:ind w:left="440"/>
              <w:spacing w:after="0"/>
              <w:rPr>
                <w:sz w:val="20"/>
                <w:szCs w:val="20"/>
                <w:color w:val="auto"/>
              </w:rPr>
            </w:pPr>
            <w:r>
              <w:rPr>
                <w:rFonts w:ascii="Arial" w:cs="Arial" w:eastAsia="Arial" w:hAnsi="Arial"/>
                <w:sz w:val="16"/>
                <w:szCs w:val="16"/>
                <w:color w:val="auto"/>
              </w:rPr>
              <w:t>gas services to customers in Nebraska (doing business as Black Hills Energy).</w:t>
            </w:r>
          </w:p>
        </w:tc>
      </w:tr>
      <w:tr>
        <w:trPr>
          <w:trHeight w:val="180"/>
        </w:trPr>
        <w:tc>
          <w:tcPr>
            <w:tcW w:w="2420" w:type="dxa"/>
            <w:vAlign w:val="bottom"/>
            <w:gridSpan w:val="2"/>
            <w:shd w:val="clear" w:color="auto" w:fill="CEFFE7"/>
          </w:tcPr>
          <w:p>
            <w:pPr>
              <w:ind w:left="20"/>
              <w:spacing w:after="0" w:line="181" w:lineRule="exact"/>
              <w:rPr>
                <w:sz w:val="20"/>
                <w:szCs w:val="20"/>
                <w:color w:val="auto"/>
              </w:rPr>
            </w:pPr>
            <w:r>
              <w:rPr>
                <w:rFonts w:ascii="Arial" w:cs="Arial" w:eastAsia="Arial" w:hAnsi="Arial"/>
                <w:sz w:val="16"/>
                <w:szCs w:val="16"/>
                <w:color w:val="auto"/>
              </w:rPr>
              <w:t>Neil Simpson II</w:t>
            </w:r>
          </w:p>
        </w:tc>
        <w:tc>
          <w:tcPr>
            <w:tcW w:w="8820" w:type="dxa"/>
            <w:vAlign w:val="bottom"/>
            <w:shd w:val="clear" w:color="auto" w:fill="CEFFE7"/>
          </w:tcPr>
          <w:p>
            <w:pPr>
              <w:ind w:left="440"/>
              <w:spacing w:after="0" w:line="181" w:lineRule="exact"/>
              <w:rPr>
                <w:sz w:val="20"/>
                <w:szCs w:val="20"/>
                <w:color w:val="auto"/>
              </w:rPr>
            </w:pPr>
            <w:r>
              <w:rPr>
                <w:rFonts w:ascii="Arial" w:cs="Arial" w:eastAsia="Arial" w:hAnsi="Arial"/>
                <w:sz w:val="16"/>
                <w:szCs w:val="16"/>
                <w:color w:val="auto"/>
              </w:rPr>
              <w:t>A mine-mouth, coal-fired power plant owned and operated by South Dakota Electric with a total capacity of 90 MW</w:t>
            </w:r>
          </w:p>
        </w:tc>
      </w:tr>
      <w:tr>
        <w:trPr>
          <w:trHeight w:val="201"/>
        </w:trPr>
        <w:tc>
          <w:tcPr>
            <w:tcW w:w="13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located at our Gillette, Wyoming energy complex.</w:t>
            </w: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NOL</w:t>
            </w:r>
          </w:p>
        </w:tc>
        <w:tc>
          <w:tcPr>
            <w:tcW w:w="8820" w:type="dxa"/>
            <w:vAlign w:val="bottom"/>
          </w:tcPr>
          <w:p>
            <w:pPr>
              <w:ind w:left="440"/>
              <w:spacing w:after="0"/>
              <w:rPr>
                <w:sz w:val="20"/>
                <w:szCs w:val="20"/>
                <w:color w:val="auto"/>
              </w:rPr>
            </w:pPr>
            <w:r>
              <w:rPr>
                <w:rFonts w:ascii="Arial" w:cs="Arial" w:eastAsia="Arial" w:hAnsi="Arial"/>
                <w:sz w:val="16"/>
                <w:szCs w:val="16"/>
                <w:color w:val="auto"/>
              </w:rPr>
              <w:t>Net Operating Loss</w:t>
            </w:r>
          </w:p>
        </w:tc>
      </w:tr>
      <w:tr>
        <w:trPr>
          <w:trHeight w:val="219"/>
        </w:trPr>
        <w:tc>
          <w:tcPr>
            <w:tcW w:w="2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NPSC</w:t>
            </w: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Nebraska Public Service Commission</w:t>
            </w: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OCI</w:t>
            </w:r>
          </w:p>
        </w:tc>
        <w:tc>
          <w:tcPr>
            <w:tcW w:w="8820" w:type="dxa"/>
            <w:vAlign w:val="bottom"/>
          </w:tcPr>
          <w:p>
            <w:pPr>
              <w:ind w:left="440"/>
              <w:spacing w:after="0"/>
              <w:rPr>
                <w:sz w:val="20"/>
                <w:szCs w:val="20"/>
                <w:color w:val="auto"/>
              </w:rPr>
            </w:pPr>
            <w:r>
              <w:rPr>
                <w:rFonts w:ascii="Arial" w:cs="Arial" w:eastAsia="Arial" w:hAnsi="Arial"/>
                <w:sz w:val="16"/>
                <w:szCs w:val="16"/>
                <w:color w:val="auto"/>
              </w:rPr>
              <w:t>Other Comprehensive Income</w:t>
            </w:r>
          </w:p>
        </w:tc>
      </w:tr>
      <w:tr>
        <w:trPr>
          <w:trHeight w:val="219"/>
        </w:trPr>
        <w:tc>
          <w:tcPr>
            <w:tcW w:w="2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PPA</w:t>
            </w: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Power Purchase Agreement</w:t>
            </w:r>
          </w:p>
        </w:tc>
      </w:tr>
      <w:tr>
        <w:trPr>
          <w:trHeight w:val="213"/>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PSA</w:t>
            </w:r>
          </w:p>
        </w:tc>
        <w:tc>
          <w:tcPr>
            <w:tcW w:w="8820" w:type="dxa"/>
            <w:vAlign w:val="bottom"/>
          </w:tcPr>
          <w:p>
            <w:pPr>
              <w:ind w:left="440"/>
              <w:spacing w:after="0"/>
              <w:rPr>
                <w:sz w:val="20"/>
                <w:szCs w:val="20"/>
                <w:color w:val="auto"/>
              </w:rPr>
            </w:pPr>
            <w:r>
              <w:rPr>
                <w:rFonts w:ascii="Arial" w:cs="Arial" w:eastAsia="Arial" w:hAnsi="Arial"/>
                <w:sz w:val="16"/>
                <w:szCs w:val="16"/>
                <w:color w:val="auto"/>
              </w:rPr>
              <w:t>Power Sales Agreement</w:t>
            </w:r>
          </w:p>
        </w:tc>
      </w:tr>
      <w:tr>
        <w:trPr>
          <w:trHeight w:val="180"/>
        </w:trPr>
        <w:tc>
          <w:tcPr>
            <w:tcW w:w="2420" w:type="dxa"/>
            <w:vAlign w:val="bottom"/>
            <w:gridSpan w:val="2"/>
            <w:shd w:val="clear" w:color="auto" w:fill="CEFFE7"/>
          </w:tcPr>
          <w:p>
            <w:pPr>
              <w:ind w:left="20"/>
              <w:spacing w:after="0" w:line="181" w:lineRule="exact"/>
              <w:rPr>
                <w:sz w:val="20"/>
                <w:szCs w:val="20"/>
                <w:color w:val="auto"/>
              </w:rPr>
            </w:pPr>
            <w:r>
              <w:rPr>
                <w:rFonts w:ascii="Arial" w:cs="Arial" w:eastAsia="Arial" w:hAnsi="Arial"/>
                <w:sz w:val="16"/>
                <w:szCs w:val="16"/>
                <w:color w:val="auto"/>
              </w:rPr>
              <w:t>Pueblo Airport Generation</w:t>
            </w:r>
          </w:p>
        </w:tc>
        <w:tc>
          <w:tcPr>
            <w:tcW w:w="8820" w:type="dxa"/>
            <w:vAlign w:val="bottom"/>
            <w:shd w:val="clear" w:color="auto" w:fill="CEFFE7"/>
          </w:tcPr>
          <w:p>
            <w:pPr>
              <w:ind w:left="440"/>
              <w:spacing w:after="0" w:line="181" w:lineRule="exact"/>
              <w:rPr>
                <w:sz w:val="20"/>
                <w:szCs w:val="20"/>
                <w:color w:val="auto"/>
              </w:rPr>
            </w:pPr>
            <w:r>
              <w:rPr>
                <w:rFonts w:ascii="Arial" w:cs="Arial" w:eastAsia="Arial" w:hAnsi="Arial"/>
                <w:sz w:val="16"/>
                <w:szCs w:val="16"/>
                <w:color w:val="auto"/>
              </w:rPr>
              <w:t>The 420 MW combined cycle gas-fired power generation plants jointly owned by Colorado Electric (220 MW) and</w:t>
            </w:r>
          </w:p>
        </w:tc>
      </w:tr>
      <w:tr>
        <w:trPr>
          <w:trHeight w:val="162"/>
        </w:trPr>
        <w:tc>
          <w:tcPr>
            <w:tcW w:w="1360" w:type="dxa"/>
            <w:vAlign w:val="bottom"/>
            <w:shd w:val="clear" w:color="auto" w:fill="CEFFE7"/>
          </w:tcPr>
          <w:p>
            <w:pPr>
              <w:spacing w:after="0"/>
              <w:rPr>
                <w:sz w:val="14"/>
                <w:szCs w:val="14"/>
                <w:color w:val="auto"/>
              </w:rPr>
            </w:pPr>
          </w:p>
        </w:tc>
        <w:tc>
          <w:tcPr>
            <w:tcW w:w="1060" w:type="dxa"/>
            <w:vAlign w:val="bottom"/>
            <w:shd w:val="clear" w:color="auto" w:fill="CEFFE7"/>
          </w:tcPr>
          <w:p>
            <w:pPr>
              <w:spacing w:after="0"/>
              <w:rPr>
                <w:sz w:val="14"/>
                <w:szCs w:val="14"/>
                <w:color w:val="auto"/>
              </w:rPr>
            </w:pPr>
          </w:p>
        </w:tc>
        <w:tc>
          <w:tcPr>
            <w:tcW w:w="8820" w:type="dxa"/>
            <w:vAlign w:val="bottom"/>
            <w:shd w:val="clear" w:color="auto" w:fill="CEFFE7"/>
          </w:tcPr>
          <w:p>
            <w:pPr>
              <w:ind w:left="440"/>
              <w:spacing w:after="0" w:line="162" w:lineRule="exact"/>
              <w:rPr>
                <w:sz w:val="20"/>
                <w:szCs w:val="20"/>
                <w:color w:val="auto"/>
              </w:rPr>
            </w:pPr>
            <w:r>
              <w:rPr>
                <w:rFonts w:ascii="Arial" w:cs="Arial" w:eastAsia="Arial" w:hAnsi="Arial"/>
                <w:sz w:val="16"/>
                <w:szCs w:val="16"/>
                <w:color w:val="auto"/>
              </w:rPr>
              <w:t>Black Hills Colorado IPP (200 MW). Black Hills Colorado IPP owns and operates this facility. The plants commenced</w:t>
            </w:r>
          </w:p>
        </w:tc>
      </w:tr>
      <w:tr>
        <w:trPr>
          <w:trHeight w:val="201"/>
        </w:trPr>
        <w:tc>
          <w:tcPr>
            <w:tcW w:w="13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operation on January 1, 2012.</w:t>
            </w:r>
          </w:p>
        </w:tc>
      </w:tr>
      <w:tr>
        <w:trPr>
          <w:trHeight w:val="177"/>
        </w:trPr>
        <w:tc>
          <w:tcPr>
            <w:tcW w:w="242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Renewable Advantage</w:t>
            </w:r>
          </w:p>
        </w:tc>
        <w:tc>
          <w:tcPr>
            <w:tcW w:w="8820" w:type="dxa"/>
            <w:vAlign w:val="bottom"/>
          </w:tcPr>
          <w:p>
            <w:pPr>
              <w:ind w:left="440"/>
              <w:spacing w:after="0" w:line="178" w:lineRule="exact"/>
              <w:rPr>
                <w:sz w:val="20"/>
                <w:szCs w:val="20"/>
                <w:color w:val="auto"/>
              </w:rPr>
            </w:pPr>
            <w:r>
              <w:rPr>
                <w:rFonts w:ascii="Arial" w:cs="Arial" w:eastAsia="Arial" w:hAnsi="Arial"/>
                <w:sz w:val="16"/>
                <w:szCs w:val="16"/>
                <w:color w:val="auto"/>
              </w:rPr>
              <w:t>A 200 MW solar facility project to be constructed in Pueblo County, Colorado. The project aims to lower customer</w:t>
            </w:r>
          </w:p>
        </w:tc>
      </w:tr>
      <w:tr>
        <w:trPr>
          <w:trHeight w:val="162"/>
        </w:trPr>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20" w:type="dxa"/>
            <w:vAlign w:val="bottom"/>
          </w:tcPr>
          <w:p>
            <w:pPr>
              <w:ind w:left="440"/>
              <w:spacing w:after="0" w:line="162" w:lineRule="exact"/>
              <w:rPr>
                <w:sz w:val="20"/>
                <w:szCs w:val="20"/>
                <w:color w:val="auto"/>
              </w:rPr>
            </w:pPr>
            <w:r>
              <w:rPr>
                <w:rFonts w:ascii="Arial" w:cs="Arial" w:eastAsia="Arial" w:hAnsi="Arial"/>
                <w:sz w:val="16"/>
                <w:szCs w:val="16"/>
                <w:color w:val="auto"/>
              </w:rPr>
              <w:t>energy costs and provide economic and environmental benefits to Colorado Electric’s customers and communities.</w:t>
            </w:r>
          </w:p>
        </w:tc>
      </w:tr>
      <w:tr>
        <w:trPr>
          <w:trHeight w:val="162"/>
        </w:trPr>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20" w:type="dxa"/>
            <w:vAlign w:val="bottom"/>
          </w:tcPr>
          <w:p>
            <w:pPr>
              <w:ind w:left="440"/>
              <w:spacing w:after="0" w:line="162" w:lineRule="exact"/>
              <w:rPr>
                <w:sz w:val="20"/>
                <w:szCs w:val="20"/>
                <w:color w:val="auto"/>
              </w:rPr>
            </w:pPr>
            <w:r>
              <w:rPr>
                <w:rFonts w:ascii="Arial" w:cs="Arial" w:eastAsia="Arial" w:hAnsi="Arial"/>
                <w:sz w:val="16"/>
                <w:szCs w:val="16"/>
                <w:color w:val="auto"/>
              </w:rPr>
              <w:t>This project, which was approved by the CPUC in September 2020, will be owned by a third-party renewable energy</w:t>
            </w:r>
          </w:p>
        </w:tc>
      </w:tr>
      <w:tr>
        <w:trPr>
          <w:trHeight w:val="162"/>
        </w:trPr>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20" w:type="dxa"/>
            <w:vAlign w:val="bottom"/>
          </w:tcPr>
          <w:p>
            <w:pPr>
              <w:ind w:left="440"/>
              <w:spacing w:after="0" w:line="162" w:lineRule="exact"/>
              <w:rPr>
                <w:sz w:val="20"/>
                <w:szCs w:val="20"/>
                <w:color w:val="auto"/>
              </w:rPr>
            </w:pPr>
            <w:r>
              <w:rPr>
                <w:rFonts w:ascii="Arial" w:cs="Arial" w:eastAsia="Arial" w:hAnsi="Arial"/>
                <w:sz w:val="16"/>
                <w:szCs w:val="16"/>
                <w:color w:val="auto"/>
              </w:rPr>
              <w:t>developer with Colorado Electric purchasing all of the energy generated at the facility under the terms of a 15-year</w:t>
            </w:r>
          </w:p>
        </w:tc>
      </w:tr>
      <w:tr>
        <w:trPr>
          <w:trHeight w:val="198"/>
        </w:trPr>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20" w:type="dxa"/>
            <w:vAlign w:val="bottom"/>
          </w:tcPr>
          <w:p>
            <w:pPr>
              <w:ind w:left="440"/>
              <w:spacing w:after="0"/>
              <w:rPr>
                <w:sz w:val="20"/>
                <w:szCs w:val="20"/>
                <w:color w:val="auto"/>
              </w:rPr>
            </w:pPr>
            <w:r>
              <w:rPr>
                <w:rFonts w:ascii="Arial" w:cs="Arial" w:eastAsia="Arial" w:hAnsi="Arial"/>
                <w:sz w:val="16"/>
                <w:szCs w:val="16"/>
                <w:color w:val="auto"/>
              </w:rPr>
              <w:t>PPA. The project is expected to be placed in service in 2023.</w:t>
            </w:r>
          </w:p>
        </w:tc>
      </w:tr>
      <w:tr>
        <w:trPr>
          <w:trHeight w:val="180"/>
        </w:trPr>
        <w:tc>
          <w:tcPr>
            <w:tcW w:w="2420" w:type="dxa"/>
            <w:vAlign w:val="bottom"/>
            <w:gridSpan w:val="2"/>
            <w:shd w:val="clear" w:color="auto" w:fill="CEFFE7"/>
          </w:tcPr>
          <w:p>
            <w:pPr>
              <w:ind w:left="20"/>
              <w:spacing w:after="0" w:line="181" w:lineRule="exact"/>
              <w:rPr>
                <w:sz w:val="20"/>
                <w:szCs w:val="20"/>
                <w:color w:val="auto"/>
              </w:rPr>
            </w:pPr>
            <w:r>
              <w:rPr>
                <w:rFonts w:ascii="Arial" w:cs="Arial" w:eastAsia="Arial" w:hAnsi="Arial"/>
                <w:sz w:val="16"/>
                <w:szCs w:val="16"/>
                <w:color w:val="auto"/>
              </w:rPr>
              <w:t>Renewable Ready</w:t>
            </w:r>
          </w:p>
        </w:tc>
        <w:tc>
          <w:tcPr>
            <w:tcW w:w="8820" w:type="dxa"/>
            <w:vAlign w:val="bottom"/>
            <w:shd w:val="clear" w:color="auto" w:fill="CEFFE7"/>
          </w:tcPr>
          <w:p>
            <w:pPr>
              <w:ind w:left="440"/>
              <w:spacing w:after="0" w:line="181" w:lineRule="exact"/>
              <w:rPr>
                <w:sz w:val="20"/>
                <w:szCs w:val="20"/>
                <w:color w:val="auto"/>
              </w:rPr>
            </w:pPr>
            <w:r>
              <w:rPr>
                <w:rFonts w:ascii="Arial" w:cs="Arial" w:eastAsia="Arial" w:hAnsi="Arial"/>
                <w:sz w:val="16"/>
                <w:szCs w:val="16"/>
                <w:color w:val="auto"/>
              </w:rPr>
              <w:t>Voluntary renewable energy subscription program for large commercial, industrial and governmental agency</w:t>
            </w:r>
          </w:p>
        </w:tc>
      </w:tr>
      <w:tr>
        <w:trPr>
          <w:trHeight w:val="201"/>
        </w:trPr>
        <w:tc>
          <w:tcPr>
            <w:tcW w:w="1360" w:type="dxa"/>
            <w:vAlign w:val="bottom"/>
            <w:shd w:val="clear" w:color="auto" w:fill="CEFFE7"/>
          </w:tcPr>
          <w:p>
            <w:pPr>
              <w:spacing w:after="0"/>
              <w:rPr>
                <w:sz w:val="17"/>
                <w:szCs w:val="17"/>
                <w:color w:val="auto"/>
              </w:rPr>
            </w:pPr>
          </w:p>
        </w:tc>
        <w:tc>
          <w:tcPr>
            <w:tcW w:w="1060" w:type="dxa"/>
            <w:vAlign w:val="bottom"/>
            <w:shd w:val="clear" w:color="auto" w:fill="CEFFE7"/>
          </w:tcPr>
          <w:p>
            <w:pPr>
              <w:spacing w:after="0"/>
              <w:rPr>
                <w:sz w:val="17"/>
                <w:szCs w:val="17"/>
                <w:color w:val="auto"/>
              </w:rPr>
            </w:pP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customers in South Dakota and Wyoming.</w:t>
            </w:r>
          </w:p>
        </w:tc>
      </w:tr>
      <w:tr>
        <w:trPr>
          <w:trHeight w:val="177"/>
        </w:trPr>
        <w:tc>
          <w:tcPr>
            <w:tcW w:w="242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Revolving Credit Facility</w:t>
            </w:r>
          </w:p>
        </w:tc>
        <w:tc>
          <w:tcPr>
            <w:tcW w:w="8820" w:type="dxa"/>
            <w:vAlign w:val="bottom"/>
          </w:tcPr>
          <w:p>
            <w:pPr>
              <w:ind w:left="440"/>
              <w:spacing w:after="0" w:line="178" w:lineRule="exact"/>
              <w:rPr>
                <w:sz w:val="20"/>
                <w:szCs w:val="20"/>
                <w:color w:val="auto"/>
              </w:rPr>
            </w:pPr>
            <w:r>
              <w:rPr>
                <w:rFonts w:ascii="Arial" w:cs="Arial" w:eastAsia="Arial" w:hAnsi="Arial"/>
                <w:sz w:val="16"/>
                <w:szCs w:val="16"/>
                <w:color w:val="auto"/>
              </w:rPr>
              <w:t>Our $750 million credit facility used to fund working capital needs, letters of credit and other corporate purposes,</w:t>
            </w:r>
          </w:p>
        </w:tc>
      </w:tr>
      <w:tr>
        <w:trPr>
          <w:trHeight w:val="198"/>
        </w:trPr>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20" w:type="dxa"/>
            <w:vAlign w:val="bottom"/>
          </w:tcPr>
          <w:p>
            <w:pPr>
              <w:ind w:left="440"/>
              <w:spacing w:after="0"/>
              <w:rPr>
                <w:sz w:val="20"/>
                <w:szCs w:val="20"/>
                <w:color w:val="auto"/>
              </w:rPr>
            </w:pPr>
            <w:r>
              <w:rPr>
                <w:rFonts w:ascii="Arial" w:cs="Arial" w:eastAsia="Arial" w:hAnsi="Arial"/>
                <w:sz w:val="16"/>
                <w:szCs w:val="16"/>
                <w:color w:val="auto"/>
              </w:rPr>
              <w:t>which was amended and restated on July 19, 2021, and now terminates on July 19, 2026.</w:t>
            </w:r>
          </w:p>
        </w:tc>
      </w:tr>
      <w:tr>
        <w:trPr>
          <w:trHeight w:val="219"/>
        </w:trPr>
        <w:tc>
          <w:tcPr>
            <w:tcW w:w="2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SDPUC</w:t>
            </w:r>
          </w:p>
        </w:tc>
        <w:tc>
          <w:tcPr>
            <w:tcW w:w="8820" w:type="dxa"/>
            <w:vAlign w:val="bottom"/>
            <w:shd w:val="clear" w:color="auto" w:fill="CEFFE7"/>
          </w:tcPr>
          <w:p>
            <w:pPr>
              <w:ind w:left="440"/>
              <w:spacing w:after="0"/>
              <w:rPr>
                <w:sz w:val="20"/>
                <w:szCs w:val="20"/>
                <w:color w:val="auto"/>
              </w:rPr>
            </w:pPr>
            <w:r>
              <w:rPr>
                <w:rFonts w:ascii="Arial" w:cs="Arial" w:eastAsia="Arial" w:hAnsi="Arial"/>
                <w:sz w:val="16"/>
                <w:szCs w:val="16"/>
                <w:color w:val="auto"/>
              </w:rPr>
              <w:t>South Dakota Public Utilities Commission</w:t>
            </w:r>
          </w:p>
        </w:tc>
      </w:tr>
      <w:tr>
        <w:trPr>
          <w:trHeight w:val="210"/>
        </w:trPr>
        <w:tc>
          <w:tcPr>
            <w:tcW w:w="2420" w:type="dxa"/>
            <w:vAlign w:val="bottom"/>
            <w:gridSpan w:val="2"/>
          </w:tcPr>
          <w:p>
            <w:pPr>
              <w:ind w:left="20"/>
              <w:spacing w:after="0"/>
              <w:rPr>
                <w:sz w:val="20"/>
                <w:szCs w:val="20"/>
                <w:color w:val="auto"/>
              </w:rPr>
            </w:pPr>
            <w:r>
              <w:rPr>
                <w:rFonts w:ascii="Arial" w:cs="Arial" w:eastAsia="Arial" w:hAnsi="Arial"/>
                <w:sz w:val="16"/>
                <w:szCs w:val="16"/>
                <w:color w:val="auto"/>
              </w:rPr>
              <w:t>SEC</w:t>
            </w:r>
          </w:p>
        </w:tc>
        <w:tc>
          <w:tcPr>
            <w:tcW w:w="8820" w:type="dxa"/>
            <w:vAlign w:val="bottom"/>
          </w:tcPr>
          <w:p>
            <w:pPr>
              <w:ind w:left="440"/>
              <w:spacing w:after="0"/>
              <w:rPr>
                <w:sz w:val="20"/>
                <w:szCs w:val="20"/>
                <w:color w:val="auto"/>
              </w:rPr>
            </w:pPr>
            <w:r>
              <w:rPr>
                <w:rFonts w:ascii="Arial" w:cs="Arial" w:eastAsia="Arial" w:hAnsi="Arial"/>
                <w:sz w:val="16"/>
                <w:szCs w:val="16"/>
                <w:color w:val="auto"/>
              </w:rPr>
              <w:t>United States Securities and Exchange Commission</w:t>
            </w:r>
          </w:p>
        </w:tc>
      </w:tr>
      <w:tr>
        <w:trPr>
          <w:trHeight w:val="500"/>
        </w:trPr>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20" w:type="dxa"/>
            <w:vAlign w:val="bottom"/>
          </w:tcPr>
          <w:p>
            <w:pPr>
              <w:ind w:left="3160"/>
              <w:spacing w:after="0"/>
              <w:rPr>
                <w:sz w:val="20"/>
                <w:szCs w:val="20"/>
                <w:color w:val="auto"/>
              </w:rPr>
            </w:pPr>
            <w:r>
              <w:rPr>
                <w:rFonts w:ascii="Arial" w:cs="Arial" w:eastAsia="Arial" w:hAnsi="Arial"/>
                <w:sz w:val="16"/>
                <w:szCs w:val="16"/>
                <w:color w:val="auto"/>
              </w:rPr>
              <w:t>5</w:t>
            </w:r>
          </w:p>
        </w:tc>
      </w:tr>
      <w:tr>
        <w:trPr>
          <w:trHeight w:val="351"/>
        </w:trPr>
        <w:tc>
          <w:tcPr>
            <w:tcW w:w="13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Service Guard Comfort Plan</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Appliance protection plan that provides home appliance repair services through on-going monthly service</w:t>
            </w:r>
          </w:p>
        </w:tc>
      </w:tr>
      <w:tr>
        <w:trPr>
          <w:trHeight w:val="201"/>
        </w:trPr>
        <w:tc>
          <w:tcPr>
            <w:tcW w:w="2460" w:type="dxa"/>
            <w:vAlign w:val="bottom"/>
            <w:shd w:val="clear" w:color="auto" w:fill="CEFFE7"/>
          </w:tcPr>
          <w:p>
            <w:pPr>
              <w:spacing w:after="0"/>
              <w:rPr>
                <w:sz w:val="17"/>
                <w:szCs w:val="17"/>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agreements to residential utility customers.</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S&amp;P</w:t>
            </w:r>
          </w:p>
        </w:tc>
        <w:tc>
          <w:tcPr>
            <w:tcW w:w="8780" w:type="dxa"/>
            <w:vAlign w:val="bottom"/>
          </w:tcPr>
          <w:p>
            <w:pPr>
              <w:ind w:left="400"/>
              <w:spacing w:after="0"/>
              <w:rPr>
                <w:sz w:val="20"/>
                <w:szCs w:val="20"/>
                <w:color w:val="auto"/>
              </w:rPr>
            </w:pPr>
            <w:r>
              <w:rPr>
                <w:rFonts w:ascii="Arial" w:cs="Arial" w:eastAsia="Arial" w:hAnsi="Arial"/>
                <w:sz w:val="16"/>
                <w:szCs w:val="16"/>
                <w:color w:val="auto"/>
              </w:rPr>
              <w:t>Standard and Poor’s, a division of The McGraw-Hill Companies, Inc.</w:t>
            </w:r>
          </w:p>
        </w:tc>
      </w:tr>
      <w:tr>
        <w:trPr>
          <w:trHeight w:val="180"/>
        </w:trPr>
        <w:tc>
          <w:tcPr>
            <w:tcW w:w="246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South Dakota Electric</w:t>
            </w:r>
          </w:p>
        </w:tc>
        <w:tc>
          <w:tcPr>
            <w:tcW w:w="8780" w:type="dxa"/>
            <w:vAlign w:val="bottom"/>
            <w:shd w:val="clear" w:color="auto" w:fill="CEFFE7"/>
          </w:tcPr>
          <w:p>
            <w:pPr>
              <w:ind w:left="400"/>
              <w:spacing w:after="0" w:line="181" w:lineRule="exact"/>
              <w:rPr>
                <w:sz w:val="20"/>
                <w:szCs w:val="20"/>
                <w:color w:val="auto"/>
              </w:rPr>
            </w:pPr>
            <w:r>
              <w:rPr>
                <w:rFonts w:ascii="Arial" w:cs="Arial" w:eastAsia="Arial" w:hAnsi="Arial"/>
                <w:sz w:val="16"/>
                <w:szCs w:val="16"/>
                <w:color w:val="auto"/>
              </w:rPr>
              <w:t>Black Hills Power, Inc., a direct, wholly-owned subsidiary of Black Hills Corporation, providing electric service to</w:t>
            </w:r>
          </w:p>
        </w:tc>
      </w:tr>
      <w:tr>
        <w:trPr>
          <w:trHeight w:val="201"/>
        </w:trPr>
        <w:tc>
          <w:tcPr>
            <w:tcW w:w="2460" w:type="dxa"/>
            <w:vAlign w:val="bottom"/>
            <w:shd w:val="clear" w:color="auto" w:fill="CEFFE7"/>
          </w:tcPr>
          <w:p>
            <w:pPr>
              <w:spacing w:after="0"/>
              <w:rPr>
                <w:sz w:val="17"/>
                <w:szCs w:val="17"/>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customers in Montana, South Dakota and Wyoming (doing business as Black Hills Energy).</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SSIR</w:t>
            </w:r>
          </w:p>
        </w:tc>
        <w:tc>
          <w:tcPr>
            <w:tcW w:w="8780" w:type="dxa"/>
            <w:vAlign w:val="bottom"/>
          </w:tcPr>
          <w:p>
            <w:pPr>
              <w:ind w:left="400"/>
              <w:spacing w:after="0"/>
              <w:rPr>
                <w:sz w:val="20"/>
                <w:szCs w:val="20"/>
                <w:color w:val="auto"/>
              </w:rPr>
            </w:pPr>
            <w:r>
              <w:rPr>
                <w:rFonts w:ascii="Arial" w:cs="Arial" w:eastAsia="Arial" w:hAnsi="Arial"/>
                <w:sz w:val="16"/>
                <w:szCs w:val="16"/>
                <w:color w:val="auto"/>
              </w:rPr>
              <w:t>System Safety and Integrity Rider</w:t>
            </w:r>
          </w:p>
        </w:tc>
      </w:tr>
      <w:tr>
        <w:trPr>
          <w:trHeight w:val="219"/>
        </w:trPr>
        <w:tc>
          <w:tcPr>
            <w:tcW w:w="2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TCJA</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Tax Cuts and Jobs Act</w:t>
            </w:r>
          </w:p>
        </w:tc>
      </w:tr>
      <w:tr>
        <w:trPr>
          <w:trHeight w:val="177"/>
        </w:trPr>
        <w:tc>
          <w:tcPr>
            <w:tcW w:w="2460" w:type="dxa"/>
            <w:vAlign w:val="bottom"/>
          </w:tcPr>
          <w:p>
            <w:pPr>
              <w:ind w:left="20"/>
              <w:spacing w:after="0" w:line="178" w:lineRule="exact"/>
              <w:rPr>
                <w:sz w:val="20"/>
                <w:szCs w:val="20"/>
                <w:color w:val="auto"/>
              </w:rPr>
            </w:pPr>
            <w:r>
              <w:rPr>
                <w:rFonts w:ascii="Arial" w:cs="Arial" w:eastAsia="Arial" w:hAnsi="Arial"/>
                <w:sz w:val="16"/>
                <w:szCs w:val="16"/>
                <w:color w:val="auto"/>
              </w:rPr>
              <w:t>Tech Services</w:t>
            </w:r>
          </w:p>
        </w:tc>
        <w:tc>
          <w:tcPr>
            <w:tcW w:w="8780" w:type="dxa"/>
            <w:vAlign w:val="bottom"/>
          </w:tcPr>
          <w:p>
            <w:pPr>
              <w:ind w:left="400"/>
              <w:spacing w:after="0" w:line="178" w:lineRule="exact"/>
              <w:rPr>
                <w:sz w:val="20"/>
                <w:szCs w:val="20"/>
                <w:color w:val="auto"/>
              </w:rPr>
            </w:pPr>
            <w:r>
              <w:rPr>
                <w:rFonts w:ascii="Arial" w:cs="Arial" w:eastAsia="Arial" w:hAnsi="Arial"/>
                <w:sz w:val="16"/>
                <w:szCs w:val="16"/>
                <w:color w:val="auto"/>
              </w:rPr>
              <w:t>Non-regulated product lines delivered by our Utilities that 1) provide electrical system construction services to large</w:t>
            </w:r>
          </w:p>
        </w:tc>
      </w:tr>
      <w:tr>
        <w:trPr>
          <w:trHeight w:val="162"/>
        </w:trPr>
        <w:tc>
          <w:tcPr>
            <w:tcW w:w="2460" w:type="dxa"/>
            <w:vAlign w:val="bottom"/>
          </w:tcPr>
          <w:p>
            <w:pPr>
              <w:spacing w:after="0"/>
              <w:rPr>
                <w:sz w:val="14"/>
                <w:szCs w:val="14"/>
                <w:color w:val="auto"/>
              </w:rPr>
            </w:pP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industrial customers of our electric utilities, and 2) serve gas transportation customers throughout its service territory</w:t>
            </w:r>
          </w:p>
        </w:tc>
      </w:tr>
      <w:tr>
        <w:trPr>
          <w:trHeight w:val="198"/>
        </w:trPr>
        <w:tc>
          <w:tcPr>
            <w:tcW w:w="2460" w:type="dxa"/>
            <w:vAlign w:val="bottom"/>
          </w:tcPr>
          <w:p>
            <w:pPr>
              <w:spacing w:after="0"/>
              <w:rPr>
                <w:sz w:val="17"/>
                <w:szCs w:val="17"/>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by constructing and maintaining customer-owned gas infrastructure facilities, typically through one-time contracts.</w:t>
            </w:r>
          </w:p>
        </w:tc>
      </w:tr>
      <w:tr>
        <w:trPr>
          <w:trHeight w:val="219"/>
        </w:trPr>
        <w:tc>
          <w:tcPr>
            <w:tcW w:w="2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Utilities</w:t>
            </w: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Black Hills’ Electric and Gas Utilities</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Wind Capacity Factor</w:t>
            </w:r>
          </w:p>
        </w:tc>
        <w:tc>
          <w:tcPr>
            <w:tcW w:w="8780" w:type="dxa"/>
            <w:vAlign w:val="bottom"/>
          </w:tcPr>
          <w:p>
            <w:pPr>
              <w:ind w:left="400"/>
              <w:spacing w:after="0"/>
              <w:rPr>
                <w:sz w:val="20"/>
                <w:szCs w:val="20"/>
                <w:color w:val="auto"/>
              </w:rPr>
            </w:pPr>
            <w:r>
              <w:rPr>
                <w:rFonts w:ascii="Arial" w:cs="Arial" w:eastAsia="Arial" w:hAnsi="Arial"/>
                <w:sz w:val="16"/>
                <w:szCs w:val="16"/>
                <w:color w:val="auto"/>
              </w:rPr>
              <w:t>Measures the amount of electricity a wind turbine produces in a given time period relative to its maximum potential.</w:t>
            </w:r>
          </w:p>
        </w:tc>
      </w:tr>
      <w:tr>
        <w:trPr>
          <w:trHeight w:val="180"/>
        </w:trPr>
        <w:tc>
          <w:tcPr>
            <w:tcW w:w="246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Winter Storm Uri</w:t>
            </w:r>
          </w:p>
        </w:tc>
        <w:tc>
          <w:tcPr>
            <w:tcW w:w="8780" w:type="dxa"/>
            <w:vAlign w:val="bottom"/>
            <w:shd w:val="clear" w:color="auto" w:fill="CEFFE7"/>
          </w:tcPr>
          <w:p>
            <w:pPr>
              <w:ind w:left="400"/>
              <w:spacing w:after="0" w:line="181" w:lineRule="exact"/>
              <w:rPr>
                <w:sz w:val="20"/>
                <w:szCs w:val="20"/>
                <w:color w:val="auto"/>
              </w:rPr>
            </w:pPr>
            <w:r>
              <w:rPr>
                <w:rFonts w:ascii="Arial" w:cs="Arial" w:eastAsia="Arial" w:hAnsi="Arial"/>
                <w:sz w:val="16"/>
                <w:szCs w:val="16"/>
                <w:color w:val="auto"/>
              </w:rPr>
              <w:t>February 2021 winter weather event that caused extremely cold temperatures in the central United States and led to</w:t>
            </w:r>
          </w:p>
        </w:tc>
      </w:tr>
      <w:tr>
        <w:trPr>
          <w:trHeight w:val="201"/>
        </w:trPr>
        <w:tc>
          <w:tcPr>
            <w:tcW w:w="2460" w:type="dxa"/>
            <w:vAlign w:val="bottom"/>
            <w:shd w:val="clear" w:color="auto" w:fill="CEFFE7"/>
          </w:tcPr>
          <w:p>
            <w:pPr>
              <w:spacing w:after="0"/>
              <w:rPr>
                <w:sz w:val="17"/>
                <w:szCs w:val="17"/>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unprecedented fluctuations in customer demand and market pricing for natural gas and energy.</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WPSC</w:t>
            </w:r>
          </w:p>
        </w:tc>
        <w:tc>
          <w:tcPr>
            <w:tcW w:w="8780" w:type="dxa"/>
            <w:vAlign w:val="bottom"/>
          </w:tcPr>
          <w:p>
            <w:pPr>
              <w:ind w:left="400"/>
              <w:spacing w:after="0"/>
              <w:rPr>
                <w:sz w:val="20"/>
                <w:szCs w:val="20"/>
                <w:color w:val="auto"/>
              </w:rPr>
            </w:pPr>
            <w:r>
              <w:rPr>
                <w:rFonts w:ascii="Arial" w:cs="Arial" w:eastAsia="Arial" w:hAnsi="Arial"/>
                <w:sz w:val="16"/>
                <w:szCs w:val="16"/>
                <w:color w:val="auto"/>
              </w:rPr>
              <w:t>Wyoming Public Service Commission</w:t>
            </w:r>
          </w:p>
        </w:tc>
      </w:tr>
      <w:tr>
        <w:trPr>
          <w:trHeight w:val="180"/>
        </w:trPr>
        <w:tc>
          <w:tcPr>
            <w:tcW w:w="246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WRDC</w:t>
            </w:r>
          </w:p>
        </w:tc>
        <w:tc>
          <w:tcPr>
            <w:tcW w:w="8780" w:type="dxa"/>
            <w:vAlign w:val="bottom"/>
            <w:shd w:val="clear" w:color="auto" w:fill="CEFFE7"/>
          </w:tcPr>
          <w:p>
            <w:pPr>
              <w:ind w:left="400"/>
              <w:spacing w:after="0" w:line="181" w:lineRule="exact"/>
              <w:rPr>
                <w:sz w:val="20"/>
                <w:szCs w:val="20"/>
                <w:color w:val="auto"/>
              </w:rPr>
            </w:pPr>
            <w:r>
              <w:rPr>
                <w:rFonts w:ascii="Arial" w:cs="Arial" w:eastAsia="Arial" w:hAnsi="Arial"/>
                <w:sz w:val="16"/>
                <w:szCs w:val="16"/>
                <w:color w:val="auto"/>
              </w:rPr>
              <w:t>Wyodak Resources Development Corporation, a direct, wholly-owned subsidiary of Black Hills Non-regulated</w:t>
            </w:r>
          </w:p>
        </w:tc>
      </w:tr>
      <w:tr>
        <w:trPr>
          <w:trHeight w:val="162"/>
        </w:trPr>
        <w:tc>
          <w:tcPr>
            <w:tcW w:w="2460" w:type="dxa"/>
            <w:vAlign w:val="bottom"/>
            <w:shd w:val="clear" w:color="auto" w:fill="CEFFE7"/>
          </w:tcPr>
          <w:p>
            <w:pPr>
              <w:spacing w:after="0"/>
              <w:rPr>
                <w:sz w:val="14"/>
                <w:szCs w:val="14"/>
                <w:color w:val="auto"/>
              </w:rPr>
            </w:pPr>
          </w:p>
        </w:tc>
        <w:tc>
          <w:tcPr>
            <w:tcW w:w="8780" w:type="dxa"/>
            <w:vAlign w:val="bottom"/>
            <w:shd w:val="clear" w:color="auto" w:fill="CEFFE7"/>
          </w:tcPr>
          <w:p>
            <w:pPr>
              <w:ind w:left="400"/>
              <w:spacing w:after="0" w:line="162" w:lineRule="exact"/>
              <w:rPr>
                <w:sz w:val="20"/>
                <w:szCs w:val="20"/>
                <w:color w:val="auto"/>
              </w:rPr>
            </w:pPr>
            <w:r>
              <w:rPr>
                <w:rFonts w:ascii="Arial" w:cs="Arial" w:eastAsia="Arial" w:hAnsi="Arial"/>
                <w:sz w:val="16"/>
                <w:szCs w:val="16"/>
                <w:color w:val="auto"/>
              </w:rPr>
              <w:t>Holdings, providing coal supply primarily to five on-site, mine-mouth generating facilities (doing business as Black</w:t>
            </w:r>
          </w:p>
        </w:tc>
      </w:tr>
      <w:tr>
        <w:trPr>
          <w:trHeight w:val="201"/>
        </w:trPr>
        <w:tc>
          <w:tcPr>
            <w:tcW w:w="2460" w:type="dxa"/>
            <w:vAlign w:val="bottom"/>
            <w:shd w:val="clear" w:color="auto" w:fill="CEFFE7"/>
          </w:tcPr>
          <w:p>
            <w:pPr>
              <w:spacing w:after="0"/>
              <w:rPr>
                <w:sz w:val="17"/>
                <w:szCs w:val="17"/>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Hills Energy)</w:t>
            </w:r>
          </w:p>
        </w:tc>
      </w:tr>
      <w:tr>
        <w:trPr>
          <w:trHeight w:val="177"/>
        </w:trPr>
        <w:tc>
          <w:tcPr>
            <w:tcW w:w="2460" w:type="dxa"/>
            <w:vAlign w:val="bottom"/>
          </w:tcPr>
          <w:p>
            <w:pPr>
              <w:ind w:left="20"/>
              <w:spacing w:after="0" w:line="178" w:lineRule="exact"/>
              <w:rPr>
                <w:sz w:val="20"/>
                <w:szCs w:val="20"/>
                <w:color w:val="auto"/>
              </w:rPr>
            </w:pPr>
            <w:r>
              <w:rPr>
                <w:rFonts w:ascii="Arial" w:cs="Arial" w:eastAsia="Arial" w:hAnsi="Arial"/>
                <w:sz w:val="16"/>
                <w:szCs w:val="16"/>
                <w:color w:val="auto"/>
              </w:rPr>
              <w:t>Wygen I</w:t>
            </w:r>
          </w:p>
        </w:tc>
        <w:tc>
          <w:tcPr>
            <w:tcW w:w="8780" w:type="dxa"/>
            <w:vAlign w:val="bottom"/>
          </w:tcPr>
          <w:p>
            <w:pPr>
              <w:ind w:left="400"/>
              <w:spacing w:after="0" w:line="178" w:lineRule="exact"/>
              <w:rPr>
                <w:sz w:val="20"/>
                <w:szCs w:val="20"/>
                <w:color w:val="auto"/>
              </w:rPr>
            </w:pPr>
            <w:r>
              <w:rPr>
                <w:rFonts w:ascii="Arial" w:cs="Arial" w:eastAsia="Arial" w:hAnsi="Arial"/>
                <w:sz w:val="16"/>
                <w:szCs w:val="16"/>
                <w:color w:val="auto"/>
              </w:rPr>
              <w:t>A mine-mouth, coal-fired power plant with a total capacity of 90 MW located at our Gillette, Wyoming energy</w:t>
            </w:r>
          </w:p>
        </w:tc>
      </w:tr>
      <w:tr>
        <w:trPr>
          <w:trHeight w:val="162"/>
        </w:trPr>
        <w:tc>
          <w:tcPr>
            <w:tcW w:w="2460" w:type="dxa"/>
            <w:vAlign w:val="bottom"/>
          </w:tcPr>
          <w:p>
            <w:pPr>
              <w:spacing w:after="0"/>
              <w:rPr>
                <w:sz w:val="14"/>
                <w:szCs w:val="14"/>
                <w:color w:val="auto"/>
              </w:rPr>
            </w:pP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complex. Black Hills Wyoming owns 76.5% of the facility and Municipal Energy Agency of Nebraska (MEAN) owns</w:t>
            </w:r>
          </w:p>
        </w:tc>
      </w:tr>
      <w:tr>
        <w:trPr>
          <w:trHeight w:val="198"/>
        </w:trPr>
        <w:tc>
          <w:tcPr>
            <w:tcW w:w="2460" w:type="dxa"/>
            <w:vAlign w:val="bottom"/>
          </w:tcPr>
          <w:p>
            <w:pPr>
              <w:spacing w:after="0"/>
              <w:rPr>
                <w:sz w:val="17"/>
                <w:szCs w:val="17"/>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the remaining 23.5%.</w:t>
            </w:r>
          </w:p>
        </w:tc>
      </w:tr>
      <w:tr>
        <w:trPr>
          <w:trHeight w:val="180"/>
        </w:trPr>
        <w:tc>
          <w:tcPr>
            <w:tcW w:w="246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Wygen II</w:t>
            </w:r>
          </w:p>
        </w:tc>
        <w:tc>
          <w:tcPr>
            <w:tcW w:w="8780" w:type="dxa"/>
            <w:vAlign w:val="bottom"/>
            <w:shd w:val="clear" w:color="auto" w:fill="CEFFE7"/>
          </w:tcPr>
          <w:p>
            <w:pPr>
              <w:ind w:left="400"/>
              <w:spacing w:after="0" w:line="181" w:lineRule="exact"/>
              <w:rPr>
                <w:sz w:val="20"/>
                <w:szCs w:val="20"/>
                <w:color w:val="auto"/>
              </w:rPr>
            </w:pPr>
            <w:r>
              <w:rPr>
                <w:rFonts w:ascii="Arial" w:cs="Arial" w:eastAsia="Arial" w:hAnsi="Arial"/>
                <w:sz w:val="16"/>
                <w:szCs w:val="16"/>
                <w:color w:val="auto"/>
              </w:rPr>
              <w:t>A mine-mouth, coal-fired power plant owned by Wyoming Electric with a total capacity of 95 MW located at our</w:t>
            </w:r>
          </w:p>
        </w:tc>
      </w:tr>
      <w:tr>
        <w:trPr>
          <w:trHeight w:val="201"/>
        </w:trPr>
        <w:tc>
          <w:tcPr>
            <w:tcW w:w="2460" w:type="dxa"/>
            <w:vAlign w:val="bottom"/>
            <w:shd w:val="clear" w:color="auto" w:fill="CEFFE7"/>
          </w:tcPr>
          <w:p>
            <w:pPr>
              <w:spacing w:after="0"/>
              <w:rPr>
                <w:sz w:val="17"/>
                <w:szCs w:val="17"/>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Gillette, Wyoming energy complex.</w:t>
            </w:r>
          </w:p>
        </w:tc>
      </w:tr>
      <w:tr>
        <w:trPr>
          <w:trHeight w:val="177"/>
        </w:trPr>
        <w:tc>
          <w:tcPr>
            <w:tcW w:w="2460" w:type="dxa"/>
            <w:vAlign w:val="bottom"/>
          </w:tcPr>
          <w:p>
            <w:pPr>
              <w:ind w:left="20"/>
              <w:spacing w:after="0" w:line="178" w:lineRule="exact"/>
              <w:rPr>
                <w:sz w:val="20"/>
                <w:szCs w:val="20"/>
                <w:color w:val="auto"/>
              </w:rPr>
            </w:pPr>
            <w:r>
              <w:rPr>
                <w:rFonts w:ascii="Arial" w:cs="Arial" w:eastAsia="Arial" w:hAnsi="Arial"/>
                <w:sz w:val="16"/>
                <w:szCs w:val="16"/>
                <w:color w:val="auto"/>
              </w:rPr>
              <w:t>Wygen III</w:t>
            </w:r>
          </w:p>
        </w:tc>
        <w:tc>
          <w:tcPr>
            <w:tcW w:w="8780" w:type="dxa"/>
            <w:vAlign w:val="bottom"/>
          </w:tcPr>
          <w:p>
            <w:pPr>
              <w:ind w:left="400"/>
              <w:spacing w:after="0" w:line="178" w:lineRule="exact"/>
              <w:rPr>
                <w:sz w:val="20"/>
                <w:szCs w:val="20"/>
                <w:color w:val="auto"/>
              </w:rPr>
            </w:pPr>
            <w:r>
              <w:rPr>
                <w:rFonts w:ascii="Arial" w:cs="Arial" w:eastAsia="Arial" w:hAnsi="Arial"/>
                <w:sz w:val="16"/>
                <w:szCs w:val="16"/>
                <w:color w:val="auto"/>
              </w:rPr>
              <w:t>A mine-mouth, coal-fired power plant operated by South Dakota Electric with a total capacity of 110 MW located at</w:t>
            </w:r>
          </w:p>
        </w:tc>
      </w:tr>
      <w:tr>
        <w:trPr>
          <w:trHeight w:val="162"/>
        </w:trPr>
        <w:tc>
          <w:tcPr>
            <w:tcW w:w="2460" w:type="dxa"/>
            <w:vAlign w:val="bottom"/>
          </w:tcPr>
          <w:p>
            <w:pPr>
              <w:spacing w:after="0"/>
              <w:rPr>
                <w:sz w:val="14"/>
                <w:szCs w:val="14"/>
                <w:color w:val="auto"/>
              </w:rPr>
            </w:pPr>
          </w:p>
        </w:tc>
        <w:tc>
          <w:tcPr>
            <w:tcW w:w="8780" w:type="dxa"/>
            <w:vAlign w:val="bottom"/>
          </w:tcPr>
          <w:p>
            <w:pPr>
              <w:ind w:left="400"/>
              <w:spacing w:after="0" w:line="162" w:lineRule="exact"/>
              <w:rPr>
                <w:sz w:val="20"/>
                <w:szCs w:val="20"/>
                <w:color w:val="auto"/>
              </w:rPr>
            </w:pPr>
            <w:r>
              <w:rPr>
                <w:rFonts w:ascii="Arial" w:cs="Arial" w:eastAsia="Arial" w:hAnsi="Arial"/>
                <w:sz w:val="16"/>
                <w:szCs w:val="16"/>
                <w:color w:val="auto"/>
              </w:rPr>
              <w:t>our Gillette, Wyoming energy complex. South Dakota Electric owns 52% of the power plant, MDU owns 25% and the</w:t>
            </w:r>
          </w:p>
        </w:tc>
      </w:tr>
      <w:tr>
        <w:trPr>
          <w:trHeight w:val="198"/>
        </w:trPr>
        <w:tc>
          <w:tcPr>
            <w:tcW w:w="2460" w:type="dxa"/>
            <w:vAlign w:val="bottom"/>
          </w:tcPr>
          <w:p>
            <w:pPr>
              <w:spacing w:after="0"/>
              <w:rPr>
                <w:sz w:val="17"/>
                <w:szCs w:val="17"/>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City of Gillette owns the remaining 23%.</w:t>
            </w:r>
          </w:p>
        </w:tc>
      </w:tr>
      <w:tr>
        <w:trPr>
          <w:trHeight w:val="180"/>
        </w:trPr>
        <w:tc>
          <w:tcPr>
            <w:tcW w:w="246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Wyodak Plant</w:t>
            </w:r>
          </w:p>
        </w:tc>
        <w:tc>
          <w:tcPr>
            <w:tcW w:w="8780" w:type="dxa"/>
            <w:vAlign w:val="bottom"/>
            <w:shd w:val="clear" w:color="auto" w:fill="CEFFE7"/>
          </w:tcPr>
          <w:p>
            <w:pPr>
              <w:ind w:left="400"/>
              <w:spacing w:after="0" w:line="181" w:lineRule="exact"/>
              <w:rPr>
                <w:sz w:val="20"/>
                <w:szCs w:val="20"/>
                <w:color w:val="auto"/>
              </w:rPr>
            </w:pPr>
            <w:r>
              <w:rPr>
                <w:rFonts w:ascii="Arial" w:cs="Arial" w:eastAsia="Arial" w:hAnsi="Arial"/>
                <w:sz w:val="16"/>
                <w:szCs w:val="16"/>
                <w:color w:val="auto"/>
              </w:rPr>
              <w:t>The 362 MW mine-mouth, coal-fired generation facility near Gillette, Wyoming, jointly owned by PacifiCorp (80%)</w:t>
            </w:r>
          </w:p>
        </w:tc>
      </w:tr>
      <w:tr>
        <w:trPr>
          <w:trHeight w:val="201"/>
        </w:trPr>
        <w:tc>
          <w:tcPr>
            <w:tcW w:w="2460" w:type="dxa"/>
            <w:vAlign w:val="bottom"/>
            <w:shd w:val="clear" w:color="auto" w:fill="CEFFE7"/>
          </w:tcPr>
          <w:p>
            <w:pPr>
              <w:spacing w:after="0"/>
              <w:rPr>
                <w:sz w:val="17"/>
                <w:szCs w:val="17"/>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and South Dakota Electric (20%). Our WRDC mine supplies all of the fuel for the facility.</w:t>
            </w:r>
          </w:p>
        </w:tc>
      </w:tr>
      <w:tr>
        <w:trPr>
          <w:trHeight w:val="177"/>
        </w:trPr>
        <w:tc>
          <w:tcPr>
            <w:tcW w:w="2460" w:type="dxa"/>
            <w:vAlign w:val="bottom"/>
          </w:tcPr>
          <w:p>
            <w:pPr>
              <w:ind w:left="20"/>
              <w:spacing w:after="0" w:line="178" w:lineRule="exact"/>
              <w:rPr>
                <w:sz w:val="20"/>
                <w:szCs w:val="20"/>
                <w:color w:val="auto"/>
              </w:rPr>
            </w:pPr>
            <w:r>
              <w:rPr>
                <w:rFonts w:ascii="Arial" w:cs="Arial" w:eastAsia="Arial" w:hAnsi="Arial"/>
                <w:sz w:val="16"/>
                <w:szCs w:val="16"/>
                <w:color w:val="auto"/>
              </w:rPr>
              <w:t>Wyoming Electric</w:t>
            </w:r>
          </w:p>
        </w:tc>
        <w:tc>
          <w:tcPr>
            <w:tcW w:w="8780" w:type="dxa"/>
            <w:vAlign w:val="bottom"/>
          </w:tcPr>
          <w:p>
            <w:pPr>
              <w:ind w:left="400"/>
              <w:spacing w:after="0" w:line="178" w:lineRule="exact"/>
              <w:rPr>
                <w:sz w:val="20"/>
                <w:szCs w:val="20"/>
                <w:color w:val="auto"/>
              </w:rPr>
            </w:pPr>
            <w:r>
              <w:rPr>
                <w:rFonts w:ascii="Arial" w:cs="Arial" w:eastAsia="Arial" w:hAnsi="Arial"/>
                <w:sz w:val="16"/>
                <w:szCs w:val="16"/>
                <w:color w:val="auto"/>
              </w:rPr>
              <w:t>Cheyenne Light, Fuel and Power Company, a direct, wholly-owned subsidiary of Black Hills Corporation, providing</w:t>
            </w:r>
          </w:p>
        </w:tc>
      </w:tr>
      <w:tr>
        <w:trPr>
          <w:trHeight w:val="198"/>
        </w:trPr>
        <w:tc>
          <w:tcPr>
            <w:tcW w:w="2460" w:type="dxa"/>
            <w:vAlign w:val="bottom"/>
          </w:tcPr>
          <w:p>
            <w:pPr>
              <w:spacing w:after="0"/>
              <w:rPr>
                <w:sz w:val="17"/>
                <w:szCs w:val="17"/>
                <w:color w:val="auto"/>
              </w:rPr>
            </w:pPr>
          </w:p>
        </w:tc>
        <w:tc>
          <w:tcPr>
            <w:tcW w:w="8780" w:type="dxa"/>
            <w:vAlign w:val="bottom"/>
          </w:tcPr>
          <w:p>
            <w:pPr>
              <w:ind w:left="400"/>
              <w:spacing w:after="0"/>
              <w:rPr>
                <w:sz w:val="20"/>
                <w:szCs w:val="20"/>
                <w:color w:val="auto"/>
              </w:rPr>
            </w:pPr>
            <w:r>
              <w:rPr>
                <w:rFonts w:ascii="Arial" w:cs="Arial" w:eastAsia="Arial" w:hAnsi="Arial"/>
                <w:sz w:val="16"/>
                <w:szCs w:val="16"/>
                <w:color w:val="auto"/>
              </w:rPr>
              <w:t>electric service to customers in the Cheyenne, Wyoming area (doing business as Black Hills Energy).</w:t>
            </w:r>
          </w:p>
        </w:tc>
      </w:tr>
      <w:tr>
        <w:trPr>
          <w:trHeight w:val="180"/>
        </w:trPr>
        <w:tc>
          <w:tcPr>
            <w:tcW w:w="246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Wyoming Gas</w:t>
            </w:r>
          </w:p>
        </w:tc>
        <w:tc>
          <w:tcPr>
            <w:tcW w:w="8780" w:type="dxa"/>
            <w:vAlign w:val="bottom"/>
            <w:shd w:val="clear" w:color="auto" w:fill="CEFFE7"/>
          </w:tcPr>
          <w:p>
            <w:pPr>
              <w:ind w:left="400"/>
              <w:spacing w:after="0" w:line="181" w:lineRule="exact"/>
              <w:rPr>
                <w:sz w:val="20"/>
                <w:szCs w:val="20"/>
                <w:color w:val="auto"/>
              </w:rPr>
            </w:pPr>
            <w:r>
              <w:rPr>
                <w:rFonts w:ascii="Arial" w:cs="Arial" w:eastAsia="Arial" w:hAnsi="Arial"/>
                <w:sz w:val="16"/>
                <w:szCs w:val="16"/>
                <w:color w:val="auto"/>
              </w:rPr>
              <w:t>Black Hills Wyoming Gas, LLC, an indirect and wholly-owned subsidiary of Black Hills Utility Holdings, providing</w:t>
            </w:r>
          </w:p>
        </w:tc>
      </w:tr>
      <w:tr>
        <w:trPr>
          <w:trHeight w:val="201"/>
        </w:trPr>
        <w:tc>
          <w:tcPr>
            <w:tcW w:w="2460" w:type="dxa"/>
            <w:vAlign w:val="bottom"/>
            <w:shd w:val="clear" w:color="auto" w:fill="CEFFE7"/>
          </w:tcPr>
          <w:p>
            <w:pPr>
              <w:spacing w:after="0"/>
              <w:rPr>
                <w:sz w:val="17"/>
                <w:szCs w:val="17"/>
                <w:color w:val="auto"/>
              </w:rPr>
            </w:pPr>
          </w:p>
        </w:tc>
        <w:tc>
          <w:tcPr>
            <w:tcW w:w="8780" w:type="dxa"/>
            <w:vAlign w:val="bottom"/>
            <w:shd w:val="clear" w:color="auto" w:fill="CEFFE7"/>
          </w:tcPr>
          <w:p>
            <w:pPr>
              <w:ind w:left="400"/>
              <w:spacing w:after="0"/>
              <w:rPr>
                <w:sz w:val="20"/>
                <w:szCs w:val="20"/>
                <w:color w:val="auto"/>
              </w:rPr>
            </w:pPr>
            <w:r>
              <w:rPr>
                <w:rFonts w:ascii="Arial" w:cs="Arial" w:eastAsia="Arial" w:hAnsi="Arial"/>
                <w:sz w:val="16"/>
                <w:szCs w:val="16"/>
                <w:color w:val="auto"/>
              </w:rPr>
              <w:t>natural gas services to customers in Wyoming (doing business as Black Hills Energy).</w:t>
            </w:r>
          </w:p>
        </w:tc>
      </w:tr>
      <w:tr>
        <w:trPr>
          <w:trHeight w:val="737"/>
        </w:trPr>
        <w:tc>
          <w:tcPr>
            <w:tcW w:w="2460" w:type="dxa"/>
            <w:vAlign w:val="bottom"/>
          </w:tcPr>
          <w:p>
            <w:pPr>
              <w:spacing w:after="0"/>
              <w:rPr>
                <w:sz w:val="24"/>
                <w:szCs w:val="24"/>
                <w:color w:val="auto"/>
              </w:rPr>
            </w:pPr>
          </w:p>
        </w:tc>
        <w:tc>
          <w:tcPr>
            <w:tcW w:w="8780" w:type="dxa"/>
            <w:vAlign w:val="bottom"/>
          </w:tcPr>
          <w:p>
            <w:pPr>
              <w:ind w:left="3120"/>
              <w:spacing w:after="0"/>
              <w:rPr>
                <w:sz w:val="20"/>
                <w:szCs w:val="20"/>
                <w:color w:val="auto"/>
              </w:rPr>
            </w:pPr>
            <w:r>
              <w:rPr>
                <w:rFonts w:ascii="Arial" w:cs="Arial" w:eastAsia="Arial" w:hAnsi="Arial"/>
                <w:sz w:val="16"/>
                <w:szCs w:val="16"/>
                <w:color w:val="auto"/>
              </w:rPr>
              <w:t>6</w:t>
            </w:r>
          </w:p>
        </w:tc>
      </w:tr>
      <w:tr>
        <w:trPr>
          <w:trHeight w:val="350"/>
        </w:trPr>
        <w:tc>
          <w:tcPr>
            <w:tcW w:w="2460" w:type="dxa"/>
            <w:vAlign w:val="bottom"/>
            <w:tcBorders>
              <w:bottom w:val="single" w:sz="8" w:color="9A9A9A"/>
            </w:tcBorders>
          </w:tcPr>
          <w:p>
            <w:pPr>
              <w:spacing w:after="0"/>
              <w:rPr>
                <w:sz w:val="24"/>
                <w:szCs w:val="24"/>
                <w:color w:val="auto"/>
              </w:rPr>
            </w:pPr>
          </w:p>
        </w:tc>
        <w:tc>
          <w:tcPr>
            <w:tcW w:w="8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FORWARD-LOOKING INFORMATION</w:t>
      </w:r>
    </w:p>
    <w:p>
      <w:pPr>
        <w:spacing w:after="0" w:line="268" w:lineRule="exact"/>
        <w:rPr>
          <w:sz w:val="20"/>
          <w:szCs w:val="20"/>
          <w:color w:val="auto"/>
        </w:rPr>
      </w:pPr>
    </w:p>
    <w:p>
      <w:pPr>
        <w:ind w:right="120"/>
        <w:spacing w:after="0" w:line="249" w:lineRule="auto"/>
        <w:rPr>
          <w:rFonts w:ascii="Arial" w:cs="Arial" w:eastAsia="Arial" w:hAnsi="Arial"/>
          <w:sz w:val="16"/>
          <w:szCs w:val="16"/>
          <w:color w:val="0000FF"/>
        </w:rPr>
      </w:pPr>
      <w:r>
        <w:rPr>
          <w:rFonts w:ascii="Arial" w:cs="Arial" w:eastAsia="Arial" w:hAnsi="Arial"/>
          <w:sz w:val="16"/>
          <w:szCs w:val="16"/>
          <w:color w:val="auto"/>
        </w:rPr>
        <w:t xml:space="preserve">This Quarterly Report on Form 10-Q contains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From time to time, the Company may publish or otherwise </w:t>
      </w:r>
      <w:hyperlink w:anchor="page32">
        <w:r>
          <w:rPr>
            <w:rFonts w:ascii="Arial" w:cs="Arial" w:eastAsia="Arial" w:hAnsi="Arial"/>
            <w:sz w:val="16"/>
            <w:szCs w:val="16"/>
            <w:color w:val="auto"/>
          </w:rPr>
          <w:t xml:space="preserve">make available forward-looking statements of this nature, including statements contained within </w:t>
        </w:r>
        <w:r>
          <w:rPr>
            <w:rFonts w:ascii="Arial" w:cs="Arial" w:eastAsia="Arial" w:hAnsi="Arial"/>
            <w:sz w:val="16"/>
            <w:szCs w:val="16"/>
            <w:u w:val="single" w:color="auto"/>
            <w:color w:val="0000FF"/>
          </w:rPr>
          <w:t>Item 2 - Management’s Discussion &amp; Analysis of Financial</w:t>
        </w:r>
      </w:hyperlink>
      <w:r>
        <w:rPr>
          <w:rFonts w:ascii="Arial" w:cs="Arial" w:eastAsia="Arial" w:hAnsi="Arial"/>
          <w:sz w:val="16"/>
          <w:szCs w:val="16"/>
          <w:color w:val="auto"/>
        </w:rPr>
        <w:t xml:space="preserve"> </w:t>
      </w:r>
      <w:hyperlink w:anchor="page32">
        <w:r>
          <w:rPr>
            <w:rFonts w:ascii="Arial" w:cs="Arial" w:eastAsia="Arial" w:hAnsi="Arial"/>
            <w:sz w:val="16"/>
            <w:szCs w:val="16"/>
            <w:u w:val="single" w:color="auto"/>
            <w:color w:val="0000FF"/>
          </w:rPr>
          <w:t>Condition and Results of Operations</w:t>
        </w:r>
        <w:r>
          <w:rPr>
            <w:rFonts w:ascii="Arial" w:cs="Arial" w:eastAsia="Arial" w:hAnsi="Arial"/>
            <w:sz w:val="16"/>
            <w:szCs w:val="16"/>
            <w:color w:val="000000"/>
          </w:rPr>
          <w:t>.</w:t>
        </w:r>
      </w:hyperlink>
    </w:p>
    <w:p>
      <w:pPr>
        <w:spacing w:after="0" w:line="23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Forward-looking statements involve risks and uncertainties, which could cause actual results or outcomes to differ materially from those expressed. The Company’s expectations, beliefs and projections are expressed in good faith and are believed by the Company to have a reasonable basis, including without limitation, management’s examination of historical operating trends, data contained in the Company’s records and other data available from third parties. Nonetheless, the Company’s expectations, beliefs or projections may not be achieved or accomplished.</w:t>
      </w:r>
    </w:p>
    <w:p>
      <w:pPr>
        <w:spacing w:after="0" w:line="229" w:lineRule="exact"/>
        <w:rPr>
          <w:sz w:val="20"/>
          <w:szCs w:val="20"/>
          <w:color w:val="auto"/>
        </w:rPr>
      </w:pPr>
    </w:p>
    <w:p>
      <w:pPr>
        <w:spacing w:after="0" w:line="248" w:lineRule="auto"/>
        <w:rPr>
          <w:rFonts w:ascii="Arial" w:cs="Arial" w:eastAsia="Arial" w:hAnsi="Arial"/>
          <w:sz w:val="16"/>
          <w:szCs w:val="16"/>
          <w:color w:val="0000FF"/>
        </w:rPr>
      </w:pPr>
      <w:r>
        <w:rPr>
          <w:rFonts w:ascii="Arial" w:cs="Arial" w:eastAsia="Arial" w:hAnsi="Arial"/>
          <w:sz w:val="16"/>
          <w:szCs w:val="16"/>
          <w:color w:val="auto"/>
        </w:rPr>
        <w:t xml:space="preserve">Any forward-looking statement contained in this document speaks only as of the date the statement was made. The Company undertakes no obligation to update any forward-looking statement or statements to reflect events or circumstances that occur after the date on which the statement was made or to reflect the occurrence of unanticipated events. New factors emerge from time to time, such as the COVID-19 pandemic or Winter Storm Uri, and it is not possible for management to predict all of the factors, nor can it assess the effect of each factor on the Company’s business or the extent to which any factor, or combination of factors, may cause actual results to differ materially from those contained in any forward-looking statement. All forward-looking statements, whether written or oral and whether made by or on behalf of the Company, are expressly qualified by the risk factors and cautionary statements described in </w:t>
      </w:r>
      <w:hyperlink w:anchor="page52">
        <w:r>
          <w:rPr>
            <w:rFonts w:ascii="Arial" w:cs="Arial" w:eastAsia="Arial" w:hAnsi="Arial"/>
            <w:sz w:val="16"/>
            <w:szCs w:val="16"/>
            <w:color w:val="auto"/>
          </w:rPr>
          <w:t xml:space="preserve">our 2020 Annual Report on Form 10-K including statements contained within Item 1A - Risk Factors of our 2020 Annual Report on Form 10-K, Part II, </w:t>
        </w:r>
        <w:r>
          <w:rPr>
            <w:rFonts w:ascii="Arial" w:cs="Arial" w:eastAsia="Arial" w:hAnsi="Arial"/>
            <w:sz w:val="16"/>
            <w:szCs w:val="16"/>
            <w:u w:val="single" w:color="auto"/>
            <w:color w:val="0000FF"/>
          </w:rPr>
          <w:t>Item</w:t>
        </w:r>
      </w:hyperlink>
      <w:r>
        <w:rPr>
          <w:rFonts w:ascii="Arial" w:cs="Arial" w:eastAsia="Arial" w:hAnsi="Arial"/>
          <w:sz w:val="16"/>
          <w:szCs w:val="16"/>
          <w:color w:val="auto"/>
        </w:rPr>
        <w:t xml:space="preserve"> </w:t>
      </w:r>
      <w:hyperlink w:anchor="page52">
        <w:r>
          <w:rPr>
            <w:rFonts w:ascii="Arial" w:cs="Arial" w:eastAsia="Arial" w:hAnsi="Arial"/>
            <w:sz w:val="16"/>
            <w:szCs w:val="16"/>
            <w:u w:val="single" w:color="auto"/>
            <w:color w:val="0000FF"/>
          </w:rPr>
          <w:t>1A</w:t>
        </w:r>
        <w:r>
          <w:rPr>
            <w:rFonts w:ascii="Arial" w:cs="Arial" w:eastAsia="Arial" w:hAnsi="Arial"/>
            <w:sz w:val="16"/>
            <w:szCs w:val="16"/>
            <w:color w:val="0000FF"/>
          </w:rPr>
          <w:t xml:space="preserve"> </w:t>
        </w:r>
        <w:r>
          <w:rPr>
            <w:rFonts w:ascii="Arial" w:cs="Arial" w:eastAsia="Arial" w:hAnsi="Arial"/>
            <w:sz w:val="16"/>
            <w:szCs w:val="16"/>
            <w:color w:val="000000"/>
          </w:rPr>
          <w:t>of this Quarterly Report on Form 10-Q and other reports that we file with the SEC from time to time.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tcPr>
          <w:p>
            <w:pPr>
              <w:ind w:left="20"/>
              <w:spacing w:after="0"/>
              <w:rPr>
                <w:sz w:val="20"/>
                <w:szCs w:val="20"/>
                <w:color w:val="auto"/>
              </w:rPr>
            </w:pPr>
            <w:r>
              <w:rPr>
                <w:rFonts w:ascii="Arial" w:cs="Arial" w:eastAsia="Arial" w:hAnsi="Arial"/>
                <w:sz w:val="16"/>
                <w:szCs w:val="16"/>
                <w:color w:val="auto"/>
              </w:rPr>
              <w:t>(unaudited)</w:t>
            </w:r>
          </w:p>
        </w:tc>
        <w:tc>
          <w:tcPr>
            <w:tcW w:w="220" w:type="dxa"/>
            <w:vAlign w:val="bottom"/>
          </w:tcPr>
          <w:p>
            <w:pPr>
              <w:spacing w:after="0"/>
              <w:rPr>
                <w:sz w:val="16"/>
                <w:szCs w:val="16"/>
                <w:color w:val="auto"/>
              </w:rPr>
            </w:pPr>
          </w:p>
        </w:tc>
        <w:tc>
          <w:tcPr>
            <w:tcW w:w="2640" w:type="dxa"/>
            <w:vAlign w:val="bottom"/>
            <w:gridSpan w:val="3"/>
          </w:tcPr>
          <w:p>
            <w:pPr>
              <w:jc w:val="right"/>
              <w:ind w:right="259"/>
              <w:spacing w:after="0"/>
              <w:rPr>
                <w:sz w:val="20"/>
                <w:szCs w:val="20"/>
                <w:color w:val="auto"/>
              </w:rPr>
            </w:pPr>
            <w:r>
              <w:rPr>
                <w:rFonts w:ascii="Arial" w:cs="Arial" w:eastAsia="Arial" w:hAnsi="Arial"/>
                <w:sz w:val="16"/>
                <w:szCs w:val="16"/>
                <w:color w:val="auto"/>
              </w:rPr>
              <w:t>Three Months Ended June 30,</w:t>
            </w:r>
          </w:p>
        </w:tc>
        <w:tc>
          <w:tcPr>
            <w:tcW w:w="280" w:type="dxa"/>
            <w:vAlign w:val="bottom"/>
          </w:tcPr>
          <w:p>
            <w:pPr>
              <w:spacing w:after="0"/>
              <w:rPr>
                <w:sz w:val="16"/>
                <w:szCs w:val="16"/>
                <w:color w:val="auto"/>
              </w:rPr>
            </w:pPr>
          </w:p>
        </w:tc>
        <w:tc>
          <w:tcPr>
            <w:tcW w:w="2580" w:type="dxa"/>
            <w:vAlign w:val="bottom"/>
            <w:gridSpan w:val="3"/>
          </w:tcPr>
          <w:p>
            <w:pPr>
              <w:jc w:val="right"/>
              <w:ind w:right="359"/>
              <w:spacing w:after="0"/>
              <w:rPr>
                <w:sz w:val="20"/>
                <w:szCs w:val="20"/>
                <w:color w:val="auto"/>
              </w:rPr>
            </w:pPr>
            <w:r>
              <w:rPr>
                <w:rFonts w:ascii="Arial" w:cs="Arial" w:eastAsia="Arial" w:hAnsi="Arial"/>
                <w:sz w:val="16"/>
                <w:szCs w:val="16"/>
                <w:color w:val="auto"/>
              </w:rPr>
              <w:t>Six Months Ended June 30,</w:t>
            </w:r>
          </w:p>
        </w:tc>
      </w:tr>
      <w:tr>
        <w:trPr>
          <w:trHeight w:val="219"/>
        </w:trPr>
        <w:tc>
          <w:tcPr>
            <w:tcW w:w="5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r>
      <w:tr>
        <w:trPr>
          <w:trHeight w:val="207"/>
        </w:trPr>
        <w:tc>
          <w:tcPr>
            <w:tcW w:w="5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0" w:type="dxa"/>
            <w:vAlign w:val="bottom"/>
            <w:gridSpan w:val="6"/>
          </w:tcPr>
          <w:p>
            <w:pPr>
              <w:jc w:val="right"/>
              <w:ind w:right="179"/>
              <w:spacing w:after="0"/>
              <w:rPr>
                <w:sz w:val="20"/>
                <w:szCs w:val="20"/>
                <w:color w:val="auto"/>
              </w:rPr>
            </w:pPr>
            <w:r>
              <w:rPr>
                <w:rFonts w:ascii="Arial" w:cs="Arial" w:eastAsia="Arial" w:hAnsi="Arial"/>
                <w:sz w:val="16"/>
                <w:szCs w:val="16"/>
                <w:color w:val="auto"/>
              </w:rPr>
              <w:t>(in thousands, except per share amounts)</w:t>
            </w:r>
          </w:p>
        </w:tc>
        <w:tc>
          <w:tcPr>
            <w:tcW w:w="1100" w:type="dxa"/>
            <w:vAlign w:val="bottom"/>
          </w:tcPr>
          <w:p>
            <w:pPr>
              <w:spacing w:after="0"/>
              <w:rPr>
                <w:sz w:val="17"/>
                <w:szCs w:val="17"/>
                <w:color w:val="auto"/>
              </w:rPr>
            </w:pPr>
          </w:p>
        </w:tc>
      </w:tr>
      <w:tr>
        <w:trPr>
          <w:trHeight w:val="154"/>
        </w:trPr>
        <w:tc>
          <w:tcPr>
            <w:tcW w:w="5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13"/>
        </w:trPr>
        <w:tc>
          <w:tcPr>
            <w:tcW w:w="552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372,572</w:t>
            </w:r>
          </w:p>
        </w:tc>
        <w:tc>
          <w:tcPr>
            <w:tcW w:w="32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326,914</w:t>
            </w:r>
          </w:p>
        </w:tc>
        <w:tc>
          <w:tcPr>
            <w:tcW w:w="28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1,006,004</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863,964</w:t>
            </w:r>
          </w:p>
        </w:tc>
      </w:tr>
      <w:tr>
        <w:trPr>
          <w:trHeight w:val="132"/>
        </w:trPr>
        <w:tc>
          <w:tcPr>
            <w:tcW w:w="5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16"/>
        </w:trPr>
        <w:tc>
          <w:tcPr>
            <w:tcW w:w="552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shd w:val="clear" w:color="auto" w:fill="CEFFE7"/>
          </w:tcPr>
          <w:p>
            <w:pPr>
              <w:spacing w:after="0"/>
              <w:rPr>
                <w:sz w:val="18"/>
                <w:szCs w:val="18"/>
                <w:color w:val="auto"/>
              </w:rPr>
            </w:pPr>
          </w:p>
        </w:tc>
        <w:tc>
          <w:tcPr>
            <w:tcW w:w="1200" w:type="dxa"/>
            <w:vAlign w:val="bottom"/>
            <w:shd w:val="clear" w:color="auto" w:fill="CEFFE7"/>
          </w:tcPr>
          <w:p>
            <w:pPr>
              <w:spacing w:after="0"/>
              <w:rPr>
                <w:sz w:val="18"/>
                <w:szCs w:val="18"/>
                <w:color w:val="auto"/>
              </w:rPr>
            </w:pPr>
          </w:p>
        </w:tc>
        <w:tc>
          <w:tcPr>
            <w:tcW w:w="320" w:type="dxa"/>
            <w:vAlign w:val="bottom"/>
            <w:shd w:val="clear" w:color="auto" w:fill="CEFFE7"/>
          </w:tcPr>
          <w:p>
            <w:pPr>
              <w:spacing w:after="0"/>
              <w:rPr>
                <w:sz w:val="18"/>
                <w:szCs w:val="18"/>
                <w:color w:val="auto"/>
              </w:rPr>
            </w:pPr>
          </w:p>
        </w:tc>
        <w:tc>
          <w:tcPr>
            <w:tcW w:w="1120" w:type="dxa"/>
            <w:vAlign w:val="bottom"/>
            <w:shd w:val="clear" w:color="auto" w:fill="CEFFE7"/>
          </w:tcPr>
          <w:p>
            <w:pPr>
              <w:spacing w:after="0"/>
              <w:rPr>
                <w:sz w:val="18"/>
                <w:szCs w:val="18"/>
                <w:color w:val="auto"/>
              </w:rPr>
            </w:pPr>
          </w:p>
        </w:tc>
        <w:tc>
          <w:tcPr>
            <w:tcW w:w="280" w:type="dxa"/>
            <w:vAlign w:val="bottom"/>
            <w:shd w:val="clear" w:color="auto" w:fill="CEFFE7"/>
          </w:tcPr>
          <w:p>
            <w:pPr>
              <w:spacing w:after="0"/>
              <w:rPr>
                <w:sz w:val="18"/>
                <w:szCs w:val="18"/>
                <w:color w:val="auto"/>
              </w:rPr>
            </w:pPr>
          </w:p>
        </w:tc>
        <w:tc>
          <w:tcPr>
            <w:tcW w:w="114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Fuel, purchased power and cost of natural gas sold</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108,474</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71,629</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401,621</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259,508</w:t>
            </w:r>
          </w:p>
        </w:tc>
      </w:tr>
      <w:tr>
        <w:trPr>
          <w:trHeight w:val="219"/>
        </w:trPr>
        <w:tc>
          <w:tcPr>
            <w:tcW w:w="552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Operations and maintenance</w:t>
            </w:r>
          </w:p>
        </w:tc>
        <w:tc>
          <w:tcPr>
            <w:tcW w:w="220" w:type="dxa"/>
            <w:vAlign w:val="bottom"/>
            <w:shd w:val="clear" w:color="auto" w:fill="CEFFE7"/>
          </w:tcPr>
          <w:p>
            <w:pPr>
              <w:spacing w:after="0"/>
              <w:rPr>
                <w:sz w:val="19"/>
                <w:szCs w:val="19"/>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123,245</w:t>
            </w:r>
          </w:p>
        </w:tc>
        <w:tc>
          <w:tcPr>
            <w:tcW w:w="320" w:type="dxa"/>
            <w:vAlign w:val="bottom"/>
            <w:shd w:val="clear" w:color="auto" w:fill="CEFFE7"/>
          </w:tcPr>
          <w:p>
            <w:pPr>
              <w:spacing w:after="0"/>
              <w:rPr>
                <w:sz w:val="19"/>
                <w:szCs w:val="19"/>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117,308</w:t>
            </w:r>
          </w:p>
        </w:tc>
        <w:tc>
          <w:tcPr>
            <w:tcW w:w="280" w:type="dxa"/>
            <w:vAlign w:val="bottom"/>
            <w:shd w:val="clear" w:color="auto" w:fill="CEFFE7"/>
          </w:tcPr>
          <w:p>
            <w:pPr>
              <w:spacing w:after="0"/>
              <w:rPr>
                <w:sz w:val="19"/>
                <w:szCs w:val="19"/>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252,924</w:t>
            </w:r>
          </w:p>
        </w:tc>
        <w:tc>
          <w:tcPr>
            <w:tcW w:w="340" w:type="dxa"/>
            <w:vAlign w:val="bottom"/>
            <w:shd w:val="clear" w:color="auto" w:fill="CEFFE7"/>
          </w:tcPr>
          <w:p>
            <w:pPr>
              <w:spacing w:after="0"/>
              <w:rPr>
                <w:sz w:val="19"/>
                <w:szCs w:val="19"/>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242,774</w:t>
            </w:r>
          </w:p>
        </w:tc>
      </w:tr>
      <w:tr>
        <w:trPr>
          <w:trHeight w:val="240"/>
        </w:trPr>
        <w:tc>
          <w:tcPr>
            <w:tcW w:w="5520" w:type="dxa"/>
            <w:vAlign w:val="bottom"/>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58,443</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56,663</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115,712</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113,065</w:t>
            </w:r>
          </w:p>
        </w:tc>
      </w:tr>
      <w:tr>
        <w:trPr>
          <w:trHeight w:val="216"/>
        </w:trPr>
        <w:tc>
          <w:tcPr>
            <w:tcW w:w="5520" w:type="dxa"/>
            <w:vAlign w:val="bottom"/>
            <w:shd w:val="clear" w:color="auto" w:fill="CEFFE7"/>
          </w:tcPr>
          <w:p>
            <w:pPr>
              <w:ind w:left="20"/>
              <w:spacing w:after="0"/>
              <w:rPr>
                <w:sz w:val="20"/>
                <w:szCs w:val="20"/>
                <w:color w:val="auto"/>
              </w:rPr>
            </w:pPr>
            <w:r>
              <w:rPr>
                <w:rFonts w:ascii="Arial" w:cs="Arial" w:eastAsia="Arial" w:hAnsi="Arial"/>
                <w:sz w:val="16"/>
                <w:szCs w:val="16"/>
                <w:color w:val="auto"/>
              </w:rPr>
              <w:t>Taxes - property and production</w:t>
            </w:r>
          </w:p>
        </w:tc>
        <w:tc>
          <w:tcPr>
            <w:tcW w:w="22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15,144</w:t>
            </w:r>
          </w:p>
        </w:tc>
        <w:tc>
          <w:tcPr>
            <w:tcW w:w="320" w:type="dxa"/>
            <w:vAlign w:val="bottom"/>
            <w:tcBorders>
              <w:bottom w:val="single" w:sz="8" w:color="auto"/>
            </w:tcBorders>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14,381</w:t>
            </w:r>
          </w:p>
        </w:tc>
        <w:tc>
          <w:tcPr>
            <w:tcW w:w="28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30,166</w:t>
            </w:r>
          </w:p>
        </w:tc>
        <w:tc>
          <w:tcPr>
            <w:tcW w:w="34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28,499</w:t>
            </w:r>
          </w:p>
        </w:tc>
      </w:tr>
      <w:tr>
        <w:trPr>
          <w:trHeight w:val="209"/>
        </w:trPr>
        <w:tc>
          <w:tcPr>
            <w:tcW w:w="5520" w:type="dxa"/>
            <w:vAlign w:val="bottom"/>
          </w:tcPr>
          <w:p>
            <w:pPr>
              <w:ind w:left="480"/>
              <w:spacing w:after="0"/>
              <w:rPr>
                <w:sz w:val="20"/>
                <w:szCs w:val="20"/>
                <w:color w:val="auto"/>
              </w:rPr>
            </w:pPr>
            <w:r>
              <w:rPr>
                <w:rFonts w:ascii="Arial" w:cs="Arial" w:eastAsia="Arial" w:hAnsi="Arial"/>
                <w:sz w:val="16"/>
                <w:szCs w:val="16"/>
                <w:color w:val="auto"/>
              </w:rPr>
              <w:t>Total operating expenses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305,306</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259,981</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800,423</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643,846</w:t>
            </w:r>
          </w:p>
        </w:tc>
      </w:tr>
      <w:tr>
        <w:trPr>
          <w:trHeight w:val="152"/>
        </w:trPr>
        <w:tc>
          <w:tcPr>
            <w:tcW w:w="5520" w:type="dxa"/>
            <w:vAlign w:val="bottom"/>
            <w:shd w:val="clear" w:color="auto" w:fill="CEFFE7"/>
          </w:tcPr>
          <w:p>
            <w:pPr>
              <w:spacing w:after="0"/>
              <w:rPr>
                <w:sz w:val="13"/>
                <w:szCs w:val="13"/>
                <w:color w:val="auto"/>
              </w:rPr>
            </w:pPr>
          </w:p>
        </w:tc>
        <w:tc>
          <w:tcPr>
            <w:tcW w:w="220" w:type="dxa"/>
            <w:vAlign w:val="bottom"/>
            <w:shd w:val="clear" w:color="auto" w:fill="CEFFE7"/>
          </w:tcPr>
          <w:p>
            <w:pPr>
              <w:spacing w:after="0"/>
              <w:rPr>
                <w:sz w:val="13"/>
                <w:szCs w:val="13"/>
                <w:color w:val="auto"/>
              </w:rPr>
            </w:pPr>
          </w:p>
        </w:tc>
        <w:tc>
          <w:tcPr>
            <w:tcW w:w="1200" w:type="dxa"/>
            <w:vAlign w:val="bottom"/>
            <w:shd w:val="clear" w:color="auto" w:fill="CEFFE7"/>
          </w:tcPr>
          <w:p>
            <w:pPr>
              <w:spacing w:after="0"/>
              <w:rPr>
                <w:sz w:val="13"/>
                <w:szCs w:val="13"/>
                <w:color w:val="auto"/>
              </w:rPr>
            </w:pPr>
          </w:p>
        </w:tc>
        <w:tc>
          <w:tcPr>
            <w:tcW w:w="320" w:type="dxa"/>
            <w:vAlign w:val="bottom"/>
            <w:shd w:val="clear" w:color="auto" w:fill="CEFFE7"/>
          </w:tcPr>
          <w:p>
            <w:pPr>
              <w:spacing w:after="0"/>
              <w:rPr>
                <w:sz w:val="13"/>
                <w:szCs w:val="13"/>
                <w:color w:val="auto"/>
              </w:rPr>
            </w:pPr>
          </w:p>
        </w:tc>
        <w:tc>
          <w:tcPr>
            <w:tcW w:w="1120" w:type="dxa"/>
            <w:vAlign w:val="bottom"/>
            <w:shd w:val="clear" w:color="auto" w:fill="CEFFE7"/>
          </w:tcPr>
          <w:p>
            <w:pPr>
              <w:spacing w:after="0"/>
              <w:rPr>
                <w:sz w:val="13"/>
                <w:szCs w:val="13"/>
                <w:color w:val="auto"/>
              </w:rPr>
            </w:pPr>
          </w:p>
        </w:tc>
        <w:tc>
          <w:tcPr>
            <w:tcW w:w="280" w:type="dxa"/>
            <w:vAlign w:val="bottom"/>
            <w:shd w:val="clear" w:color="auto" w:fill="CEFFE7"/>
          </w:tcPr>
          <w:p>
            <w:pPr>
              <w:spacing w:after="0"/>
              <w:rPr>
                <w:sz w:val="13"/>
                <w:szCs w:val="13"/>
                <w:color w:val="auto"/>
              </w:rPr>
            </w:pPr>
          </w:p>
        </w:tc>
        <w:tc>
          <w:tcPr>
            <w:tcW w:w="1140" w:type="dxa"/>
            <w:vAlign w:val="bottom"/>
            <w:shd w:val="clear" w:color="auto" w:fill="CEFFE7"/>
          </w:tcPr>
          <w:p>
            <w:pPr>
              <w:spacing w:after="0"/>
              <w:rPr>
                <w:sz w:val="13"/>
                <w:szCs w:val="13"/>
                <w:color w:val="auto"/>
              </w:rPr>
            </w:pPr>
          </w:p>
        </w:tc>
        <w:tc>
          <w:tcPr>
            <w:tcW w:w="340" w:type="dxa"/>
            <w:vAlign w:val="bottom"/>
            <w:shd w:val="clear" w:color="auto" w:fill="CEFFE7"/>
          </w:tcPr>
          <w:p>
            <w:pPr>
              <w:spacing w:after="0"/>
              <w:rPr>
                <w:sz w:val="13"/>
                <w:szCs w:val="13"/>
                <w:color w:val="auto"/>
              </w:rPr>
            </w:pPr>
          </w:p>
        </w:tc>
        <w:tc>
          <w:tcPr>
            <w:tcW w:w="1100" w:type="dxa"/>
            <w:vAlign w:val="bottom"/>
            <w:shd w:val="clear" w:color="auto" w:fill="CEFFE7"/>
          </w:tcPr>
          <w:p>
            <w:pPr>
              <w:spacing w:after="0"/>
              <w:rPr>
                <w:sz w:val="13"/>
                <w:szCs w:val="13"/>
                <w:color w:val="auto"/>
              </w:rPr>
            </w:pPr>
          </w:p>
        </w:tc>
      </w:tr>
      <w:tr>
        <w:trPr>
          <w:trHeight w:val="213"/>
        </w:trPr>
        <w:tc>
          <w:tcPr>
            <w:tcW w:w="55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67,266</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66,933</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205,581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220,118</w:t>
            </w:r>
          </w:p>
        </w:tc>
      </w:tr>
      <w:tr>
        <w:trPr>
          <w:trHeight w:val="131"/>
        </w:trPr>
        <w:tc>
          <w:tcPr>
            <w:tcW w:w="5520" w:type="dxa"/>
            <w:vAlign w:val="bottom"/>
            <w:shd w:val="clear" w:color="auto" w:fill="CEFFE7"/>
          </w:tcPr>
          <w:p>
            <w:pPr>
              <w:spacing w:after="0"/>
              <w:rPr>
                <w:sz w:val="11"/>
                <w:szCs w:val="11"/>
                <w:color w:val="auto"/>
              </w:rPr>
            </w:pPr>
          </w:p>
        </w:tc>
        <w:tc>
          <w:tcPr>
            <w:tcW w:w="220" w:type="dxa"/>
            <w:vAlign w:val="bottom"/>
            <w:shd w:val="clear" w:color="auto" w:fill="CEFFE7"/>
          </w:tcPr>
          <w:p>
            <w:pPr>
              <w:spacing w:after="0"/>
              <w:rPr>
                <w:sz w:val="11"/>
                <w:szCs w:val="11"/>
                <w:color w:val="auto"/>
              </w:rPr>
            </w:pPr>
          </w:p>
        </w:tc>
        <w:tc>
          <w:tcPr>
            <w:tcW w:w="1200" w:type="dxa"/>
            <w:vAlign w:val="bottom"/>
            <w:shd w:val="clear" w:color="auto" w:fill="CEFFE7"/>
          </w:tcPr>
          <w:p>
            <w:pPr>
              <w:spacing w:after="0"/>
              <w:rPr>
                <w:sz w:val="11"/>
                <w:szCs w:val="11"/>
                <w:color w:val="auto"/>
              </w:rPr>
            </w:pPr>
          </w:p>
        </w:tc>
        <w:tc>
          <w:tcPr>
            <w:tcW w:w="320" w:type="dxa"/>
            <w:vAlign w:val="bottom"/>
            <w:shd w:val="clear" w:color="auto" w:fill="CEFFE7"/>
          </w:tcPr>
          <w:p>
            <w:pPr>
              <w:spacing w:after="0"/>
              <w:rPr>
                <w:sz w:val="11"/>
                <w:szCs w:val="11"/>
                <w:color w:val="auto"/>
              </w:rPr>
            </w:pPr>
          </w:p>
        </w:tc>
        <w:tc>
          <w:tcPr>
            <w:tcW w:w="1120" w:type="dxa"/>
            <w:vAlign w:val="bottom"/>
            <w:shd w:val="clear" w:color="auto" w:fill="CEFFE7"/>
          </w:tcPr>
          <w:p>
            <w:pPr>
              <w:spacing w:after="0"/>
              <w:rPr>
                <w:sz w:val="11"/>
                <w:szCs w:val="11"/>
                <w:color w:val="auto"/>
              </w:rPr>
            </w:pPr>
          </w:p>
        </w:tc>
        <w:tc>
          <w:tcPr>
            <w:tcW w:w="280" w:type="dxa"/>
            <w:vAlign w:val="bottom"/>
            <w:shd w:val="clear" w:color="auto" w:fill="CEFFE7"/>
          </w:tcPr>
          <w:p>
            <w:pPr>
              <w:spacing w:after="0"/>
              <w:rPr>
                <w:sz w:val="11"/>
                <w:szCs w:val="11"/>
                <w:color w:val="auto"/>
              </w:rPr>
            </w:pPr>
          </w:p>
        </w:tc>
        <w:tc>
          <w:tcPr>
            <w:tcW w:w="1140" w:type="dxa"/>
            <w:vAlign w:val="bottom"/>
            <w:shd w:val="clear" w:color="auto" w:fill="CEFFE7"/>
          </w:tcPr>
          <w:p>
            <w:pPr>
              <w:spacing w:after="0"/>
              <w:rPr>
                <w:sz w:val="11"/>
                <w:szCs w:val="11"/>
                <w:color w:val="auto"/>
              </w:rPr>
            </w:pPr>
          </w:p>
        </w:tc>
        <w:tc>
          <w:tcPr>
            <w:tcW w:w="340" w:type="dxa"/>
            <w:vAlign w:val="bottom"/>
            <w:shd w:val="clear" w:color="auto" w:fill="CEFFE7"/>
          </w:tcPr>
          <w:p>
            <w:pPr>
              <w:spacing w:after="0"/>
              <w:rPr>
                <w:sz w:val="11"/>
                <w:szCs w:val="11"/>
                <w:color w:val="auto"/>
              </w:rPr>
            </w:pPr>
          </w:p>
        </w:tc>
        <w:tc>
          <w:tcPr>
            <w:tcW w:w="1100" w:type="dxa"/>
            <w:vAlign w:val="bottom"/>
            <w:shd w:val="clear" w:color="auto" w:fill="CEFFE7"/>
          </w:tcPr>
          <w:p>
            <w:pPr>
              <w:spacing w:after="0"/>
              <w:rPr>
                <w:sz w:val="11"/>
                <w:szCs w:val="11"/>
                <w:color w:val="auto"/>
              </w:rPr>
            </w:pP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0"/>
        </w:trPr>
        <w:tc>
          <w:tcPr>
            <w:tcW w:w="5520" w:type="dxa"/>
            <w:vAlign w:val="bottom"/>
            <w:shd w:val="clear" w:color="auto" w:fill="CEFFE7"/>
          </w:tcPr>
          <w:p>
            <w:pPr>
              <w:ind w:left="20"/>
              <w:spacing w:after="0" w:line="181" w:lineRule="exact"/>
              <w:rPr>
                <w:sz w:val="20"/>
                <w:szCs w:val="20"/>
                <w:color w:val="auto"/>
              </w:rPr>
            </w:pPr>
            <w:r>
              <w:rPr>
                <w:rFonts w:ascii="Arial" w:cs="Arial" w:eastAsia="Arial" w:hAnsi="Arial"/>
                <w:sz w:val="16"/>
                <w:szCs w:val="16"/>
                <w:color w:val="auto"/>
              </w:rPr>
              <w:t>Interest expense incurred net of amounts capitalized (including amortization</w:t>
            </w:r>
          </w:p>
        </w:tc>
        <w:tc>
          <w:tcPr>
            <w:tcW w:w="220" w:type="dxa"/>
            <w:vAlign w:val="bottom"/>
            <w:shd w:val="clear" w:color="auto" w:fill="CEFFE7"/>
          </w:tcPr>
          <w:p>
            <w:pPr>
              <w:spacing w:after="0"/>
              <w:rPr>
                <w:sz w:val="15"/>
                <w:szCs w:val="15"/>
                <w:color w:val="auto"/>
              </w:rPr>
            </w:pPr>
          </w:p>
        </w:tc>
        <w:tc>
          <w:tcPr>
            <w:tcW w:w="1200" w:type="dxa"/>
            <w:vAlign w:val="bottom"/>
            <w:shd w:val="clear" w:color="auto" w:fill="CEFFE7"/>
          </w:tcPr>
          <w:p>
            <w:pPr>
              <w:spacing w:after="0"/>
              <w:rPr>
                <w:sz w:val="15"/>
                <w:szCs w:val="15"/>
                <w:color w:val="auto"/>
              </w:rPr>
            </w:pPr>
          </w:p>
        </w:tc>
        <w:tc>
          <w:tcPr>
            <w:tcW w:w="320" w:type="dxa"/>
            <w:vAlign w:val="bottom"/>
            <w:shd w:val="clear" w:color="auto" w:fill="CEFFE7"/>
          </w:tcPr>
          <w:p>
            <w:pPr>
              <w:spacing w:after="0"/>
              <w:rPr>
                <w:sz w:val="15"/>
                <w:szCs w:val="15"/>
                <w:color w:val="auto"/>
              </w:rPr>
            </w:pPr>
          </w:p>
        </w:tc>
        <w:tc>
          <w:tcPr>
            <w:tcW w:w="1120" w:type="dxa"/>
            <w:vAlign w:val="bottom"/>
            <w:shd w:val="clear" w:color="auto" w:fill="CEFFE7"/>
          </w:tcPr>
          <w:p>
            <w:pPr>
              <w:spacing w:after="0"/>
              <w:rPr>
                <w:sz w:val="15"/>
                <w:szCs w:val="15"/>
                <w:color w:val="auto"/>
              </w:rPr>
            </w:pPr>
          </w:p>
        </w:tc>
        <w:tc>
          <w:tcPr>
            <w:tcW w:w="280" w:type="dxa"/>
            <w:vAlign w:val="bottom"/>
            <w:shd w:val="clear" w:color="auto" w:fill="CEFFE7"/>
          </w:tcPr>
          <w:p>
            <w:pPr>
              <w:spacing w:after="0"/>
              <w:rPr>
                <w:sz w:val="15"/>
                <w:szCs w:val="15"/>
                <w:color w:val="auto"/>
              </w:rPr>
            </w:pPr>
          </w:p>
        </w:tc>
        <w:tc>
          <w:tcPr>
            <w:tcW w:w="1140" w:type="dxa"/>
            <w:vAlign w:val="bottom"/>
            <w:shd w:val="clear" w:color="auto" w:fill="CEFFE7"/>
          </w:tcPr>
          <w:p>
            <w:pPr>
              <w:spacing w:after="0"/>
              <w:rPr>
                <w:sz w:val="15"/>
                <w:szCs w:val="15"/>
                <w:color w:val="auto"/>
              </w:rPr>
            </w:pPr>
          </w:p>
        </w:tc>
        <w:tc>
          <w:tcPr>
            <w:tcW w:w="340" w:type="dxa"/>
            <w:vAlign w:val="bottom"/>
            <w:shd w:val="clear" w:color="auto" w:fill="CEFFE7"/>
          </w:tcPr>
          <w:p>
            <w:pPr>
              <w:spacing w:after="0"/>
              <w:rPr>
                <w:sz w:val="15"/>
                <w:szCs w:val="15"/>
                <w:color w:val="auto"/>
              </w:rPr>
            </w:pPr>
          </w:p>
        </w:tc>
        <w:tc>
          <w:tcPr>
            <w:tcW w:w="1100" w:type="dxa"/>
            <w:vAlign w:val="bottom"/>
            <w:shd w:val="clear" w:color="auto" w:fill="CEFFE7"/>
          </w:tcPr>
          <w:p>
            <w:pPr>
              <w:spacing w:after="0"/>
              <w:rPr>
                <w:sz w:val="15"/>
                <w:szCs w:val="15"/>
                <w:color w:val="auto"/>
              </w:rPr>
            </w:pPr>
          </w:p>
        </w:tc>
      </w:tr>
      <w:tr>
        <w:trPr>
          <w:trHeight w:val="201"/>
        </w:trPr>
        <w:tc>
          <w:tcPr>
            <w:tcW w:w="5520" w:type="dxa"/>
            <w:vAlign w:val="bottom"/>
            <w:shd w:val="clear" w:color="auto" w:fill="CEFFE7"/>
          </w:tcPr>
          <w:p>
            <w:pPr>
              <w:ind w:left="20"/>
              <w:spacing w:after="0"/>
              <w:rPr>
                <w:sz w:val="20"/>
                <w:szCs w:val="20"/>
                <w:color w:val="auto"/>
              </w:rPr>
            </w:pPr>
            <w:r>
              <w:rPr>
                <w:rFonts w:ascii="Arial" w:cs="Arial" w:eastAsia="Arial" w:hAnsi="Arial"/>
                <w:sz w:val="16"/>
                <w:szCs w:val="16"/>
                <w:color w:val="auto"/>
              </w:rPr>
              <w:t>of debt issuance costs, premiums and discounts)</w:t>
            </w:r>
          </w:p>
        </w:tc>
        <w:tc>
          <w:tcPr>
            <w:tcW w:w="220" w:type="dxa"/>
            <w:vAlign w:val="bottom"/>
            <w:shd w:val="clear" w:color="auto" w:fill="CEFFE7"/>
          </w:tcPr>
          <w:p>
            <w:pPr>
              <w:spacing w:after="0"/>
              <w:rPr>
                <w:sz w:val="17"/>
                <w:szCs w:val="17"/>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(38,669)</w:t>
            </w:r>
          </w:p>
        </w:tc>
        <w:tc>
          <w:tcPr>
            <w:tcW w:w="320" w:type="dxa"/>
            <w:vAlign w:val="bottom"/>
            <w:shd w:val="clear" w:color="auto" w:fill="CEFFE7"/>
          </w:tcPr>
          <w:p>
            <w:pPr>
              <w:spacing w:after="0"/>
              <w:rPr>
                <w:sz w:val="17"/>
                <w:szCs w:val="17"/>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(35,765)</w:t>
            </w:r>
          </w:p>
        </w:tc>
        <w:tc>
          <w:tcPr>
            <w:tcW w:w="280" w:type="dxa"/>
            <w:vAlign w:val="bottom"/>
            <w:shd w:val="clear" w:color="auto" w:fill="CEFFE7"/>
          </w:tcPr>
          <w:p>
            <w:pPr>
              <w:spacing w:after="0"/>
              <w:rPr>
                <w:sz w:val="17"/>
                <w:szCs w:val="17"/>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(76,494)</w:t>
            </w:r>
          </w:p>
        </w:tc>
        <w:tc>
          <w:tcPr>
            <w:tcW w:w="340" w:type="dxa"/>
            <w:vAlign w:val="bottom"/>
            <w:shd w:val="clear" w:color="auto" w:fill="CEFFE7"/>
          </w:tcPr>
          <w:p>
            <w:pPr>
              <w:spacing w:after="0"/>
              <w:rPr>
                <w:sz w:val="17"/>
                <w:szCs w:val="17"/>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(71,546)</w:t>
            </w: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467</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220</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692</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548</w:t>
            </w:r>
          </w:p>
        </w:tc>
      </w:tr>
      <w:tr>
        <w:trPr>
          <w:trHeight w:val="219"/>
        </w:trPr>
        <w:tc>
          <w:tcPr>
            <w:tcW w:w="5520" w:type="dxa"/>
            <w:vAlign w:val="bottom"/>
            <w:shd w:val="clear" w:color="auto" w:fill="CEFFE7"/>
          </w:tcPr>
          <w:p>
            <w:pPr>
              <w:ind w:left="20"/>
              <w:spacing w:after="0"/>
              <w:rPr>
                <w:sz w:val="20"/>
                <w:szCs w:val="20"/>
                <w:color w:val="auto"/>
              </w:rPr>
            </w:pPr>
            <w:r>
              <w:rPr>
                <w:rFonts w:ascii="Arial" w:cs="Arial" w:eastAsia="Arial" w:hAnsi="Arial"/>
                <w:sz w:val="16"/>
                <w:szCs w:val="16"/>
                <w:color w:val="auto"/>
              </w:rPr>
              <w:t>Impairment of investment</w:t>
            </w:r>
          </w:p>
        </w:tc>
        <w:tc>
          <w:tcPr>
            <w:tcW w:w="220" w:type="dxa"/>
            <w:vAlign w:val="bottom"/>
            <w:shd w:val="clear" w:color="auto" w:fill="CEFFE7"/>
          </w:tcPr>
          <w:p>
            <w:pPr>
              <w:spacing w:after="0"/>
              <w:rPr>
                <w:sz w:val="19"/>
                <w:szCs w:val="19"/>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EFFE7"/>
          </w:tcPr>
          <w:p>
            <w:pPr>
              <w:spacing w:after="0"/>
              <w:rPr>
                <w:sz w:val="19"/>
                <w:szCs w:val="19"/>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EFFE7"/>
          </w:tcPr>
          <w:p>
            <w:pPr>
              <w:spacing w:after="0"/>
              <w:rPr>
                <w:sz w:val="19"/>
                <w:szCs w:val="19"/>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EFFE7"/>
          </w:tcPr>
          <w:p>
            <w:pPr>
              <w:spacing w:after="0"/>
              <w:rPr>
                <w:sz w:val="19"/>
                <w:szCs w:val="19"/>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(6,859)</w:t>
            </w:r>
          </w:p>
        </w:tc>
      </w:tr>
      <w:tr>
        <w:trPr>
          <w:trHeight w:val="213"/>
        </w:trPr>
        <w:tc>
          <w:tcPr>
            <w:tcW w:w="55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(1,863)</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r>
      <w:tr>
        <w:trPr>
          <w:trHeight w:val="210"/>
        </w:trPr>
        <w:tc>
          <w:tcPr>
            <w:tcW w:w="5520" w:type="dxa"/>
            <w:vAlign w:val="bottom"/>
            <w:shd w:val="clear" w:color="auto" w:fill="CEFFE7"/>
          </w:tcPr>
          <w:p>
            <w:pPr>
              <w:ind w:left="480"/>
              <w:spacing w:after="0"/>
              <w:rPr>
                <w:sz w:val="20"/>
                <w:szCs w:val="20"/>
                <w:color w:val="auto"/>
              </w:rPr>
            </w:pPr>
            <w:r>
              <w:rPr>
                <w:rFonts w:ascii="Arial" w:cs="Arial" w:eastAsia="Arial" w:hAnsi="Arial"/>
                <w:sz w:val="16"/>
                <w:szCs w:val="16"/>
                <w:color w:val="auto"/>
              </w:rPr>
              <w:t>Total other income (expense)</w:t>
            </w:r>
          </w:p>
        </w:tc>
        <w:tc>
          <w:tcPr>
            <w:tcW w:w="22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(38,393)</w:t>
            </w:r>
          </w:p>
        </w:tc>
        <w:tc>
          <w:tcPr>
            <w:tcW w:w="320" w:type="dxa"/>
            <w:vAlign w:val="bottom"/>
            <w:tcBorders>
              <w:bottom w:val="single" w:sz="8" w:color="auto"/>
            </w:tcBorders>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(37,408)</w:t>
            </w:r>
          </w:p>
        </w:tc>
        <w:tc>
          <w:tcPr>
            <w:tcW w:w="280" w:type="dxa"/>
            <w:vAlign w:val="bottom"/>
            <w:tcBorders>
              <w:bottom w:val="single" w:sz="8" w:color="auto"/>
            </w:tcBorders>
            <w:shd w:val="clear" w:color="auto" w:fill="CEFFE7"/>
          </w:tcPr>
          <w:p>
            <w:pPr>
              <w:spacing w:after="0"/>
              <w:rPr>
                <w:sz w:val="18"/>
                <w:szCs w:val="18"/>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(75,727)</w:t>
            </w:r>
          </w:p>
        </w:tc>
        <w:tc>
          <w:tcPr>
            <w:tcW w:w="340" w:type="dxa"/>
            <w:vAlign w:val="bottom"/>
            <w:tcBorders>
              <w:bottom w:val="single" w:sz="8" w:color="auto"/>
            </w:tcBorders>
            <w:shd w:val="clear" w:color="auto" w:fill="CEFFE7"/>
          </w:tcPr>
          <w:p>
            <w:pPr>
              <w:spacing w:after="0"/>
              <w:rPr>
                <w:sz w:val="18"/>
                <w:szCs w:val="18"/>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(77,367)</w:t>
            </w:r>
          </w:p>
        </w:tc>
      </w:tr>
      <w:tr>
        <w:trPr>
          <w:trHeight w:val="131"/>
        </w:trPr>
        <w:tc>
          <w:tcPr>
            <w:tcW w:w="5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16"/>
        </w:trPr>
        <w:tc>
          <w:tcPr>
            <w:tcW w:w="552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Income before income taxes</w:t>
            </w:r>
          </w:p>
        </w:tc>
        <w:tc>
          <w:tcPr>
            <w:tcW w:w="220" w:type="dxa"/>
            <w:vAlign w:val="bottom"/>
            <w:shd w:val="clear" w:color="auto" w:fill="CEFFE7"/>
          </w:tcPr>
          <w:p>
            <w:pPr>
              <w:spacing w:after="0"/>
              <w:rPr>
                <w:sz w:val="18"/>
                <w:szCs w:val="18"/>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28,873</w:t>
            </w:r>
          </w:p>
        </w:tc>
        <w:tc>
          <w:tcPr>
            <w:tcW w:w="320" w:type="dxa"/>
            <w:vAlign w:val="bottom"/>
            <w:shd w:val="clear" w:color="auto" w:fill="CEFFE7"/>
          </w:tcPr>
          <w:p>
            <w:pPr>
              <w:spacing w:after="0"/>
              <w:rPr>
                <w:sz w:val="18"/>
                <w:szCs w:val="18"/>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29,525</w:t>
            </w:r>
          </w:p>
        </w:tc>
        <w:tc>
          <w:tcPr>
            <w:tcW w:w="28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129,854</w:t>
            </w:r>
          </w:p>
        </w:tc>
        <w:tc>
          <w:tcPr>
            <w:tcW w:w="340" w:type="dxa"/>
            <w:vAlign w:val="bottom"/>
            <w:shd w:val="clear" w:color="auto" w:fill="CEFFE7"/>
          </w:tcPr>
          <w:p>
            <w:pPr>
              <w:spacing w:after="0"/>
              <w:rPr>
                <w:sz w:val="18"/>
                <w:szCs w:val="18"/>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142,751</w:t>
            </w:r>
          </w:p>
        </w:tc>
      </w:tr>
      <w:tr>
        <w:trPr>
          <w:trHeight w:val="213"/>
        </w:trPr>
        <w:tc>
          <w:tcPr>
            <w:tcW w:w="55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(4,831)</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(20,833)</w:t>
            </w:r>
          </w:p>
        </w:tc>
      </w:tr>
      <w:tr>
        <w:trPr>
          <w:trHeight w:val="213"/>
        </w:trPr>
        <w:tc>
          <w:tcPr>
            <w:tcW w:w="5520" w:type="dxa"/>
            <w:vAlign w:val="bottom"/>
            <w:shd w:val="clear" w:color="auto" w:fill="CEFFE7"/>
          </w:tcPr>
          <w:p>
            <w:pPr>
              <w:ind w:left="14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EFFE7"/>
          </w:tcPr>
          <w:p>
            <w:pPr>
              <w:spacing w:after="0"/>
              <w:rPr>
                <w:sz w:val="18"/>
                <w:szCs w:val="18"/>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28,287</w:t>
            </w:r>
          </w:p>
        </w:tc>
        <w:tc>
          <w:tcPr>
            <w:tcW w:w="320" w:type="dxa"/>
            <w:vAlign w:val="bottom"/>
            <w:shd w:val="clear" w:color="auto" w:fill="CEFFE7"/>
          </w:tcPr>
          <w:p>
            <w:pPr>
              <w:spacing w:after="0"/>
              <w:rPr>
                <w:sz w:val="18"/>
                <w:szCs w:val="18"/>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24,694</w:t>
            </w:r>
          </w:p>
        </w:tc>
        <w:tc>
          <w:tcPr>
            <w:tcW w:w="280" w:type="dxa"/>
            <w:vAlign w:val="bottom"/>
            <w:shd w:val="clear" w:color="auto" w:fill="CEFFE7"/>
          </w:tcPr>
          <w:p>
            <w:pPr>
              <w:spacing w:after="0"/>
              <w:rPr>
                <w:sz w:val="18"/>
                <w:szCs w:val="18"/>
                <w:color w:val="auto"/>
              </w:rPr>
            </w:pPr>
          </w:p>
        </w:tc>
        <w:tc>
          <w:tcPr>
            <w:tcW w:w="1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128,774</w:t>
            </w:r>
          </w:p>
        </w:tc>
        <w:tc>
          <w:tcPr>
            <w:tcW w:w="340" w:type="dxa"/>
            <w:vAlign w:val="bottom"/>
            <w:shd w:val="clear" w:color="auto" w:fill="CEFFE7"/>
          </w:tcPr>
          <w:p>
            <w:pPr>
              <w:spacing w:after="0"/>
              <w:rPr>
                <w:sz w:val="18"/>
                <w:szCs w:val="18"/>
                <w:color w:val="auto"/>
              </w:rPr>
            </w:pP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121,918</w:t>
            </w:r>
          </w:p>
        </w:tc>
      </w:tr>
      <w:tr>
        <w:trPr>
          <w:trHeight w:val="213"/>
        </w:trPr>
        <w:tc>
          <w:tcPr>
            <w:tcW w:w="55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(3,126)</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(3,728)</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(7,297)</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(7,778)</w:t>
            </w:r>
          </w:p>
        </w:tc>
      </w:tr>
      <w:tr>
        <w:trPr>
          <w:trHeight w:val="238"/>
        </w:trPr>
        <w:tc>
          <w:tcPr>
            <w:tcW w:w="55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Net income available for common stock</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25,161</w:t>
            </w:r>
          </w:p>
        </w:tc>
        <w:tc>
          <w:tcPr>
            <w:tcW w:w="32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20,966</w:t>
            </w:r>
          </w:p>
        </w:tc>
        <w:tc>
          <w:tcPr>
            <w:tcW w:w="28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121,477</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114,140</w:t>
            </w:r>
          </w:p>
        </w:tc>
      </w:tr>
      <w:tr>
        <w:trPr>
          <w:trHeight w:val="20"/>
        </w:trPr>
        <w:tc>
          <w:tcPr>
            <w:tcW w:w="552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112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100" w:type="dxa"/>
            <w:vAlign w:val="bottom"/>
            <w:tcBorders>
              <w:top w:val="single" w:sz="8" w:color="CEFFE7"/>
              <w:bottom w:val="single" w:sz="8" w:color="auto"/>
            </w:tcBorders>
          </w:tcPr>
          <w:p>
            <w:pPr>
              <w:spacing w:after="0" w:line="20" w:lineRule="exact"/>
              <w:rPr>
                <w:sz w:val="1"/>
                <w:szCs w:val="1"/>
                <w:color w:val="auto"/>
              </w:rPr>
            </w:pPr>
          </w:p>
        </w:tc>
      </w:tr>
      <w:tr>
        <w:trPr>
          <w:trHeight w:val="95"/>
        </w:trPr>
        <w:tc>
          <w:tcPr>
            <w:tcW w:w="5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16"/>
        </w:trPr>
        <w:tc>
          <w:tcPr>
            <w:tcW w:w="5520" w:type="dxa"/>
            <w:vAlign w:val="bottom"/>
            <w:shd w:val="clear" w:color="auto" w:fill="CEFFE7"/>
          </w:tcPr>
          <w:p>
            <w:pPr>
              <w:ind w:left="20"/>
              <w:spacing w:after="0"/>
              <w:rPr>
                <w:sz w:val="20"/>
                <w:szCs w:val="20"/>
                <w:color w:val="auto"/>
              </w:rPr>
            </w:pPr>
            <w:r>
              <w:rPr>
                <w:rFonts w:ascii="Arial" w:cs="Arial" w:eastAsia="Arial" w:hAnsi="Arial"/>
                <w:sz w:val="16"/>
                <w:szCs w:val="16"/>
                <w:color w:val="auto"/>
              </w:rPr>
              <w:t>Earnings per share of common stock:</w:t>
            </w:r>
          </w:p>
        </w:tc>
        <w:tc>
          <w:tcPr>
            <w:tcW w:w="220" w:type="dxa"/>
            <w:vAlign w:val="bottom"/>
            <w:shd w:val="clear" w:color="auto" w:fill="CEFFE7"/>
          </w:tcPr>
          <w:p>
            <w:pPr>
              <w:spacing w:after="0"/>
              <w:rPr>
                <w:sz w:val="18"/>
                <w:szCs w:val="18"/>
                <w:color w:val="auto"/>
              </w:rPr>
            </w:pPr>
          </w:p>
        </w:tc>
        <w:tc>
          <w:tcPr>
            <w:tcW w:w="1200" w:type="dxa"/>
            <w:vAlign w:val="bottom"/>
            <w:shd w:val="clear" w:color="auto" w:fill="CEFFE7"/>
          </w:tcPr>
          <w:p>
            <w:pPr>
              <w:spacing w:after="0"/>
              <w:rPr>
                <w:sz w:val="18"/>
                <w:szCs w:val="18"/>
                <w:color w:val="auto"/>
              </w:rPr>
            </w:pPr>
          </w:p>
        </w:tc>
        <w:tc>
          <w:tcPr>
            <w:tcW w:w="320" w:type="dxa"/>
            <w:vAlign w:val="bottom"/>
            <w:shd w:val="clear" w:color="auto" w:fill="CEFFE7"/>
          </w:tcPr>
          <w:p>
            <w:pPr>
              <w:spacing w:after="0"/>
              <w:rPr>
                <w:sz w:val="18"/>
                <w:szCs w:val="18"/>
                <w:color w:val="auto"/>
              </w:rPr>
            </w:pPr>
          </w:p>
        </w:tc>
        <w:tc>
          <w:tcPr>
            <w:tcW w:w="1120" w:type="dxa"/>
            <w:vAlign w:val="bottom"/>
            <w:shd w:val="clear" w:color="auto" w:fill="CEFFE7"/>
          </w:tcPr>
          <w:p>
            <w:pPr>
              <w:spacing w:after="0"/>
              <w:rPr>
                <w:sz w:val="18"/>
                <w:szCs w:val="18"/>
                <w:color w:val="auto"/>
              </w:rPr>
            </w:pPr>
          </w:p>
        </w:tc>
        <w:tc>
          <w:tcPr>
            <w:tcW w:w="280" w:type="dxa"/>
            <w:vAlign w:val="bottom"/>
            <w:shd w:val="clear" w:color="auto" w:fill="CEFFE7"/>
          </w:tcPr>
          <w:p>
            <w:pPr>
              <w:spacing w:after="0"/>
              <w:rPr>
                <w:sz w:val="18"/>
                <w:szCs w:val="18"/>
                <w:color w:val="auto"/>
              </w:rPr>
            </w:pPr>
          </w:p>
        </w:tc>
        <w:tc>
          <w:tcPr>
            <w:tcW w:w="114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6"/>
                <w:szCs w:val="16"/>
                <w:color w:val="auto"/>
              </w:rPr>
              <w:t>Earnings per share, Basic</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0.40</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0.34</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r>
      <w:tr>
        <w:trPr>
          <w:trHeight w:val="20"/>
        </w:trPr>
        <w:tc>
          <w:tcPr>
            <w:tcW w:w="5520" w:type="dxa"/>
            <w:vAlign w:val="bottom"/>
            <w:tcBorders>
              <w:bottom w:val="single" w:sz="8" w:color="CEFFE7"/>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5"/>
        </w:trPr>
        <w:tc>
          <w:tcPr>
            <w:tcW w:w="55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Earnings per share, Diluted</w:t>
            </w:r>
          </w:p>
        </w:tc>
        <w:tc>
          <w:tcPr>
            <w:tcW w:w="2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0.40</w:t>
            </w:r>
          </w:p>
        </w:tc>
        <w:tc>
          <w:tcPr>
            <w:tcW w:w="32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0.33</w:t>
            </w:r>
          </w:p>
        </w:tc>
        <w:tc>
          <w:tcPr>
            <w:tcW w:w="28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1.93</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1.83</w:t>
            </w:r>
          </w:p>
        </w:tc>
      </w:tr>
      <w:tr>
        <w:trPr>
          <w:trHeight w:val="20"/>
        </w:trPr>
        <w:tc>
          <w:tcPr>
            <w:tcW w:w="552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112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100" w:type="dxa"/>
            <w:vAlign w:val="bottom"/>
            <w:tcBorders>
              <w:top w:val="single" w:sz="8" w:color="CEFFE7"/>
              <w:bottom w:val="single" w:sz="8" w:color="auto"/>
            </w:tcBorders>
          </w:tcPr>
          <w:p>
            <w:pPr>
              <w:spacing w:after="0" w:line="20" w:lineRule="exact"/>
              <w:rPr>
                <w:sz w:val="1"/>
                <w:szCs w:val="1"/>
                <w:color w:val="auto"/>
              </w:rPr>
            </w:pPr>
          </w:p>
        </w:tc>
      </w:tr>
      <w:tr>
        <w:trPr>
          <w:trHeight w:val="95"/>
        </w:trPr>
        <w:tc>
          <w:tcPr>
            <w:tcW w:w="5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16"/>
        </w:trPr>
        <w:tc>
          <w:tcPr>
            <w:tcW w:w="5520" w:type="dxa"/>
            <w:vAlign w:val="bottom"/>
            <w:shd w:val="clear" w:color="auto" w:fill="CEFFE7"/>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shd w:val="clear" w:color="auto" w:fill="CEFFE7"/>
          </w:tcPr>
          <w:p>
            <w:pPr>
              <w:spacing w:after="0"/>
              <w:rPr>
                <w:sz w:val="18"/>
                <w:szCs w:val="18"/>
                <w:color w:val="auto"/>
              </w:rPr>
            </w:pPr>
          </w:p>
        </w:tc>
        <w:tc>
          <w:tcPr>
            <w:tcW w:w="1200" w:type="dxa"/>
            <w:vAlign w:val="bottom"/>
            <w:shd w:val="clear" w:color="auto" w:fill="CEFFE7"/>
          </w:tcPr>
          <w:p>
            <w:pPr>
              <w:spacing w:after="0"/>
              <w:rPr>
                <w:sz w:val="18"/>
                <w:szCs w:val="18"/>
                <w:color w:val="auto"/>
              </w:rPr>
            </w:pPr>
          </w:p>
        </w:tc>
        <w:tc>
          <w:tcPr>
            <w:tcW w:w="320" w:type="dxa"/>
            <w:vAlign w:val="bottom"/>
            <w:shd w:val="clear" w:color="auto" w:fill="CEFFE7"/>
          </w:tcPr>
          <w:p>
            <w:pPr>
              <w:spacing w:after="0"/>
              <w:rPr>
                <w:sz w:val="18"/>
                <w:szCs w:val="18"/>
                <w:color w:val="auto"/>
              </w:rPr>
            </w:pPr>
          </w:p>
        </w:tc>
        <w:tc>
          <w:tcPr>
            <w:tcW w:w="1120" w:type="dxa"/>
            <w:vAlign w:val="bottom"/>
            <w:shd w:val="clear" w:color="auto" w:fill="CEFFE7"/>
          </w:tcPr>
          <w:p>
            <w:pPr>
              <w:spacing w:after="0"/>
              <w:rPr>
                <w:sz w:val="18"/>
                <w:szCs w:val="18"/>
                <w:color w:val="auto"/>
              </w:rPr>
            </w:pPr>
          </w:p>
        </w:tc>
        <w:tc>
          <w:tcPr>
            <w:tcW w:w="280" w:type="dxa"/>
            <w:vAlign w:val="bottom"/>
            <w:shd w:val="clear" w:color="auto" w:fill="CEFFE7"/>
          </w:tcPr>
          <w:p>
            <w:pPr>
              <w:spacing w:after="0"/>
              <w:rPr>
                <w:sz w:val="18"/>
                <w:szCs w:val="18"/>
                <w:color w:val="auto"/>
              </w:rPr>
            </w:pPr>
          </w:p>
        </w:tc>
        <w:tc>
          <w:tcPr>
            <w:tcW w:w="114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1100" w:type="dxa"/>
            <w:vAlign w:val="bottom"/>
            <w:shd w:val="clear" w:color="auto" w:fill="CEFFE7"/>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62,867</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62,573</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62,751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62,175</w:t>
            </w:r>
          </w:p>
        </w:tc>
      </w:tr>
      <w:tr>
        <w:trPr>
          <w:trHeight w:val="20"/>
        </w:trPr>
        <w:tc>
          <w:tcPr>
            <w:tcW w:w="5520" w:type="dxa"/>
            <w:vAlign w:val="bottom"/>
            <w:tcBorders>
              <w:bottom w:val="single" w:sz="8" w:color="CEFFE7"/>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5"/>
        </w:trPr>
        <w:tc>
          <w:tcPr>
            <w:tcW w:w="55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shd w:val="clear" w:color="auto" w:fill="CEFFE7"/>
          </w:tcPr>
          <w:p>
            <w:pPr>
              <w:spacing w:after="0"/>
              <w:rPr>
                <w:sz w:val="20"/>
                <w:szCs w:val="20"/>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62,918</w:t>
            </w:r>
          </w:p>
        </w:tc>
        <w:tc>
          <w:tcPr>
            <w:tcW w:w="320" w:type="dxa"/>
            <w:vAlign w:val="bottom"/>
            <w:tcBorders>
              <w:bottom w:val="single" w:sz="8" w:color="auto"/>
            </w:tcBorders>
            <w:shd w:val="clear" w:color="auto" w:fill="CEFFE7"/>
          </w:tcPr>
          <w:p>
            <w:pPr>
              <w:spacing w:after="0"/>
              <w:rPr>
                <w:sz w:val="20"/>
                <w:szCs w:val="20"/>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62,617</w:t>
            </w:r>
          </w:p>
        </w:tc>
        <w:tc>
          <w:tcPr>
            <w:tcW w:w="280" w:type="dxa"/>
            <w:vAlign w:val="bottom"/>
            <w:tcBorders>
              <w:bottom w:val="single" w:sz="8" w:color="auto"/>
            </w:tcBorders>
            <w:shd w:val="clear" w:color="auto" w:fill="CEFFE7"/>
          </w:tcPr>
          <w:p>
            <w:pPr>
              <w:spacing w:after="0"/>
              <w:rPr>
                <w:sz w:val="20"/>
                <w:szCs w:val="20"/>
                <w:color w:val="auto"/>
              </w:rPr>
            </w:pP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62,817</w:t>
            </w:r>
          </w:p>
        </w:tc>
        <w:tc>
          <w:tcPr>
            <w:tcW w:w="340" w:type="dxa"/>
            <w:vAlign w:val="bottom"/>
            <w:tcBorders>
              <w:bottom w:val="single" w:sz="8" w:color="auto"/>
            </w:tcBorders>
            <w:shd w:val="clear" w:color="auto" w:fill="CEFFE7"/>
          </w:tcPr>
          <w:p>
            <w:pPr>
              <w:spacing w:after="0"/>
              <w:rPr>
                <w:sz w:val="20"/>
                <w:szCs w:val="20"/>
                <w:color w:val="auto"/>
              </w:rPr>
            </w:pP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62,230</w:t>
            </w:r>
          </w:p>
        </w:tc>
      </w:tr>
      <w:tr>
        <w:trPr>
          <w:trHeight w:val="20"/>
        </w:trPr>
        <w:tc>
          <w:tcPr>
            <w:tcW w:w="552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112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14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100" w:type="dxa"/>
            <w:vAlign w:val="bottom"/>
            <w:tcBorders>
              <w:top w:val="single" w:sz="8" w:color="CEFFE7"/>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13">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Condensed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60" w:type="dxa"/>
            <w:vAlign w:val="bottom"/>
          </w:tcPr>
          <w:p>
            <w:pPr>
              <w:ind w:left="20"/>
              <w:spacing w:after="0"/>
              <w:rPr>
                <w:sz w:val="20"/>
                <w:szCs w:val="20"/>
                <w:color w:val="auto"/>
              </w:rPr>
            </w:pPr>
            <w:r>
              <w:rPr>
                <w:rFonts w:ascii="Arial" w:cs="Arial" w:eastAsia="Arial" w:hAnsi="Arial"/>
                <w:sz w:val="16"/>
                <w:szCs w:val="16"/>
                <w:color w:val="auto"/>
              </w:rPr>
              <w:t>(unaudited)</w:t>
            </w:r>
          </w:p>
        </w:tc>
        <w:tc>
          <w:tcPr>
            <w:tcW w:w="2240" w:type="dxa"/>
            <w:vAlign w:val="bottom"/>
            <w:gridSpan w:val="4"/>
          </w:tcPr>
          <w:p>
            <w:pPr>
              <w:ind w:left="40"/>
              <w:spacing w:after="0"/>
              <w:rPr>
                <w:sz w:val="20"/>
                <w:szCs w:val="20"/>
                <w:color w:val="auto"/>
              </w:rPr>
            </w:pPr>
            <w:r>
              <w:rPr>
                <w:rFonts w:ascii="Arial" w:cs="Arial" w:eastAsia="Arial" w:hAnsi="Arial"/>
                <w:sz w:val="16"/>
                <w:szCs w:val="16"/>
                <w:color w:val="auto"/>
              </w:rPr>
              <w:t>Three Months Ended June 30,</w:t>
            </w:r>
          </w:p>
        </w:tc>
        <w:tc>
          <w:tcPr>
            <w:tcW w:w="2140" w:type="dxa"/>
            <w:vAlign w:val="bottom"/>
            <w:gridSpan w:val="4"/>
          </w:tcPr>
          <w:p>
            <w:pPr>
              <w:jc w:val="right"/>
              <w:spacing w:after="0"/>
              <w:rPr>
                <w:sz w:val="20"/>
                <w:szCs w:val="20"/>
                <w:color w:val="auto"/>
              </w:rPr>
            </w:pPr>
            <w:r>
              <w:rPr>
                <w:rFonts w:ascii="Arial" w:cs="Arial" w:eastAsia="Arial" w:hAnsi="Arial"/>
                <w:sz w:val="16"/>
                <w:szCs w:val="16"/>
                <w:color w:val="auto"/>
              </w:rPr>
              <w:t>Six Months Ended June 30,</w:t>
            </w:r>
          </w:p>
        </w:tc>
      </w:tr>
      <w:tr>
        <w:trPr>
          <w:trHeight w:val="219"/>
        </w:trPr>
        <w:tc>
          <w:tcPr>
            <w:tcW w:w="68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r>
      <w:tr>
        <w:trPr>
          <w:trHeight w:val="209"/>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3"/>
          </w:tcPr>
          <w:p>
            <w:pPr>
              <w:jc w:val="right"/>
              <w:ind w:right="519"/>
              <w:spacing w:after="0"/>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860" w:type="dxa"/>
            <w:vAlign w:val="bottom"/>
            <w:shd w:val="clear" w:color="auto" w:fill="CEFFE7"/>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28,287</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24,694</w:t>
            </w: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128,774</w:t>
            </w: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121,918</w:t>
            </w:r>
          </w:p>
        </w:tc>
      </w:tr>
      <w:tr>
        <w:trPr>
          <w:trHeight w:val="253"/>
        </w:trPr>
        <w:tc>
          <w:tcPr>
            <w:tcW w:w="6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16"/>
        </w:trPr>
        <w:tc>
          <w:tcPr>
            <w:tcW w:w="686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6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2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r>
      <w:tr>
        <w:trPr>
          <w:trHeight w:val="213"/>
        </w:trPr>
        <w:tc>
          <w:tcPr>
            <w:tcW w:w="6860" w:type="dxa"/>
            <w:vAlign w:val="bottom"/>
          </w:tcPr>
          <w:p>
            <w:pPr>
              <w:ind w:left="360"/>
              <w:spacing w:after="0"/>
              <w:rPr>
                <w:sz w:val="20"/>
                <w:szCs w:val="20"/>
                <w:color w:val="auto"/>
              </w:rPr>
            </w:pPr>
            <w:r>
              <w:rPr>
                <w:rFonts w:ascii="Arial" w:cs="Arial" w:eastAsia="Arial" w:hAnsi="Arial"/>
                <w:sz w:val="16"/>
                <w:szCs w:val="16"/>
                <w:color w:val="auto"/>
              </w:rPr>
              <w:t>Benefit plan liability adjustments - net gain (net of tax of $0, $0, $0 and $(17), respectively)</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180"/>
        </w:trPr>
        <w:tc>
          <w:tcPr>
            <w:tcW w:w="6860" w:type="dxa"/>
            <w:vAlign w:val="bottom"/>
            <w:shd w:val="clear" w:color="auto" w:fill="CEFFE7"/>
          </w:tcPr>
          <w:p>
            <w:pPr>
              <w:ind w:left="360"/>
              <w:spacing w:after="0" w:line="181" w:lineRule="exact"/>
              <w:rPr>
                <w:sz w:val="20"/>
                <w:szCs w:val="20"/>
                <w:color w:val="auto"/>
              </w:rPr>
            </w:pPr>
            <w:r>
              <w:rPr>
                <w:rFonts w:ascii="Arial" w:cs="Arial" w:eastAsia="Arial" w:hAnsi="Arial"/>
                <w:sz w:val="16"/>
                <w:szCs w:val="16"/>
                <w:color w:val="auto"/>
              </w:rPr>
              <w:t>Reclassification adjustments of benefit plan liability - prior service cost (net of tax of $6, $6,</w:t>
            </w:r>
          </w:p>
        </w:tc>
        <w:tc>
          <w:tcPr>
            <w:tcW w:w="260" w:type="dxa"/>
            <w:vAlign w:val="bottom"/>
            <w:shd w:val="clear" w:color="auto" w:fill="CEFFE7"/>
          </w:tcPr>
          <w:p>
            <w:pPr>
              <w:spacing w:after="0"/>
              <w:rPr>
                <w:sz w:val="15"/>
                <w:szCs w:val="15"/>
                <w:color w:val="auto"/>
              </w:rPr>
            </w:pPr>
          </w:p>
        </w:tc>
        <w:tc>
          <w:tcPr>
            <w:tcW w:w="860" w:type="dxa"/>
            <w:vAlign w:val="bottom"/>
            <w:shd w:val="clear" w:color="auto" w:fill="CEFFE7"/>
          </w:tcPr>
          <w:p>
            <w:pPr>
              <w:spacing w:after="0"/>
              <w:rPr>
                <w:sz w:val="15"/>
                <w:szCs w:val="15"/>
                <w:color w:val="auto"/>
              </w:rPr>
            </w:pPr>
          </w:p>
        </w:tc>
        <w:tc>
          <w:tcPr>
            <w:tcW w:w="260" w:type="dxa"/>
            <w:vAlign w:val="bottom"/>
            <w:shd w:val="clear" w:color="auto" w:fill="CEFFE7"/>
          </w:tcPr>
          <w:p>
            <w:pPr>
              <w:spacing w:after="0"/>
              <w:rPr>
                <w:sz w:val="15"/>
                <w:szCs w:val="15"/>
                <w:color w:val="auto"/>
              </w:rPr>
            </w:pPr>
          </w:p>
        </w:tc>
        <w:tc>
          <w:tcPr>
            <w:tcW w:w="860" w:type="dxa"/>
            <w:vAlign w:val="bottom"/>
            <w:shd w:val="clear" w:color="auto" w:fill="CEFFE7"/>
          </w:tcPr>
          <w:p>
            <w:pPr>
              <w:spacing w:after="0"/>
              <w:rPr>
                <w:sz w:val="15"/>
                <w:szCs w:val="15"/>
                <w:color w:val="auto"/>
              </w:rPr>
            </w:pPr>
          </w:p>
        </w:tc>
        <w:tc>
          <w:tcPr>
            <w:tcW w:w="240" w:type="dxa"/>
            <w:vAlign w:val="bottom"/>
            <w:shd w:val="clear" w:color="auto" w:fill="CEFFE7"/>
          </w:tcPr>
          <w:p>
            <w:pPr>
              <w:spacing w:after="0"/>
              <w:rPr>
                <w:sz w:val="15"/>
                <w:szCs w:val="15"/>
                <w:color w:val="auto"/>
              </w:rPr>
            </w:pPr>
          </w:p>
        </w:tc>
        <w:tc>
          <w:tcPr>
            <w:tcW w:w="820" w:type="dxa"/>
            <w:vAlign w:val="bottom"/>
            <w:shd w:val="clear" w:color="auto" w:fill="CEFFE7"/>
          </w:tcPr>
          <w:p>
            <w:pPr>
              <w:spacing w:after="0"/>
              <w:rPr>
                <w:sz w:val="15"/>
                <w:szCs w:val="15"/>
                <w:color w:val="auto"/>
              </w:rPr>
            </w:pPr>
          </w:p>
        </w:tc>
        <w:tc>
          <w:tcPr>
            <w:tcW w:w="240" w:type="dxa"/>
            <w:vAlign w:val="bottom"/>
            <w:shd w:val="clear" w:color="auto" w:fill="CEFFE7"/>
          </w:tcPr>
          <w:p>
            <w:pPr>
              <w:spacing w:after="0"/>
              <w:rPr>
                <w:sz w:val="15"/>
                <w:szCs w:val="15"/>
                <w:color w:val="auto"/>
              </w:rPr>
            </w:pPr>
          </w:p>
        </w:tc>
        <w:tc>
          <w:tcPr>
            <w:tcW w:w="840" w:type="dxa"/>
            <w:vAlign w:val="bottom"/>
            <w:shd w:val="clear" w:color="auto" w:fill="CEFFE7"/>
          </w:tcPr>
          <w:p>
            <w:pPr>
              <w:spacing w:after="0"/>
              <w:rPr>
                <w:sz w:val="15"/>
                <w:szCs w:val="15"/>
                <w:color w:val="auto"/>
              </w:rPr>
            </w:pPr>
          </w:p>
        </w:tc>
      </w:tr>
      <w:tr>
        <w:trPr>
          <w:trHeight w:val="201"/>
        </w:trPr>
        <w:tc>
          <w:tcPr>
            <w:tcW w:w="6860" w:type="dxa"/>
            <w:vAlign w:val="bottom"/>
            <w:shd w:val="clear" w:color="auto" w:fill="CEFFE7"/>
          </w:tcPr>
          <w:p>
            <w:pPr>
              <w:ind w:left="360"/>
              <w:spacing w:after="0"/>
              <w:rPr>
                <w:sz w:val="20"/>
                <w:szCs w:val="20"/>
                <w:color w:val="auto"/>
              </w:rPr>
            </w:pPr>
            <w:r>
              <w:rPr>
                <w:rFonts w:ascii="Arial" w:cs="Arial" w:eastAsia="Arial" w:hAnsi="Arial"/>
                <w:sz w:val="16"/>
                <w:szCs w:val="16"/>
                <w:color w:val="auto"/>
              </w:rPr>
              <w:t>$15 and $13, respectively)</w:t>
            </w:r>
          </w:p>
        </w:tc>
        <w:tc>
          <w:tcPr>
            <w:tcW w:w="260" w:type="dxa"/>
            <w:vAlign w:val="bottom"/>
            <w:shd w:val="clear" w:color="auto" w:fill="CEFFE7"/>
          </w:tcPr>
          <w:p>
            <w:pPr>
              <w:spacing w:after="0"/>
              <w:rPr>
                <w:sz w:val="17"/>
                <w:szCs w:val="17"/>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w:t>
            </w:r>
          </w:p>
        </w:tc>
        <w:tc>
          <w:tcPr>
            <w:tcW w:w="260" w:type="dxa"/>
            <w:vAlign w:val="bottom"/>
            <w:shd w:val="clear" w:color="auto" w:fill="CEFFE7"/>
          </w:tcPr>
          <w:p>
            <w:pPr>
              <w:spacing w:after="0"/>
              <w:rPr>
                <w:sz w:val="17"/>
                <w:szCs w:val="17"/>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w:t>
            </w:r>
          </w:p>
        </w:tc>
        <w:tc>
          <w:tcPr>
            <w:tcW w:w="240" w:type="dxa"/>
            <w:vAlign w:val="bottom"/>
            <w:shd w:val="clear" w:color="auto" w:fill="CEFFE7"/>
          </w:tcPr>
          <w:p>
            <w:pPr>
              <w:spacing w:after="0"/>
              <w:rPr>
                <w:sz w:val="17"/>
                <w:szCs w:val="17"/>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w:t>
            </w:r>
          </w:p>
        </w:tc>
        <w:tc>
          <w:tcPr>
            <w:tcW w:w="240" w:type="dxa"/>
            <w:vAlign w:val="bottom"/>
            <w:shd w:val="clear" w:color="auto" w:fill="CEFFE7"/>
          </w:tcPr>
          <w:p>
            <w:pPr>
              <w:spacing w:after="0"/>
              <w:rPr>
                <w:sz w:val="17"/>
                <w:szCs w:val="17"/>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(42)</w:t>
            </w:r>
          </w:p>
        </w:tc>
      </w:tr>
      <w:tr>
        <w:trPr>
          <w:trHeight w:val="177"/>
        </w:trPr>
        <w:tc>
          <w:tcPr>
            <w:tcW w:w="6860" w:type="dxa"/>
            <w:vAlign w:val="bottom"/>
          </w:tcPr>
          <w:p>
            <w:pPr>
              <w:ind w:left="360"/>
              <w:spacing w:after="0" w:line="178" w:lineRule="exact"/>
              <w:rPr>
                <w:sz w:val="20"/>
                <w:szCs w:val="20"/>
                <w:color w:val="auto"/>
              </w:rPr>
            </w:pPr>
            <w:r>
              <w:rPr>
                <w:rFonts w:ascii="Arial" w:cs="Arial" w:eastAsia="Arial" w:hAnsi="Arial"/>
                <w:sz w:val="16"/>
                <w:szCs w:val="16"/>
                <w:color w:val="auto"/>
              </w:rPr>
              <w:t>Reclassification adjustments of benefit plan liability - net loss (net of tax of $(157), $(182),</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8"/>
        </w:trPr>
        <w:tc>
          <w:tcPr>
            <w:tcW w:w="6860" w:type="dxa"/>
            <w:vAlign w:val="bottom"/>
          </w:tcPr>
          <w:p>
            <w:pPr>
              <w:ind w:left="360"/>
              <w:spacing w:after="0"/>
              <w:rPr>
                <w:sz w:val="20"/>
                <w:szCs w:val="20"/>
                <w:color w:val="auto"/>
              </w:rPr>
            </w:pPr>
            <w:r>
              <w:rPr>
                <w:rFonts w:ascii="Arial" w:cs="Arial" w:eastAsia="Arial" w:hAnsi="Arial"/>
                <w:sz w:val="16"/>
                <w:szCs w:val="16"/>
                <w:color w:val="auto"/>
              </w:rPr>
              <w:t>$(374) and $(277), respectively)</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440</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415</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821</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917</w:t>
            </w:r>
          </w:p>
        </w:tc>
      </w:tr>
      <w:tr>
        <w:trPr>
          <w:trHeight w:val="219"/>
        </w:trPr>
        <w:tc>
          <w:tcPr>
            <w:tcW w:w="6860" w:type="dxa"/>
            <w:vAlign w:val="bottom"/>
            <w:shd w:val="clear" w:color="auto" w:fill="CEFFE7"/>
          </w:tcPr>
          <w:p>
            <w:pPr>
              <w:ind w:left="140"/>
              <w:spacing w:after="0"/>
              <w:rPr>
                <w:sz w:val="20"/>
                <w:szCs w:val="20"/>
                <w:color w:val="auto"/>
              </w:rPr>
            </w:pPr>
            <w:r>
              <w:rPr>
                <w:rFonts w:ascii="Arial" w:cs="Arial" w:eastAsia="Arial" w:hAnsi="Arial"/>
                <w:sz w:val="16"/>
                <w:szCs w:val="16"/>
                <w:color w:val="auto"/>
              </w:rPr>
              <w:t>Derivative instruments designated as cash flow hedges:</w:t>
            </w:r>
          </w:p>
        </w:tc>
        <w:tc>
          <w:tcPr>
            <w:tcW w:w="260" w:type="dxa"/>
            <w:vAlign w:val="bottom"/>
            <w:shd w:val="clear" w:color="auto" w:fill="CEFFE7"/>
          </w:tcPr>
          <w:p>
            <w:pPr>
              <w:spacing w:after="0"/>
              <w:rPr>
                <w:sz w:val="19"/>
                <w:szCs w:val="19"/>
                <w:color w:val="auto"/>
              </w:rPr>
            </w:pPr>
          </w:p>
        </w:tc>
        <w:tc>
          <w:tcPr>
            <w:tcW w:w="86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86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82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r>
      <w:tr>
        <w:trPr>
          <w:trHeight w:val="177"/>
        </w:trPr>
        <w:tc>
          <w:tcPr>
            <w:tcW w:w="6860" w:type="dxa"/>
            <w:vAlign w:val="bottom"/>
          </w:tcPr>
          <w:p>
            <w:pPr>
              <w:ind w:left="360"/>
              <w:spacing w:after="0" w:line="178" w:lineRule="exact"/>
              <w:rPr>
                <w:sz w:val="20"/>
                <w:szCs w:val="20"/>
                <w:color w:val="auto"/>
              </w:rPr>
            </w:pPr>
            <w:r>
              <w:rPr>
                <w:rFonts w:ascii="Arial" w:cs="Arial" w:eastAsia="Arial" w:hAnsi="Arial"/>
                <w:sz w:val="16"/>
                <w:szCs w:val="16"/>
                <w:color w:val="auto"/>
              </w:rPr>
              <w:t>Reclassification of net realized losses on settled/amortized interest rate swaps (net of tax</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8"/>
        </w:trPr>
        <w:tc>
          <w:tcPr>
            <w:tcW w:w="6860" w:type="dxa"/>
            <w:vAlign w:val="bottom"/>
          </w:tcPr>
          <w:p>
            <w:pPr>
              <w:ind w:left="360"/>
              <w:spacing w:after="0"/>
              <w:rPr>
                <w:sz w:val="20"/>
                <w:szCs w:val="20"/>
                <w:color w:val="auto"/>
              </w:rPr>
            </w:pPr>
            <w:r>
              <w:rPr>
                <w:rFonts w:ascii="Arial" w:cs="Arial" w:eastAsia="Arial" w:hAnsi="Arial"/>
                <w:sz w:val="16"/>
                <w:szCs w:val="16"/>
                <w:color w:val="auto"/>
              </w:rPr>
              <w:t>of $(150), $(170), $(340) and $(340), respectively)</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563</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543</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1,086</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1,086</w:t>
            </w:r>
          </w:p>
        </w:tc>
      </w:tr>
      <w:tr>
        <w:trPr>
          <w:trHeight w:val="180"/>
        </w:trPr>
        <w:tc>
          <w:tcPr>
            <w:tcW w:w="6860" w:type="dxa"/>
            <w:vAlign w:val="bottom"/>
            <w:shd w:val="clear" w:color="auto" w:fill="CEFFE7"/>
          </w:tcPr>
          <w:p>
            <w:pPr>
              <w:ind w:left="360"/>
              <w:spacing w:after="0" w:line="181" w:lineRule="exact"/>
              <w:rPr>
                <w:sz w:val="20"/>
                <w:szCs w:val="20"/>
                <w:color w:val="auto"/>
              </w:rPr>
            </w:pPr>
            <w:r>
              <w:rPr>
                <w:rFonts w:ascii="Arial" w:cs="Arial" w:eastAsia="Arial" w:hAnsi="Arial"/>
                <w:sz w:val="16"/>
                <w:szCs w:val="16"/>
                <w:color w:val="auto"/>
              </w:rPr>
              <w:t>Net unrealized gains (losses) on commodity derivatives (net of tax of $(304), $14, $(339)</w:t>
            </w:r>
          </w:p>
        </w:tc>
        <w:tc>
          <w:tcPr>
            <w:tcW w:w="260" w:type="dxa"/>
            <w:vAlign w:val="bottom"/>
            <w:shd w:val="clear" w:color="auto" w:fill="CEFFE7"/>
          </w:tcPr>
          <w:p>
            <w:pPr>
              <w:spacing w:after="0"/>
              <w:rPr>
                <w:sz w:val="15"/>
                <w:szCs w:val="15"/>
                <w:color w:val="auto"/>
              </w:rPr>
            </w:pPr>
          </w:p>
        </w:tc>
        <w:tc>
          <w:tcPr>
            <w:tcW w:w="860" w:type="dxa"/>
            <w:vAlign w:val="bottom"/>
            <w:shd w:val="clear" w:color="auto" w:fill="CEFFE7"/>
          </w:tcPr>
          <w:p>
            <w:pPr>
              <w:spacing w:after="0"/>
              <w:rPr>
                <w:sz w:val="15"/>
                <w:szCs w:val="15"/>
                <w:color w:val="auto"/>
              </w:rPr>
            </w:pPr>
          </w:p>
        </w:tc>
        <w:tc>
          <w:tcPr>
            <w:tcW w:w="260" w:type="dxa"/>
            <w:vAlign w:val="bottom"/>
            <w:shd w:val="clear" w:color="auto" w:fill="CEFFE7"/>
          </w:tcPr>
          <w:p>
            <w:pPr>
              <w:spacing w:after="0"/>
              <w:rPr>
                <w:sz w:val="15"/>
                <w:szCs w:val="15"/>
                <w:color w:val="auto"/>
              </w:rPr>
            </w:pPr>
          </w:p>
        </w:tc>
        <w:tc>
          <w:tcPr>
            <w:tcW w:w="860" w:type="dxa"/>
            <w:vAlign w:val="bottom"/>
            <w:shd w:val="clear" w:color="auto" w:fill="CEFFE7"/>
          </w:tcPr>
          <w:p>
            <w:pPr>
              <w:spacing w:after="0"/>
              <w:rPr>
                <w:sz w:val="15"/>
                <w:szCs w:val="15"/>
                <w:color w:val="auto"/>
              </w:rPr>
            </w:pPr>
          </w:p>
        </w:tc>
        <w:tc>
          <w:tcPr>
            <w:tcW w:w="240" w:type="dxa"/>
            <w:vAlign w:val="bottom"/>
            <w:shd w:val="clear" w:color="auto" w:fill="CEFFE7"/>
          </w:tcPr>
          <w:p>
            <w:pPr>
              <w:spacing w:after="0"/>
              <w:rPr>
                <w:sz w:val="15"/>
                <w:szCs w:val="15"/>
                <w:color w:val="auto"/>
              </w:rPr>
            </w:pPr>
          </w:p>
        </w:tc>
        <w:tc>
          <w:tcPr>
            <w:tcW w:w="820" w:type="dxa"/>
            <w:vAlign w:val="bottom"/>
            <w:shd w:val="clear" w:color="auto" w:fill="CEFFE7"/>
          </w:tcPr>
          <w:p>
            <w:pPr>
              <w:spacing w:after="0"/>
              <w:rPr>
                <w:sz w:val="15"/>
                <w:szCs w:val="15"/>
                <w:color w:val="auto"/>
              </w:rPr>
            </w:pPr>
          </w:p>
        </w:tc>
        <w:tc>
          <w:tcPr>
            <w:tcW w:w="240" w:type="dxa"/>
            <w:vAlign w:val="bottom"/>
            <w:shd w:val="clear" w:color="auto" w:fill="CEFFE7"/>
          </w:tcPr>
          <w:p>
            <w:pPr>
              <w:spacing w:after="0"/>
              <w:rPr>
                <w:sz w:val="15"/>
                <w:szCs w:val="15"/>
                <w:color w:val="auto"/>
              </w:rPr>
            </w:pPr>
          </w:p>
        </w:tc>
        <w:tc>
          <w:tcPr>
            <w:tcW w:w="840" w:type="dxa"/>
            <w:vAlign w:val="bottom"/>
            <w:shd w:val="clear" w:color="auto" w:fill="CEFFE7"/>
          </w:tcPr>
          <w:p>
            <w:pPr>
              <w:spacing w:after="0"/>
              <w:rPr>
                <w:sz w:val="15"/>
                <w:szCs w:val="15"/>
                <w:color w:val="auto"/>
              </w:rPr>
            </w:pPr>
          </w:p>
        </w:tc>
      </w:tr>
      <w:tr>
        <w:trPr>
          <w:trHeight w:val="201"/>
        </w:trPr>
        <w:tc>
          <w:tcPr>
            <w:tcW w:w="6860" w:type="dxa"/>
            <w:vAlign w:val="bottom"/>
            <w:shd w:val="clear" w:color="auto" w:fill="CEFFE7"/>
          </w:tcPr>
          <w:p>
            <w:pPr>
              <w:ind w:left="360"/>
              <w:spacing w:after="0"/>
              <w:rPr>
                <w:sz w:val="20"/>
                <w:szCs w:val="20"/>
                <w:color w:val="auto"/>
              </w:rPr>
            </w:pPr>
            <w:r>
              <w:rPr>
                <w:rFonts w:ascii="Arial" w:cs="Arial" w:eastAsia="Arial" w:hAnsi="Arial"/>
                <w:sz w:val="16"/>
                <w:szCs w:val="16"/>
                <w:color w:val="auto"/>
              </w:rPr>
              <w:t>and $68, respectively)</w:t>
            </w:r>
          </w:p>
        </w:tc>
        <w:tc>
          <w:tcPr>
            <w:tcW w:w="260" w:type="dxa"/>
            <w:vAlign w:val="bottom"/>
            <w:shd w:val="clear" w:color="auto" w:fill="CEFFE7"/>
          </w:tcPr>
          <w:p>
            <w:pPr>
              <w:spacing w:after="0"/>
              <w:rPr>
                <w:sz w:val="17"/>
                <w:szCs w:val="17"/>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939</w:t>
            </w:r>
          </w:p>
        </w:tc>
        <w:tc>
          <w:tcPr>
            <w:tcW w:w="260" w:type="dxa"/>
            <w:vAlign w:val="bottom"/>
            <w:shd w:val="clear" w:color="auto" w:fill="CEFFE7"/>
          </w:tcPr>
          <w:p>
            <w:pPr>
              <w:spacing w:after="0"/>
              <w:rPr>
                <w:sz w:val="17"/>
                <w:szCs w:val="17"/>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EFFE7"/>
          </w:tcPr>
          <w:p>
            <w:pPr>
              <w:spacing w:after="0"/>
              <w:rPr>
                <w:sz w:val="17"/>
                <w:szCs w:val="17"/>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1,046</w:t>
            </w:r>
          </w:p>
        </w:tc>
        <w:tc>
          <w:tcPr>
            <w:tcW w:w="240" w:type="dxa"/>
            <w:vAlign w:val="bottom"/>
            <w:shd w:val="clear" w:color="auto" w:fill="CEFFE7"/>
          </w:tcPr>
          <w:p>
            <w:pPr>
              <w:spacing w:after="0"/>
              <w:rPr>
                <w:sz w:val="17"/>
                <w:szCs w:val="17"/>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(220)</w:t>
            </w:r>
          </w:p>
        </w:tc>
      </w:tr>
      <w:tr>
        <w:trPr>
          <w:trHeight w:val="177"/>
        </w:trPr>
        <w:tc>
          <w:tcPr>
            <w:tcW w:w="6860" w:type="dxa"/>
            <w:vAlign w:val="bottom"/>
          </w:tcPr>
          <w:p>
            <w:pPr>
              <w:ind w:left="360"/>
              <w:spacing w:after="0" w:line="178" w:lineRule="exact"/>
              <w:rPr>
                <w:sz w:val="20"/>
                <w:szCs w:val="20"/>
                <w:color w:val="auto"/>
              </w:rPr>
            </w:pPr>
            <w:r>
              <w:rPr>
                <w:rFonts w:ascii="Arial" w:cs="Arial" w:eastAsia="Arial" w:hAnsi="Arial"/>
                <w:sz w:val="16"/>
                <w:szCs w:val="16"/>
                <w:color w:val="auto"/>
              </w:rPr>
              <w:t>Reclassification of net realized (gains) losses on settled commodity derivatives (net of tax</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8"/>
        </w:trPr>
        <w:tc>
          <w:tcPr>
            <w:tcW w:w="6860" w:type="dxa"/>
            <w:vAlign w:val="bottom"/>
            <w:tcBorders>
              <w:bottom w:val="single" w:sz="8" w:color="CEFFE7"/>
            </w:tcBorders>
          </w:tcPr>
          <w:p>
            <w:pPr>
              <w:ind w:left="360"/>
              <w:spacing w:after="0"/>
              <w:rPr>
                <w:sz w:val="20"/>
                <w:szCs w:val="20"/>
                <w:color w:val="auto"/>
              </w:rPr>
            </w:pPr>
            <w:r>
              <w:rPr>
                <w:rFonts w:ascii="Arial" w:cs="Arial" w:eastAsia="Arial" w:hAnsi="Arial"/>
                <w:sz w:val="16"/>
                <w:szCs w:val="16"/>
                <w:color w:val="auto"/>
              </w:rPr>
              <w:t>of $14, $(16), $6 and $(131), respectively)</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r>
      <w:tr>
        <w:trPr>
          <w:trHeight w:val="209"/>
        </w:trPr>
        <w:tc>
          <w:tcPr>
            <w:tcW w:w="686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comprehensive income, net of tax</w:t>
            </w:r>
          </w:p>
        </w:tc>
        <w:tc>
          <w:tcPr>
            <w:tcW w:w="26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1,882</w:t>
            </w:r>
          </w:p>
        </w:tc>
        <w:tc>
          <w:tcPr>
            <w:tcW w:w="26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948</w:t>
            </w:r>
          </w:p>
        </w:tc>
        <w:tc>
          <w:tcPr>
            <w:tcW w:w="24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2,900</w:t>
            </w:r>
          </w:p>
        </w:tc>
        <w:tc>
          <w:tcPr>
            <w:tcW w:w="24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2,221</w:t>
            </w:r>
          </w:p>
        </w:tc>
      </w:tr>
      <w:tr>
        <w:trPr>
          <w:trHeight w:val="253"/>
        </w:trPr>
        <w:tc>
          <w:tcPr>
            <w:tcW w:w="6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16"/>
        </w:trPr>
        <w:tc>
          <w:tcPr>
            <w:tcW w:w="686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Comprehensive income</w:t>
            </w:r>
          </w:p>
        </w:tc>
        <w:tc>
          <w:tcPr>
            <w:tcW w:w="260" w:type="dxa"/>
            <w:vAlign w:val="bottom"/>
            <w:shd w:val="clear" w:color="auto" w:fill="CEFFE7"/>
          </w:tcPr>
          <w:p>
            <w:pPr>
              <w:spacing w:after="0"/>
              <w:rPr>
                <w:sz w:val="18"/>
                <w:szCs w:val="18"/>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30,169</w:t>
            </w:r>
          </w:p>
        </w:tc>
        <w:tc>
          <w:tcPr>
            <w:tcW w:w="260" w:type="dxa"/>
            <w:vAlign w:val="bottom"/>
            <w:shd w:val="clear" w:color="auto" w:fill="CEFFE7"/>
          </w:tcPr>
          <w:p>
            <w:pPr>
              <w:spacing w:after="0"/>
              <w:rPr>
                <w:sz w:val="18"/>
                <w:szCs w:val="18"/>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25,642</w:t>
            </w:r>
          </w:p>
        </w:tc>
        <w:tc>
          <w:tcPr>
            <w:tcW w:w="240" w:type="dxa"/>
            <w:vAlign w:val="bottom"/>
            <w:shd w:val="clear" w:color="auto" w:fill="CEFFE7"/>
          </w:tcPr>
          <w:p>
            <w:pPr>
              <w:spacing w:after="0"/>
              <w:rPr>
                <w:sz w:val="18"/>
                <w:szCs w:val="18"/>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131,674</w:t>
            </w:r>
          </w:p>
        </w:tc>
        <w:tc>
          <w:tcPr>
            <w:tcW w:w="240" w:type="dxa"/>
            <w:vAlign w:val="bottom"/>
            <w:shd w:val="clear" w:color="auto" w:fill="CEFFE7"/>
          </w:tcPr>
          <w:p>
            <w:pPr>
              <w:spacing w:after="0"/>
              <w:rPr>
                <w:sz w:val="18"/>
                <w:szCs w:val="18"/>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124,139</w:t>
            </w:r>
          </w:p>
        </w:tc>
      </w:tr>
      <w:tr>
        <w:trPr>
          <w:trHeight w:val="213"/>
        </w:trPr>
        <w:tc>
          <w:tcPr>
            <w:tcW w:w="686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(3,126)</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(3,728)</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(7,297)</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(7,778)</w:t>
            </w:r>
          </w:p>
        </w:tc>
      </w:tr>
      <w:tr>
        <w:trPr>
          <w:trHeight w:val="237"/>
        </w:trPr>
        <w:tc>
          <w:tcPr>
            <w:tcW w:w="68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Comprehensive income available for common stock</w:t>
            </w:r>
          </w:p>
        </w:tc>
        <w:tc>
          <w:tcPr>
            <w:tcW w:w="26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27,043</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21,914</w:t>
            </w: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124,377</w:t>
            </w: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116,361</w:t>
            </w:r>
          </w:p>
        </w:tc>
      </w:tr>
      <w:tr>
        <w:trPr>
          <w:trHeight w:val="20"/>
        </w:trPr>
        <w:tc>
          <w:tcPr>
            <w:tcW w:w="686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spacing w:after="0"/>
        <w:rPr>
          <w:rFonts w:ascii="Arial" w:cs="Arial" w:eastAsia="Arial" w:hAnsi="Arial"/>
          <w:sz w:val="14"/>
          <w:szCs w:val="14"/>
          <w:color w:val="auto"/>
        </w:rPr>
      </w:pPr>
      <w:r>
        <w:rPr>
          <w:rFonts w:ascii="Arial" w:cs="Arial" w:eastAsia="Arial" w:hAnsi="Arial"/>
          <w:sz w:val="14"/>
          <w:szCs w:val="14"/>
          <w:color w:val="auto"/>
        </w:rPr>
        <w:t xml:space="preserve">See </w:t>
      </w:r>
      <w:hyperlink w:anchor="page26">
        <w:r>
          <w:rPr>
            <w:rFonts w:ascii="Arial" w:cs="Arial" w:eastAsia="Arial" w:hAnsi="Arial"/>
            <w:sz w:val="14"/>
            <w:szCs w:val="14"/>
            <w:u w:val="single" w:color="auto"/>
            <w:color w:val="0000FF"/>
          </w:rPr>
          <w:t>Note 9</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for additional disclosures.</w:t>
      </w:r>
    </w:p>
    <w:p>
      <w:pPr>
        <w:spacing w:after="0" w:line="244" w:lineRule="exact"/>
        <w:rPr>
          <w:sz w:val="20"/>
          <w:szCs w:val="20"/>
          <w:color w:val="auto"/>
        </w:rPr>
      </w:pPr>
    </w:p>
    <w:p>
      <w:pPr>
        <w:jc w:val="center"/>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13">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Condensed Consolidated Financial Statements.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BLACK HILLS CORPORATION</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CONDENSED CONSOLIDATED BALANCE SHEETS</w:t>
      </w:r>
    </w:p>
    <w:p>
      <w:pPr>
        <w:sectPr>
          <w:pgSz w:w="11900" w:h="16838" w:orient="portrait"/>
          <w:cols w:equalWidth="0" w:num="1">
            <w:col w:w="11220"/>
          </w:cols>
          <w:pgMar w:left="320" w:top="121" w:right="359" w:bottom="1440" w:gutter="0" w:footer="0" w:header="0"/>
        </w:sectPr>
      </w:pP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58" w:lineRule="exact"/>
        <w:rPr>
          <w:sz w:val="20"/>
          <w:szCs w:val="20"/>
          <w:color w:val="auto"/>
        </w:rPr>
      </w:pPr>
    </w:p>
    <w:p>
      <w:pPr>
        <w:jc w:val="center"/>
        <w:ind w:left="740"/>
        <w:spacing w:after="0"/>
        <w:rPr>
          <w:sz w:val="20"/>
          <w:szCs w:val="20"/>
          <w:color w:val="auto"/>
        </w:rPr>
      </w:pPr>
      <w:r>
        <w:rPr>
          <w:rFonts w:ascii="Arial" w:cs="Arial" w:eastAsia="Arial" w:hAnsi="Arial"/>
          <w:sz w:val="15"/>
          <w:szCs w:val="15"/>
          <w:b w:val="1"/>
          <w:bCs w:val="1"/>
          <w:color w:val="auto"/>
        </w:rPr>
        <w:t>ASSETS</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Restricted cash and equivalents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Accounts receivable, net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Materials, supplies and fuel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Derivative assets, current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Income tax receivable, net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Regulatory assets, current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 current assets</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00" w:type="dxa"/>
            <w:vAlign w:val="bottom"/>
          </w:tcPr>
          <w:p>
            <w:pPr>
              <w:spacing w:after="0"/>
              <w:rPr>
                <w:sz w:val="16"/>
                <w:szCs w:val="16"/>
                <w:color w:val="auto"/>
              </w:rPr>
            </w:pP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As of</w:t>
            </w:r>
          </w:p>
        </w:tc>
        <w:tc>
          <w:tcPr>
            <w:tcW w:w="1780" w:type="dxa"/>
            <w:vAlign w:val="bottom"/>
          </w:tcPr>
          <w:p>
            <w:pPr>
              <w:spacing w:after="0"/>
              <w:rPr>
                <w:sz w:val="16"/>
                <w:szCs w:val="16"/>
                <w:color w:val="auto"/>
              </w:rPr>
            </w:pPr>
          </w:p>
        </w:tc>
      </w:tr>
      <w:tr>
        <w:trPr>
          <w:trHeight w:val="219"/>
        </w:trPr>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June 30, 2021</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2020</w:t>
            </w:r>
          </w:p>
        </w:tc>
      </w:tr>
      <w:tr>
        <w:trPr>
          <w:trHeight w:val="207"/>
        </w:trPr>
        <w:tc>
          <w:tcPr>
            <w:tcW w:w="300" w:type="dxa"/>
            <w:vAlign w:val="bottom"/>
          </w:tcPr>
          <w:p>
            <w:pPr>
              <w:spacing w:after="0"/>
              <w:rPr>
                <w:sz w:val="17"/>
                <w:szCs w:val="17"/>
                <w:color w:val="auto"/>
              </w:rPr>
            </w:pPr>
          </w:p>
        </w:tc>
        <w:tc>
          <w:tcPr>
            <w:tcW w:w="3780" w:type="dxa"/>
            <w:vAlign w:val="bottom"/>
            <w:gridSpan w:val="3"/>
          </w:tcPr>
          <w:p>
            <w:pPr>
              <w:jc w:val="right"/>
              <w:ind w:right="1439"/>
              <w:spacing w:after="0"/>
              <w:rPr>
                <w:sz w:val="20"/>
                <w:szCs w:val="20"/>
                <w:color w:val="auto"/>
              </w:rPr>
            </w:pPr>
            <w:r>
              <w:rPr>
                <w:rFonts w:ascii="Arial" w:cs="Arial" w:eastAsia="Arial" w:hAnsi="Arial"/>
                <w:sz w:val="16"/>
                <w:szCs w:val="16"/>
                <w:color w:val="auto"/>
              </w:rPr>
              <w:t>(in thousands)</w:t>
            </w:r>
          </w:p>
        </w:tc>
      </w:tr>
      <w:tr>
        <w:trPr>
          <w:trHeight w:val="648"/>
        </w:trPr>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1,175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6,356</w:t>
            </w:r>
          </w:p>
        </w:tc>
      </w:tr>
      <w:tr>
        <w:trPr>
          <w:trHeight w:val="216"/>
        </w:trPr>
        <w:tc>
          <w:tcPr>
            <w:tcW w:w="30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4,559</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4,383</w:t>
            </w:r>
          </w:p>
        </w:tc>
      </w:tr>
      <w:tr>
        <w:trPr>
          <w:trHeight w:val="216"/>
        </w:trPr>
        <w:tc>
          <w:tcPr>
            <w:tcW w:w="30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189,437</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265,961</w:t>
            </w:r>
          </w:p>
        </w:tc>
      </w:tr>
      <w:tr>
        <w:trPr>
          <w:trHeight w:val="216"/>
        </w:trPr>
        <w:tc>
          <w:tcPr>
            <w:tcW w:w="30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114,089</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117,400</w:t>
            </w:r>
          </w:p>
        </w:tc>
      </w:tr>
      <w:tr>
        <w:trPr>
          <w:trHeight w:val="216"/>
        </w:trPr>
        <w:tc>
          <w:tcPr>
            <w:tcW w:w="30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3,925</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1,848</w:t>
            </w:r>
          </w:p>
        </w:tc>
      </w:tr>
      <w:tr>
        <w:trPr>
          <w:trHeight w:val="216"/>
        </w:trPr>
        <w:tc>
          <w:tcPr>
            <w:tcW w:w="30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17,573</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19,446</w:t>
            </w:r>
          </w:p>
        </w:tc>
      </w:tr>
      <w:tr>
        <w:trPr>
          <w:trHeight w:val="216"/>
        </w:trPr>
        <w:tc>
          <w:tcPr>
            <w:tcW w:w="30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218,628</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51,676</w:t>
            </w:r>
          </w:p>
        </w:tc>
      </w:tr>
      <w:tr>
        <w:trPr>
          <w:trHeight w:val="219"/>
        </w:trPr>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22,353</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26,221</w:t>
            </w:r>
          </w:p>
        </w:tc>
      </w:tr>
      <w:tr>
        <w:trPr>
          <w:trHeight w:val="210"/>
        </w:trPr>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571,739</w:t>
            </w: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493,291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-4511040</wp:posOffset>
            </wp:positionH>
            <wp:positionV relativeFrom="paragraph">
              <wp:posOffset>-1250950</wp:posOffset>
            </wp:positionV>
            <wp:extent cx="710628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-4511040</wp:posOffset>
            </wp:positionH>
            <wp:positionV relativeFrom="paragraph">
              <wp:posOffset>-976630</wp:posOffset>
            </wp:positionV>
            <wp:extent cx="710628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-4511040</wp:posOffset>
            </wp:positionH>
            <wp:positionV relativeFrom="paragraph">
              <wp:posOffset>-702310</wp:posOffset>
            </wp:positionV>
            <wp:extent cx="710628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-4511040</wp:posOffset>
            </wp:positionH>
            <wp:positionV relativeFrom="paragraph">
              <wp:posOffset>-427990</wp:posOffset>
            </wp:positionV>
            <wp:extent cx="710628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-4511040</wp:posOffset>
            </wp:positionH>
            <wp:positionV relativeFrom="paragraph">
              <wp:posOffset>-153670</wp:posOffset>
            </wp:positionV>
            <wp:extent cx="710628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20" w:space="720"/>
            <w:col w:w="4080"/>
          </w:cols>
          <w:pgMar w:left="320" w:top="121" w:right="359" w:bottom="1440" w:gutter="0" w:footer="0" w:header="0"/>
          <w:type w:val="continuous"/>
        </w:sectPr>
      </w:pP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100" w:type="dxa"/>
            <w:vAlign w:val="bottom"/>
            <w:shd w:val="clear" w:color="auto" w:fill="CEFFE7"/>
          </w:tcPr>
          <w:p>
            <w:pPr>
              <w:spacing w:after="0"/>
              <w:rPr>
                <w:sz w:val="20"/>
                <w:szCs w:val="20"/>
                <w:color w:val="auto"/>
              </w:rPr>
            </w:pPr>
            <w:r>
              <w:rPr>
                <w:rFonts w:ascii="Arial" w:cs="Arial" w:eastAsia="Arial" w:hAnsi="Arial"/>
                <w:sz w:val="16"/>
                <w:szCs w:val="16"/>
                <w:color w:val="auto"/>
              </w:rPr>
              <w:t>Property, plant and equipment</w:t>
            </w:r>
          </w:p>
        </w:tc>
        <w:tc>
          <w:tcPr>
            <w:tcW w:w="620" w:type="dxa"/>
            <w:vAlign w:val="bottom"/>
            <w:shd w:val="clear" w:color="auto" w:fill="CEFFE7"/>
          </w:tcPr>
          <w:p>
            <w:pPr>
              <w:spacing w:after="0"/>
              <w:rPr>
                <w:sz w:val="18"/>
                <w:szCs w:val="18"/>
                <w:color w:val="auto"/>
              </w:rPr>
            </w:pPr>
          </w:p>
        </w:tc>
        <w:tc>
          <w:tcPr>
            <w:tcW w:w="14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7,558,204</w:t>
            </w:r>
          </w:p>
        </w:tc>
        <w:tc>
          <w:tcPr>
            <w:tcW w:w="680" w:type="dxa"/>
            <w:vAlign w:val="bottom"/>
            <w:shd w:val="clear" w:color="auto" w:fill="CEFFE7"/>
          </w:tcPr>
          <w:p>
            <w:pPr>
              <w:spacing w:after="0"/>
              <w:rPr>
                <w:sz w:val="18"/>
                <w:szCs w:val="18"/>
                <w:color w:val="auto"/>
              </w:rPr>
            </w:pPr>
          </w:p>
        </w:tc>
        <w:tc>
          <w:tcPr>
            <w:tcW w:w="13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7,305,530</w:t>
            </w:r>
          </w:p>
        </w:tc>
      </w:tr>
      <w:tr>
        <w:trPr>
          <w:trHeight w:val="213"/>
        </w:trPr>
        <w:tc>
          <w:tcPr>
            <w:tcW w:w="7100" w:type="dxa"/>
            <w:vAlign w:val="bottom"/>
            <w:tcBorders>
              <w:bottom w:val="single" w:sz="8" w:color="CEFFE7"/>
            </w:tcBorders>
          </w:tcPr>
          <w:p>
            <w:pPr>
              <w:ind w:left="160"/>
              <w:spacing w:after="0"/>
              <w:rPr>
                <w:sz w:val="20"/>
                <w:szCs w:val="20"/>
                <w:color w:val="auto"/>
              </w:rPr>
            </w:pPr>
            <w:r>
              <w:rPr>
                <w:rFonts w:ascii="Arial" w:cs="Arial" w:eastAsia="Arial" w:hAnsi="Arial"/>
                <w:sz w:val="16"/>
                <w:szCs w:val="16"/>
                <w:color w:val="auto"/>
              </w:rPr>
              <w:t>Less: accumulated depreciation and depletion</w:t>
            </w:r>
          </w:p>
        </w:tc>
        <w:tc>
          <w:tcPr>
            <w:tcW w:w="6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(1,361,453)</w:t>
            </w:r>
          </w:p>
        </w:tc>
        <w:tc>
          <w:tcPr>
            <w:tcW w:w="6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(1,285,816)</w:t>
            </w:r>
          </w:p>
        </w:tc>
      </w:tr>
      <w:tr>
        <w:trPr>
          <w:trHeight w:val="209"/>
        </w:trPr>
        <w:tc>
          <w:tcPr>
            <w:tcW w:w="7100" w:type="dxa"/>
            <w:vAlign w:val="bottom"/>
            <w:shd w:val="clear" w:color="auto" w:fill="CEFFE7"/>
          </w:tcPr>
          <w:p>
            <w:pPr>
              <w:ind w:left="540"/>
              <w:spacing w:after="0"/>
              <w:rPr>
                <w:sz w:val="20"/>
                <w:szCs w:val="20"/>
                <w:color w:val="auto"/>
              </w:rPr>
            </w:pPr>
            <w:r>
              <w:rPr>
                <w:rFonts w:ascii="Arial" w:cs="Arial" w:eastAsia="Arial" w:hAnsi="Arial"/>
                <w:sz w:val="16"/>
                <w:szCs w:val="16"/>
                <w:color w:val="auto"/>
              </w:rPr>
              <w:t>Total property, plant and equipment, net</w:t>
            </w:r>
          </w:p>
        </w:tc>
        <w:tc>
          <w:tcPr>
            <w:tcW w:w="62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6,196,751</w:t>
            </w:r>
          </w:p>
        </w:tc>
        <w:tc>
          <w:tcPr>
            <w:tcW w:w="680" w:type="dxa"/>
            <w:vAlign w:val="bottom"/>
            <w:tcBorders>
              <w:bottom w:val="single" w:sz="8" w:color="auto"/>
            </w:tcBorders>
            <w:shd w:val="clear" w:color="auto" w:fill="CEFFE7"/>
          </w:tcPr>
          <w:p>
            <w:pPr>
              <w:spacing w:after="0"/>
              <w:rPr>
                <w:sz w:val="18"/>
                <w:szCs w:val="18"/>
                <w:color w:val="auto"/>
              </w:rPr>
            </w:pPr>
          </w:p>
        </w:tc>
        <w:tc>
          <w:tcPr>
            <w:tcW w:w="13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6,019,714</w:t>
            </w:r>
          </w:p>
        </w:tc>
      </w:tr>
      <w:tr>
        <w:trPr>
          <w:trHeight w:val="240"/>
        </w:trPr>
        <w:tc>
          <w:tcPr>
            <w:tcW w:w="7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7100" w:type="dxa"/>
            <w:vAlign w:val="bottom"/>
            <w:shd w:val="clear" w:color="auto" w:fill="CEFFE7"/>
          </w:tcPr>
          <w:p>
            <w:pPr>
              <w:spacing w:after="0"/>
              <w:rPr>
                <w:sz w:val="20"/>
                <w:szCs w:val="20"/>
                <w:color w:val="auto"/>
              </w:rPr>
            </w:pPr>
            <w:r>
              <w:rPr>
                <w:rFonts w:ascii="Arial" w:cs="Arial" w:eastAsia="Arial" w:hAnsi="Arial"/>
                <w:sz w:val="16"/>
                <w:szCs w:val="16"/>
                <w:color w:val="auto"/>
              </w:rPr>
              <w:t>Other assets:</w:t>
            </w:r>
          </w:p>
        </w:tc>
        <w:tc>
          <w:tcPr>
            <w:tcW w:w="620" w:type="dxa"/>
            <w:vAlign w:val="bottom"/>
            <w:shd w:val="clear" w:color="auto" w:fill="CEFFE7"/>
          </w:tcPr>
          <w:p>
            <w:pPr>
              <w:spacing w:after="0"/>
              <w:rPr>
                <w:sz w:val="18"/>
                <w:szCs w:val="18"/>
                <w:color w:val="auto"/>
              </w:rPr>
            </w:pPr>
          </w:p>
        </w:tc>
        <w:tc>
          <w:tcPr>
            <w:tcW w:w="1420" w:type="dxa"/>
            <w:vAlign w:val="bottom"/>
            <w:shd w:val="clear" w:color="auto" w:fill="CEFFE7"/>
          </w:tcPr>
          <w:p>
            <w:pPr>
              <w:spacing w:after="0"/>
              <w:rPr>
                <w:sz w:val="18"/>
                <w:szCs w:val="18"/>
                <w:color w:val="auto"/>
              </w:rPr>
            </w:pPr>
          </w:p>
        </w:tc>
        <w:tc>
          <w:tcPr>
            <w:tcW w:w="680" w:type="dxa"/>
            <w:vAlign w:val="bottom"/>
            <w:shd w:val="clear" w:color="auto" w:fill="CEFFE7"/>
          </w:tcPr>
          <w:p>
            <w:pPr>
              <w:spacing w:after="0"/>
              <w:rPr>
                <w:sz w:val="18"/>
                <w:szCs w:val="18"/>
                <w:color w:val="auto"/>
              </w:rPr>
            </w:pPr>
          </w:p>
        </w:tc>
        <w:tc>
          <w:tcPr>
            <w:tcW w:w="1360" w:type="dxa"/>
            <w:vAlign w:val="bottom"/>
            <w:shd w:val="clear" w:color="auto" w:fill="CEFFE7"/>
          </w:tcPr>
          <w:p>
            <w:pPr>
              <w:spacing w:after="0"/>
              <w:rPr>
                <w:sz w:val="18"/>
                <w:szCs w:val="18"/>
                <w:color w:val="auto"/>
              </w:rPr>
            </w:pPr>
          </w:p>
        </w:tc>
      </w:tr>
      <w:tr>
        <w:trPr>
          <w:trHeight w:val="213"/>
        </w:trPr>
        <w:tc>
          <w:tcPr>
            <w:tcW w:w="7100" w:type="dxa"/>
            <w:vAlign w:val="bottom"/>
          </w:tcPr>
          <w:p>
            <w:pPr>
              <w:ind w:left="160"/>
              <w:spacing w:after="0"/>
              <w:rPr>
                <w:sz w:val="20"/>
                <w:szCs w:val="20"/>
                <w:color w:val="auto"/>
              </w:rPr>
            </w:pPr>
            <w:r>
              <w:rPr>
                <w:rFonts w:ascii="Arial" w:cs="Arial" w:eastAsia="Arial" w:hAnsi="Arial"/>
                <w:sz w:val="16"/>
                <w:szCs w:val="16"/>
                <w:color w:val="auto"/>
              </w:rPr>
              <w:t>Goodwill</w:t>
            </w:r>
          </w:p>
        </w:tc>
        <w:tc>
          <w:tcPr>
            <w:tcW w:w="6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1,299,454</w:t>
            </w:r>
          </w:p>
        </w:tc>
        <w:tc>
          <w:tcPr>
            <w:tcW w:w="6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1,299,454</w:t>
            </w:r>
          </w:p>
        </w:tc>
      </w:tr>
      <w:tr>
        <w:trPr>
          <w:trHeight w:val="219"/>
        </w:trPr>
        <w:tc>
          <w:tcPr>
            <w:tcW w:w="7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Intangible assets, net</w:t>
            </w:r>
          </w:p>
        </w:tc>
        <w:tc>
          <w:tcPr>
            <w:tcW w:w="62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11,356</w:t>
            </w:r>
          </w:p>
        </w:tc>
        <w:tc>
          <w:tcPr>
            <w:tcW w:w="680" w:type="dxa"/>
            <w:vAlign w:val="bottom"/>
            <w:shd w:val="clear" w:color="auto" w:fill="CEFFE7"/>
          </w:tcPr>
          <w:p>
            <w:pPr>
              <w:spacing w:after="0"/>
              <w:rPr>
                <w:sz w:val="19"/>
                <w:szCs w:val="19"/>
                <w:color w:val="auto"/>
              </w:rPr>
            </w:pPr>
          </w:p>
        </w:tc>
        <w:tc>
          <w:tcPr>
            <w:tcW w:w="13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11,944</w:t>
            </w:r>
          </w:p>
        </w:tc>
      </w:tr>
      <w:tr>
        <w:trPr>
          <w:trHeight w:val="213"/>
        </w:trPr>
        <w:tc>
          <w:tcPr>
            <w:tcW w:w="7100" w:type="dxa"/>
            <w:vAlign w:val="bottom"/>
          </w:tcPr>
          <w:p>
            <w:pPr>
              <w:ind w:left="160"/>
              <w:spacing w:after="0"/>
              <w:rPr>
                <w:sz w:val="20"/>
                <w:szCs w:val="20"/>
                <w:color w:val="auto"/>
              </w:rPr>
            </w:pPr>
            <w:r>
              <w:rPr>
                <w:rFonts w:ascii="Arial" w:cs="Arial" w:eastAsia="Arial" w:hAnsi="Arial"/>
                <w:sz w:val="16"/>
                <w:szCs w:val="16"/>
                <w:color w:val="auto"/>
              </w:rPr>
              <w:t>Regulatory assets, non-current</w:t>
            </w:r>
          </w:p>
        </w:tc>
        <w:tc>
          <w:tcPr>
            <w:tcW w:w="62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617,781</w:t>
            </w:r>
          </w:p>
        </w:tc>
        <w:tc>
          <w:tcPr>
            <w:tcW w:w="6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226,582</w:t>
            </w:r>
          </w:p>
        </w:tc>
      </w:tr>
      <w:tr>
        <w:trPr>
          <w:trHeight w:val="216"/>
        </w:trPr>
        <w:tc>
          <w:tcPr>
            <w:tcW w:w="7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Other assets, non-current</w:t>
            </w:r>
          </w:p>
        </w:tc>
        <w:tc>
          <w:tcPr>
            <w:tcW w:w="62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40,971</w:t>
            </w:r>
          </w:p>
        </w:tc>
        <w:tc>
          <w:tcPr>
            <w:tcW w:w="680" w:type="dxa"/>
            <w:vAlign w:val="bottom"/>
            <w:tcBorders>
              <w:bottom w:val="single" w:sz="8" w:color="auto"/>
            </w:tcBorders>
            <w:shd w:val="clear" w:color="auto" w:fill="CEFFE7"/>
          </w:tcPr>
          <w:p>
            <w:pPr>
              <w:spacing w:after="0"/>
              <w:rPr>
                <w:sz w:val="18"/>
                <w:szCs w:val="18"/>
                <w:color w:val="auto"/>
              </w:rPr>
            </w:pPr>
          </w:p>
        </w:tc>
        <w:tc>
          <w:tcPr>
            <w:tcW w:w="13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37,801</w:t>
            </w:r>
          </w:p>
        </w:tc>
      </w:tr>
      <w:tr>
        <w:trPr>
          <w:trHeight w:val="209"/>
        </w:trPr>
        <w:tc>
          <w:tcPr>
            <w:tcW w:w="7100" w:type="dxa"/>
            <w:vAlign w:val="bottom"/>
            <w:tcBorders>
              <w:bottom w:val="single" w:sz="8" w:color="CEFFE7"/>
            </w:tcBorders>
          </w:tcPr>
          <w:p>
            <w:pPr>
              <w:ind w:left="540"/>
              <w:spacing w:after="0"/>
              <w:rPr>
                <w:sz w:val="20"/>
                <w:szCs w:val="20"/>
                <w:color w:val="auto"/>
              </w:rPr>
            </w:pPr>
            <w:r>
              <w:rPr>
                <w:rFonts w:ascii="Arial" w:cs="Arial" w:eastAsia="Arial" w:hAnsi="Arial"/>
                <w:sz w:val="16"/>
                <w:szCs w:val="16"/>
                <w:color w:val="auto"/>
              </w:rPr>
              <w:t>Total other assets, non-current</w:t>
            </w:r>
          </w:p>
        </w:tc>
        <w:tc>
          <w:tcPr>
            <w:tcW w:w="6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1,969,562</w:t>
            </w:r>
          </w:p>
        </w:tc>
        <w:tc>
          <w:tcPr>
            <w:tcW w:w="6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1,575,781</w:t>
            </w:r>
          </w:p>
        </w:tc>
      </w:tr>
      <w:tr>
        <w:trPr>
          <w:trHeight w:val="240"/>
        </w:trPr>
        <w:tc>
          <w:tcPr>
            <w:tcW w:w="7100" w:type="dxa"/>
            <w:vAlign w:val="bottom"/>
            <w:shd w:val="clear" w:color="auto" w:fill="CEFFE7"/>
          </w:tcPr>
          <w:p>
            <w:pPr>
              <w:spacing w:after="0"/>
              <w:rPr>
                <w:sz w:val="20"/>
                <w:szCs w:val="20"/>
                <w:color w:val="auto"/>
              </w:rPr>
            </w:pPr>
          </w:p>
        </w:tc>
        <w:tc>
          <w:tcPr>
            <w:tcW w:w="620" w:type="dxa"/>
            <w:vAlign w:val="bottom"/>
            <w:shd w:val="clear" w:color="auto" w:fill="CEFFE7"/>
          </w:tcPr>
          <w:p>
            <w:pPr>
              <w:spacing w:after="0"/>
              <w:rPr>
                <w:sz w:val="20"/>
                <w:szCs w:val="20"/>
                <w:color w:val="auto"/>
              </w:rPr>
            </w:pPr>
          </w:p>
        </w:tc>
        <w:tc>
          <w:tcPr>
            <w:tcW w:w="1420" w:type="dxa"/>
            <w:vAlign w:val="bottom"/>
            <w:shd w:val="clear" w:color="auto" w:fill="CEFFE7"/>
          </w:tcPr>
          <w:p>
            <w:pPr>
              <w:spacing w:after="0"/>
              <w:rPr>
                <w:sz w:val="20"/>
                <w:szCs w:val="20"/>
                <w:color w:val="auto"/>
              </w:rPr>
            </w:pPr>
          </w:p>
        </w:tc>
        <w:tc>
          <w:tcPr>
            <w:tcW w:w="680" w:type="dxa"/>
            <w:vAlign w:val="bottom"/>
            <w:shd w:val="clear" w:color="auto" w:fill="CEFFE7"/>
          </w:tcPr>
          <w:p>
            <w:pPr>
              <w:spacing w:after="0"/>
              <w:rPr>
                <w:sz w:val="20"/>
                <w:szCs w:val="20"/>
                <w:color w:val="auto"/>
              </w:rPr>
            </w:pPr>
          </w:p>
        </w:tc>
        <w:tc>
          <w:tcPr>
            <w:tcW w:w="1360" w:type="dxa"/>
            <w:vAlign w:val="bottom"/>
            <w:shd w:val="clear" w:color="auto" w:fill="CEFFE7"/>
          </w:tcPr>
          <w:p>
            <w:pPr>
              <w:spacing w:after="0"/>
              <w:rPr>
                <w:sz w:val="20"/>
                <w:szCs w:val="20"/>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6"/>
                <w:szCs w:val="16"/>
                <w:color w:val="auto"/>
              </w:rPr>
              <w:t>TOTAL ASSETS</w:t>
            </w: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8,738,052</w:t>
            </w:r>
          </w:p>
        </w:tc>
        <w:tc>
          <w:tcPr>
            <w:tcW w:w="6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8,088,786</w:t>
            </w:r>
          </w:p>
        </w:tc>
      </w:tr>
      <w:tr>
        <w:trPr>
          <w:trHeight w:val="20"/>
        </w:trPr>
        <w:tc>
          <w:tcPr>
            <w:tcW w:w="7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ind w:right="-19"/>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13">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Condensed Consolidated Financial Statements.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 w:name="page11"/>
    <w:bookmarkEnd w:id="1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(Continued)</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100" w:type="dxa"/>
            <w:vAlign w:val="bottom"/>
          </w:tcPr>
          <w:p>
            <w:pPr>
              <w:spacing w:after="0"/>
              <w:rPr>
                <w:sz w:val="20"/>
                <w:szCs w:val="20"/>
                <w:color w:val="auto"/>
              </w:rPr>
            </w:pPr>
            <w:r>
              <w:rPr>
                <w:rFonts w:ascii="Arial" w:cs="Arial" w:eastAsia="Arial" w:hAnsi="Arial"/>
                <w:sz w:val="16"/>
                <w:szCs w:val="16"/>
                <w:color w:val="auto"/>
              </w:rPr>
              <w:t>(unaudited)</w:t>
            </w:r>
          </w:p>
        </w:tc>
        <w:tc>
          <w:tcPr>
            <w:tcW w:w="300" w:type="dxa"/>
            <w:vAlign w:val="bottom"/>
          </w:tcPr>
          <w:p>
            <w:pPr>
              <w:spacing w:after="0"/>
              <w:rPr>
                <w:sz w:val="16"/>
                <w:szCs w:val="16"/>
                <w:color w:val="auto"/>
              </w:rPr>
            </w:pP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As of</w:t>
            </w:r>
          </w:p>
        </w:tc>
        <w:tc>
          <w:tcPr>
            <w:tcW w:w="1780" w:type="dxa"/>
            <w:vAlign w:val="bottom"/>
          </w:tcPr>
          <w:p>
            <w:pPr>
              <w:spacing w:after="0"/>
              <w:rPr>
                <w:sz w:val="16"/>
                <w:szCs w:val="16"/>
                <w:color w:val="auto"/>
              </w:rPr>
            </w:pPr>
          </w:p>
        </w:tc>
      </w:tr>
      <w:tr>
        <w:trPr>
          <w:trHeight w:val="219"/>
        </w:trPr>
        <w:tc>
          <w:tcPr>
            <w:tcW w:w="7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June 30, 2021</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2020</w:t>
            </w:r>
          </w:p>
        </w:tc>
      </w:tr>
      <w:tr>
        <w:trPr>
          <w:trHeight w:val="207"/>
        </w:trPr>
        <w:tc>
          <w:tcPr>
            <w:tcW w:w="7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80" w:type="dxa"/>
            <w:vAlign w:val="bottom"/>
            <w:gridSpan w:val="3"/>
          </w:tcPr>
          <w:p>
            <w:pPr>
              <w:jc w:val="right"/>
              <w:ind w:right="599"/>
              <w:spacing w:after="0"/>
              <w:rPr>
                <w:sz w:val="20"/>
                <w:szCs w:val="20"/>
                <w:color w:val="auto"/>
              </w:rPr>
            </w:pPr>
            <w:r>
              <w:rPr>
                <w:rFonts w:ascii="Arial" w:cs="Arial" w:eastAsia="Arial" w:hAnsi="Arial"/>
                <w:sz w:val="16"/>
                <w:szCs w:val="16"/>
                <w:color w:val="auto"/>
              </w:rPr>
              <w:t>(in thousands, except share amounts)</w:t>
            </w:r>
          </w:p>
        </w:tc>
      </w:tr>
      <w:tr>
        <w:trPr>
          <w:trHeight w:val="216"/>
        </w:trPr>
        <w:tc>
          <w:tcPr>
            <w:tcW w:w="7100" w:type="dxa"/>
            <w:vAlign w:val="bottom"/>
          </w:tcPr>
          <w:p>
            <w:pPr>
              <w:ind w:left="2560"/>
              <w:spacing w:after="0"/>
              <w:rPr>
                <w:sz w:val="20"/>
                <w:szCs w:val="20"/>
                <w:color w:val="auto"/>
              </w:rPr>
            </w:pPr>
            <w:r>
              <w:rPr>
                <w:rFonts w:ascii="Arial" w:cs="Arial" w:eastAsia="Arial" w:hAnsi="Arial"/>
                <w:sz w:val="16"/>
                <w:szCs w:val="16"/>
                <w:b w:val="1"/>
                <w:bCs w:val="1"/>
                <w:color w:val="auto"/>
              </w:rPr>
              <w:t>LIABILITIES AND EQUITY</w:t>
            </w: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9"/>
        </w:trPr>
        <w:tc>
          <w:tcPr>
            <w:tcW w:w="7100" w:type="dxa"/>
            <w:vAlign w:val="bottom"/>
          </w:tcPr>
          <w:p>
            <w:pPr>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19"/>
        </w:trPr>
        <w:tc>
          <w:tcPr>
            <w:tcW w:w="7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133,354</w:t>
            </w:r>
          </w:p>
        </w:tc>
        <w:tc>
          <w:tcPr>
            <w:tcW w:w="28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183,340</w:t>
            </w:r>
          </w:p>
        </w:tc>
      </w:tr>
      <w:tr>
        <w:trPr>
          <w:trHeight w:val="213"/>
        </w:trPr>
        <w:tc>
          <w:tcPr>
            <w:tcW w:w="7100" w:type="dxa"/>
            <w:vAlign w:val="bottom"/>
          </w:tcPr>
          <w:p>
            <w:pPr>
              <w:ind w:left="160"/>
              <w:spacing w:after="0"/>
              <w:rPr>
                <w:sz w:val="20"/>
                <w:szCs w:val="20"/>
                <w:color w:val="auto"/>
              </w:rPr>
            </w:pPr>
            <w:r>
              <w:rPr>
                <w:rFonts w:ascii="Arial" w:cs="Arial" w:eastAsia="Arial" w:hAnsi="Arial"/>
                <w:sz w:val="16"/>
                <w:szCs w:val="16"/>
                <w:color w:val="auto"/>
              </w:rPr>
              <w:t>Accrued liabilities</w:t>
            </w:r>
          </w:p>
        </w:tc>
        <w:tc>
          <w:tcPr>
            <w:tcW w:w="30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219,022</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243,612</w:t>
            </w:r>
          </w:p>
        </w:tc>
      </w:tr>
      <w:tr>
        <w:trPr>
          <w:trHeight w:val="219"/>
        </w:trPr>
        <w:tc>
          <w:tcPr>
            <w:tcW w:w="7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Derivative liabilities, current</w:t>
            </w:r>
          </w:p>
        </w:tc>
        <w:tc>
          <w:tcPr>
            <w:tcW w:w="300" w:type="dxa"/>
            <w:vAlign w:val="bottom"/>
            <w:shd w:val="clear" w:color="auto" w:fill="CEFFE7"/>
          </w:tcPr>
          <w:p>
            <w:pPr>
              <w:spacing w:after="0"/>
              <w:rPr>
                <w:sz w:val="19"/>
                <w:szCs w:val="19"/>
                <w:color w:val="auto"/>
              </w:rPr>
            </w:pPr>
          </w:p>
        </w:tc>
        <w:tc>
          <w:tcPr>
            <w:tcW w:w="17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5,178</w:t>
            </w:r>
          </w:p>
        </w:tc>
        <w:tc>
          <w:tcPr>
            <w:tcW w:w="28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2,044</w:t>
            </w:r>
          </w:p>
        </w:tc>
      </w:tr>
      <w:tr>
        <w:trPr>
          <w:trHeight w:val="213"/>
        </w:trPr>
        <w:tc>
          <w:tcPr>
            <w:tcW w:w="7100" w:type="dxa"/>
            <w:vAlign w:val="bottom"/>
          </w:tcPr>
          <w:p>
            <w:pPr>
              <w:ind w:left="160"/>
              <w:spacing w:after="0"/>
              <w:rPr>
                <w:sz w:val="20"/>
                <w:szCs w:val="20"/>
                <w:color w:val="auto"/>
              </w:rPr>
            </w:pPr>
            <w:r>
              <w:rPr>
                <w:rFonts w:ascii="Arial" w:cs="Arial" w:eastAsia="Arial" w:hAnsi="Arial"/>
                <w:sz w:val="16"/>
                <w:szCs w:val="16"/>
                <w:color w:val="auto"/>
              </w:rPr>
              <w:t>Regulatory liabilities, current</w:t>
            </w:r>
          </w:p>
        </w:tc>
        <w:tc>
          <w:tcPr>
            <w:tcW w:w="30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36,124</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25,061</w:t>
            </w:r>
          </w:p>
        </w:tc>
      </w:tr>
      <w:tr>
        <w:trPr>
          <w:trHeight w:val="219"/>
        </w:trPr>
        <w:tc>
          <w:tcPr>
            <w:tcW w:w="7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Notes payable</w:t>
            </w:r>
          </w:p>
        </w:tc>
        <w:tc>
          <w:tcPr>
            <w:tcW w:w="300" w:type="dxa"/>
            <w:vAlign w:val="bottom"/>
            <w:shd w:val="clear" w:color="auto" w:fill="CEFFE7"/>
          </w:tcPr>
          <w:p>
            <w:pPr>
              <w:spacing w:after="0"/>
              <w:rPr>
                <w:sz w:val="19"/>
                <w:szCs w:val="19"/>
                <w:color w:val="auto"/>
              </w:rPr>
            </w:pPr>
          </w:p>
        </w:tc>
        <w:tc>
          <w:tcPr>
            <w:tcW w:w="17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829,850</w:t>
            </w:r>
          </w:p>
        </w:tc>
        <w:tc>
          <w:tcPr>
            <w:tcW w:w="28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234,040</w:t>
            </w:r>
          </w:p>
        </w:tc>
      </w:tr>
      <w:tr>
        <w:trPr>
          <w:trHeight w:val="213"/>
        </w:trPr>
        <w:tc>
          <w:tcPr>
            <w:tcW w:w="7100" w:type="dxa"/>
            <w:vAlign w:val="bottom"/>
            <w:tcBorders>
              <w:bottom w:val="single" w:sz="8" w:color="CEFFE7"/>
            </w:tcBorders>
          </w:tcPr>
          <w:p>
            <w:pPr>
              <w:ind w:left="160"/>
              <w:spacing w:after="0"/>
              <w:rPr>
                <w:sz w:val="20"/>
                <w:szCs w:val="20"/>
                <w:color w:val="auto"/>
              </w:rPr>
            </w:pPr>
            <w:r>
              <w:rPr>
                <w:rFonts w:ascii="Arial" w:cs="Arial" w:eastAsia="Arial" w:hAnsi="Arial"/>
                <w:sz w:val="16"/>
                <w:szCs w:val="16"/>
                <w:color w:val="auto"/>
              </w:rPr>
              <w:t>Current maturities of long-term debt</w:t>
            </w: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7,000</w:t>
            </w: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8,436</w:t>
            </w:r>
          </w:p>
        </w:tc>
      </w:tr>
      <w:tr>
        <w:trPr>
          <w:trHeight w:val="209"/>
        </w:trPr>
        <w:tc>
          <w:tcPr>
            <w:tcW w:w="7100" w:type="dxa"/>
            <w:vAlign w:val="bottom"/>
            <w:shd w:val="clear" w:color="auto" w:fill="CEFFE7"/>
          </w:tcPr>
          <w:p>
            <w:pPr>
              <w:ind w:left="54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auto"/>
            </w:tcBorders>
            <w:shd w:val="clear" w:color="auto" w:fill="CEFFE7"/>
          </w:tcPr>
          <w:p>
            <w:pPr>
              <w:spacing w:after="0"/>
              <w:rPr>
                <w:sz w:val="18"/>
                <w:szCs w:val="18"/>
                <w:color w:val="auto"/>
              </w:rPr>
            </w:pPr>
          </w:p>
        </w:tc>
        <w:tc>
          <w:tcPr>
            <w:tcW w:w="17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1,230,528</w:t>
            </w:r>
          </w:p>
        </w:tc>
        <w:tc>
          <w:tcPr>
            <w:tcW w:w="280" w:type="dxa"/>
            <w:vAlign w:val="bottom"/>
            <w:tcBorders>
              <w:bottom w:val="single" w:sz="8" w:color="auto"/>
            </w:tcBorders>
            <w:shd w:val="clear" w:color="auto" w:fill="CEFFE7"/>
          </w:tcPr>
          <w:p>
            <w:pPr>
              <w:spacing w:after="0"/>
              <w:rPr>
                <w:sz w:val="18"/>
                <w:szCs w:val="18"/>
                <w:color w:val="auto"/>
              </w:rPr>
            </w:pPr>
          </w:p>
        </w:tc>
        <w:tc>
          <w:tcPr>
            <w:tcW w:w="1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696,533</w:t>
            </w:r>
          </w:p>
        </w:tc>
      </w:tr>
      <w:tr>
        <w:trPr>
          <w:trHeight w:val="240"/>
        </w:trPr>
        <w:tc>
          <w:tcPr>
            <w:tcW w:w="7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13"/>
        </w:trPr>
        <w:tc>
          <w:tcPr>
            <w:tcW w:w="7100" w:type="dxa"/>
            <w:vAlign w:val="bottom"/>
            <w:shd w:val="clear" w:color="auto" w:fill="CEFFE7"/>
          </w:tcPr>
          <w:p>
            <w:pPr>
              <w:spacing w:after="0"/>
              <w:rPr>
                <w:sz w:val="20"/>
                <w:szCs w:val="20"/>
                <w:color w:val="auto"/>
              </w:rPr>
            </w:pPr>
            <w:r>
              <w:rPr>
                <w:rFonts w:ascii="Arial" w:cs="Arial" w:eastAsia="Arial" w:hAnsi="Arial"/>
                <w:sz w:val="16"/>
                <w:szCs w:val="16"/>
                <w:color w:val="auto"/>
              </w:rPr>
              <w:t>Long-term debt, net of current maturities</w:t>
            </w:r>
          </w:p>
        </w:tc>
        <w:tc>
          <w:tcPr>
            <w:tcW w:w="300" w:type="dxa"/>
            <w:vAlign w:val="bottom"/>
            <w:tcBorders>
              <w:bottom w:val="single" w:sz="8" w:color="auto"/>
            </w:tcBorders>
            <w:shd w:val="clear" w:color="auto" w:fill="CEFFE7"/>
          </w:tcPr>
          <w:p>
            <w:pPr>
              <w:spacing w:after="0"/>
              <w:rPr>
                <w:sz w:val="18"/>
                <w:szCs w:val="18"/>
                <w:color w:val="auto"/>
              </w:rPr>
            </w:pPr>
          </w:p>
        </w:tc>
        <w:tc>
          <w:tcPr>
            <w:tcW w:w="17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3,530,216</w:t>
            </w:r>
          </w:p>
        </w:tc>
        <w:tc>
          <w:tcPr>
            <w:tcW w:w="280" w:type="dxa"/>
            <w:vAlign w:val="bottom"/>
            <w:tcBorders>
              <w:bottom w:val="single" w:sz="8" w:color="auto"/>
            </w:tcBorders>
            <w:shd w:val="clear" w:color="auto" w:fill="CEFFE7"/>
          </w:tcPr>
          <w:p>
            <w:pPr>
              <w:spacing w:after="0"/>
              <w:rPr>
                <w:sz w:val="18"/>
                <w:szCs w:val="18"/>
                <w:color w:val="auto"/>
              </w:rPr>
            </w:pPr>
          </w:p>
        </w:tc>
        <w:tc>
          <w:tcPr>
            <w:tcW w:w="1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3,528,100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10628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credits and other liabilities: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Deferred income tax liabilities, net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Regulatory liabilities, non-current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Benefit plan liabilities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 deferred credits and other liabilities</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Total deferred credits and other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600" w:type="dxa"/>
            <w:vAlign w:val="bottom"/>
          </w:tcPr>
          <w:p>
            <w:pPr>
              <w:jc w:val="right"/>
              <w:ind w:right="599"/>
              <w:spacing w:after="0"/>
              <w:rPr>
                <w:sz w:val="20"/>
                <w:szCs w:val="20"/>
                <w:color w:val="auto"/>
              </w:rPr>
            </w:pPr>
            <w:r>
              <w:rPr>
                <w:rFonts w:ascii="Arial" w:cs="Arial" w:eastAsia="Arial" w:hAnsi="Arial"/>
                <w:sz w:val="16"/>
                <w:szCs w:val="16"/>
                <w:color w:val="auto"/>
              </w:rPr>
              <w:t>436,495</w:t>
            </w:r>
          </w:p>
        </w:tc>
        <w:tc>
          <w:tcPr>
            <w:tcW w:w="1480" w:type="dxa"/>
            <w:vAlign w:val="bottom"/>
          </w:tcPr>
          <w:p>
            <w:pPr>
              <w:jc w:val="right"/>
              <w:spacing w:after="0"/>
              <w:rPr>
                <w:sz w:val="20"/>
                <w:szCs w:val="20"/>
                <w:color w:val="auto"/>
              </w:rPr>
            </w:pPr>
            <w:r>
              <w:rPr>
                <w:rFonts w:ascii="Arial" w:cs="Arial" w:eastAsia="Arial" w:hAnsi="Arial"/>
                <w:sz w:val="16"/>
                <w:szCs w:val="16"/>
                <w:color w:val="auto"/>
              </w:rPr>
              <w:t>408,624</w:t>
            </w:r>
          </w:p>
        </w:tc>
      </w:tr>
      <w:tr>
        <w:trPr>
          <w:trHeight w:val="216"/>
        </w:trPr>
        <w:tc>
          <w:tcPr>
            <w:tcW w:w="2600" w:type="dxa"/>
            <w:vAlign w:val="bottom"/>
          </w:tcPr>
          <w:p>
            <w:pPr>
              <w:jc w:val="right"/>
              <w:ind w:right="599"/>
              <w:spacing w:after="0"/>
              <w:rPr>
                <w:sz w:val="20"/>
                <w:szCs w:val="20"/>
                <w:color w:val="auto"/>
              </w:rPr>
            </w:pPr>
            <w:r>
              <w:rPr>
                <w:rFonts w:ascii="Arial" w:cs="Arial" w:eastAsia="Arial" w:hAnsi="Arial"/>
                <w:sz w:val="16"/>
                <w:szCs w:val="16"/>
                <w:color w:val="auto"/>
              </w:rPr>
              <w:t>497,608</w:t>
            </w:r>
          </w:p>
        </w:tc>
        <w:tc>
          <w:tcPr>
            <w:tcW w:w="1480" w:type="dxa"/>
            <w:vAlign w:val="bottom"/>
          </w:tcPr>
          <w:p>
            <w:pPr>
              <w:jc w:val="right"/>
              <w:spacing w:after="0"/>
              <w:rPr>
                <w:sz w:val="20"/>
                <w:szCs w:val="20"/>
                <w:color w:val="auto"/>
              </w:rPr>
            </w:pPr>
            <w:r>
              <w:rPr>
                <w:rFonts w:ascii="Arial" w:cs="Arial" w:eastAsia="Arial" w:hAnsi="Arial"/>
                <w:sz w:val="16"/>
                <w:szCs w:val="16"/>
                <w:color w:val="auto"/>
              </w:rPr>
              <w:t>507,659</w:t>
            </w:r>
          </w:p>
        </w:tc>
      </w:tr>
      <w:tr>
        <w:trPr>
          <w:trHeight w:val="216"/>
        </w:trPr>
        <w:tc>
          <w:tcPr>
            <w:tcW w:w="2600" w:type="dxa"/>
            <w:vAlign w:val="bottom"/>
          </w:tcPr>
          <w:p>
            <w:pPr>
              <w:jc w:val="right"/>
              <w:ind w:right="599"/>
              <w:spacing w:after="0"/>
              <w:rPr>
                <w:sz w:val="20"/>
                <w:szCs w:val="20"/>
                <w:color w:val="auto"/>
              </w:rPr>
            </w:pPr>
            <w:r>
              <w:rPr>
                <w:rFonts w:ascii="Arial" w:cs="Arial" w:eastAsia="Arial" w:hAnsi="Arial"/>
                <w:sz w:val="16"/>
                <w:szCs w:val="16"/>
                <w:color w:val="auto"/>
              </w:rPr>
              <w:t>151,290</w:t>
            </w:r>
          </w:p>
        </w:tc>
        <w:tc>
          <w:tcPr>
            <w:tcW w:w="1480" w:type="dxa"/>
            <w:vAlign w:val="bottom"/>
          </w:tcPr>
          <w:p>
            <w:pPr>
              <w:jc w:val="right"/>
              <w:spacing w:after="0"/>
              <w:rPr>
                <w:sz w:val="20"/>
                <w:szCs w:val="20"/>
                <w:color w:val="auto"/>
              </w:rPr>
            </w:pPr>
            <w:r>
              <w:rPr>
                <w:rFonts w:ascii="Arial" w:cs="Arial" w:eastAsia="Arial" w:hAnsi="Arial"/>
                <w:sz w:val="16"/>
                <w:szCs w:val="16"/>
                <w:color w:val="auto"/>
              </w:rPr>
              <w:t>150,556</w:t>
            </w:r>
          </w:p>
        </w:tc>
      </w:tr>
      <w:tr>
        <w:trPr>
          <w:trHeight w:val="219"/>
        </w:trPr>
        <w:tc>
          <w:tcPr>
            <w:tcW w:w="26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133,021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134,667</w:t>
            </w:r>
          </w:p>
        </w:tc>
      </w:tr>
      <w:tr>
        <w:trPr>
          <w:trHeight w:val="209"/>
        </w:trPr>
        <w:tc>
          <w:tcPr>
            <w:tcW w:w="26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1,218,414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1,201,506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-4511040</wp:posOffset>
            </wp:positionH>
            <wp:positionV relativeFrom="paragraph">
              <wp:posOffset>-565150</wp:posOffset>
            </wp:positionV>
            <wp:extent cx="710628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-4511040</wp:posOffset>
            </wp:positionH>
            <wp:positionV relativeFrom="paragraph">
              <wp:posOffset>-290830</wp:posOffset>
            </wp:positionV>
            <wp:extent cx="710628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-4511040</wp:posOffset>
            </wp:positionH>
            <wp:positionV relativeFrom="paragraph">
              <wp:posOffset>-7620</wp:posOffset>
            </wp:positionV>
            <wp:extent cx="710628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20" w:space="720"/>
            <w:col w:w="4080"/>
          </w:cols>
          <w:pgMar w:left="320" w:top="121" w:right="359" w:bottom="1440" w:gutter="0" w:footer="0" w:header="0"/>
          <w:type w:val="continuous"/>
        </w:sectPr>
      </w:pPr>
    </w:p>
    <w:p>
      <w:pPr>
        <w:spacing w:after="0" w:line="58" w:lineRule="exact"/>
        <w:rPr>
          <w:sz w:val="20"/>
          <w:szCs w:val="20"/>
          <w:color w:val="auto"/>
        </w:rPr>
      </w:pPr>
    </w:p>
    <w:p>
      <w:pPr>
        <w:ind w:left="40"/>
        <w:spacing w:after="0"/>
        <w:rPr>
          <w:rFonts w:ascii="Arial" w:cs="Arial" w:eastAsia="Arial" w:hAnsi="Arial"/>
          <w:sz w:val="16"/>
          <w:szCs w:val="16"/>
          <w:color w:val="auto"/>
        </w:rPr>
      </w:pPr>
      <w:r>
        <w:rPr>
          <w:rFonts w:ascii="Arial" w:cs="Arial" w:eastAsia="Arial" w:hAnsi="Arial"/>
          <w:sz w:val="16"/>
          <w:szCs w:val="16"/>
          <w:color w:val="auto"/>
        </w:rPr>
        <w:t>Commitments, contingencies and guarantees (</w:t>
      </w:r>
      <w:hyperlink w:anchor="page17">
        <w:r>
          <w:rPr>
            <w:rFonts w:ascii="Arial" w:cs="Arial" w:eastAsia="Arial" w:hAnsi="Arial"/>
            <w:sz w:val="16"/>
            <w:szCs w:val="16"/>
            <w:u w:val="single" w:color="auto"/>
            <w:color w:val="0000FF"/>
          </w:rPr>
          <w:t>Note 3</w:t>
        </w:r>
      </w:hyperlink>
      <w:r>
        <w:rPr>
          <w:rFonts w:ascii="Arial" w:cs="Arial" w:eastAsia="Arial" w:hAnsi="Arial"/>
          <w:sz w:val="16"/>
          <w:szCs w:val="16"/>
          <w:color w:val="auto"/>
        </w:rPr>
        <w:t>)</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7100" w:type="dxa"/>
            <w:vAlign w:val="bottom"/>
            <w:shd w:val="clear" w:color="auto" w:fill="CEFFE7"/>
          </w:tcPr>
          <w:p>
            <w:pPr>
              <w:spacing w:after="0"/>
              <w:rPr>
                <w:sz w:val="21"/>
                <w:szCs w:val="21"/>
                <w:color w:val="auto"/>
              </w:rPr>
            </w:pPr>
          </w:p>
        </w:tc>
        <w:tc>
          <w:tcPr>
            <w:tcW w:w="660" w:type="dxa"/>
            <w:vAlign w:val="bottom"/>
            <w:shd w:val="clear" w:color="auto" w:fill="CEFFE7"/>
          </w:tcPr>
          <w:p>
            <w:pPr>
              <w:spacing w:after="0"/>
              <w:rPr>
                <w:sz w:val="21"/>
                <w:szCs w:val="21"/>
                <w:color w:val="auto"/>
              </w:rPr>
            </w:pPr>
          </w:p>
        </w:tc>
        <w:tc>
          <w:tcPr>
            <w:tcW w:w="1380" w:type="dxa"/>
            <w:vAlign w:val="bottom"/>
            <w:shd w:val="clear" w:color="auto" w:fill="CEFFE7"/>
          </w:tcPr>
          <w:p>
            <w:pPr>
              <w:spacing w:after="0"/>
              <w:rPr>
                <w:sz w:val="21"/>
                <w:szCs w:val="21"/>
                <w:color w:val="auto"/>
              </w:rPr>
            </w:pPr>
          </w:p>
        </w:tc>
        <w:tc>
          <w:tcPr>
            <w:tcW w:w="700" w:type="dxa"/>
            <w:vAlign w:val="bottom"/>
            <w:shd w:val="clear" w:color="auto" w:fill="CEFFE7"/>
          </w:tcPr>
          <w:p>
            <w:pPr>
              <w:spacing w:after="0"/>
              <w:rPr>
                <w:sz w:val="21"/>
                <w:szCs w:val="21"/>
                <w:color w:val="auto"/>
              </w:rPr>
            </w:pPr>
          </w:p>
        </w:tc>
        <w:tc>
          <w:tcPr>
            <w:tcW w:w="1340" w:type="dxa"/>
            <w:vAlign w:val="bottom"/>
            <w:shd w:val="clear" w:color="auto" w:fill="CEFFE7"/>
          </w:tcPr>
          <w:p>
            <w:pPr>
              <w:spacing w:after="0"/>
              <w:rPr>
                <w:sz w:val="21"/>
                <w:szCs w:val="21"/>
                <w:color w:val="auto"/>
              </w:rPr>
            </w:pPr>
          </w:p>
        </w:tc>
      </w:tr>
      <w:tr>
        <w:trPr>
          <w:trHeight w:val="213"/>
        </w:trPr>
        <w:tc>
          <w:tcPr>
            <w:tcW w:w="7100" w:type="dxa"/>
            <w:vAlign w:val="bottom"/>
          </w:tcPr>
          <w:p>
            <w:pPr>
              <w:spacing w:after="0"/>
              <w:rPr>
                <w:sz w:val="20"/>
                <w:szCs w:val="20"/>
                <w:color w:val="auto"/>
              </w:rPr>
            </w:pPr>
            <w:r>
              <w:rPr>
                <w:rFonts w:ascii="Arial" w:cs="Arial" w:eastAsia="Arial" w:hAnsi="Arial"/>
                <w:sz w:val="16"/>
                <w:szCs w:val="16"/>
                <w:color w:val="auto"/>
              </w:rPr>
              <w:t>Equity:</w:t>
            </w: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7100" w:type="dxa"/>
            <w:vAlign w:val="bottom"/>
            <w:shd w:val="clear" w:color="auto" w:fill="CEFFE7"/>
          </w:tcPr>
          <w:p>
            <w:pPr>
              <w:ind w:left="160"/>
              <w:spacing w:after="0"/>
              <w:rPr>
                <w:sz w:val="20"/>
                <w:szCs w:val="20"/>
                <w:color w:val="auto"/>
              </w:rPr>
            </w:pPr>
            <w:r>
              <w:rPr>
                <w:rFonts w:ascii="Arial" w:cs="Arial" w:eastAsia="Arial" w:hAnsi="Arial"/>
                <w:sz w:val="16"/>
                <w:szCs w:val="16"/>
                <w:color w:val="auto"/>
              </w:rPr>
              <w:t>Stockholders’ equity —</w:t>
            </w:r>
          </w:p>
        </w:tc>
        <w:tc>
          <w:tcPr>
            <w:tcW w:w="660" w:type="dxa"/>
            <w:vAlign w:val="bottom"/>
            <w:shd w:val="clear" w:color="auto" w:fill="CEFFE7"/>
          </w:tcPr>
          <w:p>
            <w:pPr>
              <w:spacing w:after="0"/>
              <w:rPr>
                <w:sz w:val="19"/>
                <w:szCs w:val="19"/>
                <w:color w:val="auto"/>
              </w:rPr>
            </w:pPr>
          </w:p>
        </w:tc>
        <w:tc>
          <w:tcPr>
            <w:tcW w:w="1380" w:type="dxa"/>
            <w:vAlign w:val="bottom"/>
            <w:shd w:val="clear" w:color="auto" w:fill="CEFFE7"/>
          </w:tcPr>
          <w:p>
            <w:pPr>
              <w:spacing w:after="0"/>
              <w:rPr>
                <w:sz w:val="19"/>
                <w:szCs w:val="19"/>
                <w:color w:val="auto"/>
              </w:rPr>
            </w:pPr>
          </w:p>
        </w:tc>
        <w:tc>
          <w:tcPr>
            <w:tcW w:w="700" w:type="dxa"/>
            <w:vAlign w:val="bottom"/>
            <w:shd w:val="clear" w:color="auto" w:fill="CEFFE7"/>
          </w:tcPr>
          <w:p>
            <w:pPr>
              <w:spacing w:after="0"/>
              <w:rPr>
                <w:sz w:val="19"/>
                <w:szCs w:val="19"/>
                <w:color w:val="auto"/>
              </w:rPr>
            </w:pPr>
          </w:p>
        </w:tc>
        <w:tc>
          <w:tcPr>
            <w:tcW w:w="1340" w:type="dxa"/>
            <w:vAlign w:val="bottom"/>
            <w:shd w:val="clear" w:color="auto" w:fill="CEFFE7"/>
          </w:tcPr>
          <w:p>
            <w:pPr>
              <w:spacing w:after="0"/>
              <w:rPr>
                <w:sz w:val="19"/>
                <w:szCs w:val="19"/>
                <w:color w:val="auto"/>
              </w:rPr>
            </w:pPr>
          </w:p>
        </w:tc>
      </w:tr>
      <w:tr>
        <w:trPr>
          <w:trHeight w:val="177"/>
        </w:trPr>
        <w:tc>
          <w:tcPr>
            <w:tcW w:w="7100" w:type="dxa"/>
            <w:vAlign w:val="bottom"/>
          </w:tcPr>
          <w:p>
            <w:pPr>
              <w:ind w:left="200"/>
              <w:spacing w:after="0" w:line="178" w:lineRule="exact"/>
              <w:rPr>
                <w:sz w:val="20"/>
                <w:szCs w:val="20"/>
                <w:color w:val="auto"/>
              </w:rPr>
            </w:pPr>
            <w:r>
              <w:rPr>
                <w:rFonts w:ascii="Arial" w:cs="Arial" w:eastAsia="Arial" w:hAnsi="Arial"/>
                <w:sz w:val="16"/>
                <w:szCs w:val="16"/>
                <w:color w:val="auto"/>
              </w:rPr>
              <w:t>Common stock $1 par value; 100,000,000 shares authorized; issued 63,526,913 and</w:t>
            </w:r>
          </w:p>
        </w:tc>
        <w:tc>
          <w:tcPr>
            <w:tcW w:w="6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98"/>
        </w:trPr>
        <w:tc>
          <w:tcPr>
            <w:tcW w:w="7100" w:type="dxa"/>
            <w:vAlign w:val="bottom"/>
          </w:tcPr>
          <w:p>
            <w:pPr>
              <w:ind w:left="200"/>
              <w:spacing w:after="0"/>
              <w:rPr>
                <w:sz w:val="20"/>
                <w:szCs w:val="20"/>
                <w:color w:val="auto"/>
              </w:rPr>
            </w:pPr>
            <w:r>
              <w:rPr>
                <w:rFonts w:ascii="Arial" w:cs="Arial" w:eastAsia="Arial" w:hAnsi="Arial"/>
                <w:sz w:val="16"/>
                <w:szCs w:val="16"/>
                <w:color w:val="auto"/>
              </w:rPr>
              <w:t>62,827,179 shares, respectively</w:t>
            </w:r>
          </w:p>
        </w:tc>
        <w:tc>
          <w:tcPr>
            <w:tcW w:w="66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63,527</w:t>
            </w:r>
          </w:p>
        </w:tc>
        <w:tc>
          <w:tcPr>
            <w:tcW w:w="7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62,827</w:t>
            </w:r>
          </w:p>
        </w:tc>
      </w:tr>
      <w:tr>
        <w:trPr>
          <w:trHeight w:val="219"/>
        </w:trPr>
        <w:tc>
          <w:tcPr>
            <w:tcW w:w="7100" w:type="dxa"/>
            <w:vAlign w:val="bottom"/>
            <w:shd w:val="clear" w:color="auto" w:fill="CEFFE7"/>
          </w:tcPr>
          <w:p>
            <w:pPr>
              <w:ind w:left="200"/>
              <w:spacing w:after="0"/>
              <w:rPr>
                <w:sz w:val="20"/>
                <w:szCs w:val="20"/>
                <w:color w:val="auto"/>
              </w:rPr>
            </w:pPr>
            <w:r>
              <w:rPr>
                <w:rFonts w:ascii="Arial" w:cs="Arial" w:eastAsia="Arial" w:hAnsi="Arial"/>
                <w:sz w:val="16"/>
                <w:szCs w:val="16"/>
                <w:color w:val="auto"/>
              </w:rPr>
              <w:t>Additional paid-in capital</w:t>
            </w:r>
          </w:p>
        </w:tc>
        <w:tc>
          <w:tcPr>
            <w:tcW w:w="660" w:type="dxa"/>
            <w:vAlign w:val="bottom"/>
            <w:shd w:val="clear" w:color="auto" w:fill="CEFFE7"/>
          </w:tcPr>
          <w:p>
            <w:pPr>
              <w:spacing w:after="0"/>
              <w:rPr>
                <w:sz w:val="19"/>
                <w:szCs w:val="19"/>
                <w:color w:val="auto"/>
              </w:rPr>
            </w:pPr>
          </w:p>
        </w:tc>
        <w:tc>
          <w:tcPr>
            <w:tcW w:w="138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1,701,825</w:t>
            </w:r>
          </w:p>
        </w:tc>
        <w:tc>
          <w:tcPr>
            <w:tcW w:w="700" w:type="dxa"/>
            <w:vAlign w:val="bottom"/>
            <w:shd w:val="clear" w:color="auto" w:fill="CEFFE7"/>
          </w:tcPr>
          <w:p>
            <w:pPr>
              <w:spacing w:after="0"/>
              <w:rPr>
                <w:sz w:val="19"/>
                <w:szCs w:val="19"/>
                <w:color w:val="auto"/>
              </w:rPr>
            </w:pP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1,657,285</w:t>
            </w:r>
          </w:p>
        </w:tc>
      </w:tr>
      <w:tr>
        <w:trPr>
          <w:trHeight w:val="213"/>
        </w:trPr>
        <w:tc>
          <w:tcPr>
            <w:tcW w:w="710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66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921,122</w:t>
            </w:r>
          </w:p>
        </w:tc>
        <w:tc>
          <w:tcPr>
            <w:tcW w:w="7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870,738</w:t>
            </w:r>
          </w:p>
        </w:tc>
      </w:tr>
      <w:tr>
        <w:trPr>
          <w:trHeight w:val="219"/>
        </w:trPr>
        <w:tc>
          <w:tcPr>
            <w:tcW w:w="7100" w:type="dxa"/>
            <w:vAlign w:val="bottom"/>
            <w:shd w:val="clear" w:color="auto" w:fill="CEFFE7"/>
          </w:tcPr>
          <w:p>
            <w:pPr>
              <w:ind w:left="200"/>
              <w:spacing w:after="0"/>
              <w:rPr>
                <w:sz w:val="20"/>
                <w:szCs w:val="20"/>
                <w:color w:val="auto"/>
              </w:rPr>
            </w:pPr>
            <w:r>
              <w:rPr>
                <w:rFonts w:ascii="Arial" w:cs="Arial" w:eastAsia="Arial" w:hAnsi="Arial"/>
                <w:sz w:val="16"/>
                <w:szCs w:val="16"/>
                <w:color w:val="auto"/>
              </w:rPr>
              <w:t>Treasury stock, at cost – 46,528 and 32,492 shares, respectively</w:t>
            </w:r>
          </w:p>
        </w:tc>
        <w:tc>
          <w:tcPr>
            <w:tcW w:w="660" w:type="dxa"/>
            <w:vAlign w:val="bottom"/>
            <w:shd w:val="clear" w:color="auto" w:fill="CEFFE7"/>
          </w:tcPr>
          <w:p>
            <w:pPr>
              <w:spacing w:after="0"/>
              <w:rPr>
                <w:sz w:val="19"/>
                <w:szCs w:val="19"/>
                <w:color w:val="auto"/>
              </w:rPr>
            </w:pPr>
          </w:p>
        </w:tc>
        <w:tc>
          <w:tcPr>
            <w:tcW w:w="13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(2,988)</w:t>
            </w:r>
          </w:p>
        </w:tc>
        <w:tc>
          <w:tcPr>
            <w:tcW w:w="700" w:type="dxa"/>
            <w:vAlign w:val="bottom"/>
            <w:shd w:val="clear" w:color="auto" w:fill="CEFFE7"/>
          </w:tcPr>
          <w:p>
            <w:pPr>
              <w:spacing w:after="0"/>
              <w:rPr>
                <w:sz w:val="19"/>
                <w:szCs w:val="19"/>
                <w:color w:val="auto"/>
              </w:rPr>
            </w:pP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(2,119)</w:t>
            </w:r>
          </w:p>
        </w:tc>
      </w:tr>
      <w:tr>
        <w:trPr>
          <w:trHeight w:val="213"/>
        </w:trPr>
        <w:tc>
          <w:tcPr>
            <w:tcW w:w="7100" w:type="dxa"/>
            <w:vAlign w:val="bottom"/>
            <w:tcBorders>
              <w:bottom w:val="single" w:sz="8" w:color="CEFFE7"/>
            </w:tcBorders>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6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(24,446)</w:t>
            </w:r>
          </w:p>
        </w:tc>
        <w:tc>
          <w:tcPr>
            <w:tcW w:w="7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(27,346)</w:t>
            </w:r>
          </w:p>
        </w:tc>
      </w:tr>
      <w:tr>
        <w:trPr>
          <w:trHeight w:val="212"/>
        </w:trPr>
        <w:tc>
          <w:tcPr>
            <w:tcW w:w="7100" w:type="dxa"/>
            <w:vAlign w:val="bottom"/>
            <w:shd w:val="clear" w:color="auto" w:fill="CEFFE7"/>
          </w:tcPr>
          <w:p>
            <w:pPr>
              <w:ind w:left="580"/>
              <w:spacing w:after="0"/>
              <w:rPr>
                <w:sz w:val="20"/>
                <w:szCs w:val="20"/>
                <w:color w:val="auto"/>
              </w:rPr>
            </w:pPr>
            <w:r>
              <w:rPr>
                <w:rFonts w:ascii="Arial" w:cs="Arial" w:eastAsia="Arial" w:hAnsi="Arial"/>
                <w:sz w:val="16"/>
                <w:szCs w:val="16"/>
                <w:color w:val="auto"/>
              </w:rPr>
              <w:t>Total stockholders’ equity</w:t>
            </w:r>
          </w:p>
        </w:tc>
        <w:tc>
          <w:tcPr>
            <w:tcW w:w="660" w:type="dxa"/>
            <w:vAlign w:val="bottom"/>
            <w:shd w:val="clear" w:color="auto" w:fill="CEFFE7"/>
          </w:tcPr>
          <w:p>
            <w:pPr>
              <w:spacing w:after="0"/>
              <w:rPr>
                <w:sz w:val="18"/>
                <w:szCs w:val="18"/>
                <w:color w:val="auto"/>
              </w:rPr>
            </w:pPr>
          </w:p>
        </w:tc>
        <w:tc>
          <w:tcPr>
            <w:tcW w:w="138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2,659,040</w:t>
            </w:r>
          </w:p>
        </w:tc>
        <w:tc>
          <w:tcPr>
            <w:tcW w:w="700" w:type="dxa"/>
            <w:vAlign w:val="bottom"/>
            <w:shd w:val="clear" w:color="auto" w:fill="CEFFE7"/>
          </w:tcPr>
          <w:p>
            <w:pPr>
              <w:spacing w:after="0"/>
              <w:rPr>
                <w:sz w:val="18"/>
                <w:szCs w:val="18"/>
                <w:color w:val="auto"/>
              </w:rPr>
            </w:pP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2,561,385</w:t>
            </w:r>
          </w:p>
        </w:tc>
      </w:tr>
      <w:tr>
        <w:trPr>
          <w:trHeight w:val="213"/>
        </w:trPr>
        <w:tc>
          <w:tcPr>
            <w:tcW w:w="7100" w:type="dxa"/>
            <w:vAlign w:val="bottom"/>
            <w:tcBorders>
              <w:bottom w:val="single" w:sz="8" w:color="CEFFE7"/>
            </w:tcBorders>
          </w:tcPr>
          <w:p>
            <w:pPr>
              <w:ind w:left="160"/>
              <w:spacing w:after="0"/>
              <w:rPr>
                <w:sz w:val="20"/>
                <w:szCs w:val="20"/>
                <w:color w:val="auto"/>
              </w:rPr>
            </w:pPr>
            <w:r>
              <w:rPr>
                <w:rFonts w:ascii="Arial" w:cs="Arial" w:eastAsia="Arial" w:hAnsi="Arial"/>
                <w:sz w:val="16"/>
                <w:szCs w:val="16"/>
                <w:color w:val="auto"/>
              </w:rPr>
              <w:t>Noncontrolling interest</w:t>
            </w:r>
          </w:p>
        </w:tc>
        <w:tc>
          <w:tcPr>
            <w:tcW w:w="6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99,854</w:t>
            </w:r>
          </w:p>
        </w:tc>
        <w:tc>
          <w:tcPr>
            <w:tcW w:w="7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101,262</w:t>
            </w:r>
          </w:p>
        </w:tc>
      </w:tr>
      <w:tr>
        <w:trPr>
          <w:trHeight w:val="210"/>
        </w:trPr>
        <w:tc>
          <w:tcPr>
            <w:tcW w:w="7100" w:type="dxa"/>
            <w:vAlign w:val="bottom"/>
            <w:shd w:val="clear" w:color="auto" w:fill="CEFFE7"/>
          </w:tcPr>
          <w:p>
            <w:pPr>
              <w:ind w:left="580"/>
              <w:spacing w:after="0"/>
              <w:rPr>
                <w:sz w:val="20"/>
                <w:szCs w:val="20"/>
                <w:color w:val="auto"/>
              </w:rPr>
            </w:pPr>
            <w:r>
              <w:rPr>
                <w:rFonts w:ascii="Arial" w:cs="Arial" w:eastAsia="Arial" w:hAnsi="Arial"/>
                <w:sz w:val="16"/>
                <w:szCs w:val="16"/>
                <w:color w:val="auto"/>
              </w:rPr>
              <w:t>Total equity</w:t>
            </w:r>
          </w:p>
        </w:tc>
        <w:tc>
          <w:tcPr>
            <w:tcW w:w="660" w:type="dxa"/>
            <w:vAlign w:val="bottom"/>
            <w:tcBorders>
              <w:bottom w:val="single" w:sz="8" w:color="auto"/>
            </w:tcBorders>
            <w:shd w:val="clear" w:color="auto" w:fill="CEFFE7"/>
          </w:tcPr>
          <w:p>
            <w:pPr>
              <w:spacing w:after="0"/>
              <w:rPr>
                <w:sz w:val="18"/>
                <w:szCs w:val="18"/>
                <w:color w:val="auto"/>
              </w:rPr>
            </w:pPr>
          </w:p>
        </w:tc>
        <w:tc>
          <w:tcPr>
            <w:tcW w:w="138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2,758,894</w:t>
            </w:r>
          </w:p>
        </w:tc>
        <w:tc>
          <w:tcPr>
            <w:tcW w:w="700" w:type="dxa"/>
            <w:vAlign w:val="bottom"/>
            <w:tcBorders>
              <w:bottom w:val="single" w:sz="8" w:color="auto"/>
            </w:tcBorders>
            <w:shd w:val="clear" w:color="auto" w:fill="CEFFE7"/>
          </w:tcPr>
          <w:p>
            <w:pPr>
              <w:spacing w:after="0"/>
              <w:rPr>
                <w:sz w:val="18"/>
                <w:szCs w:val="18"/>
                <w:color w:val="auto"/>
              </w:rPr>
            </w:pP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2,662,647</w:t>
            </w:r>
          </w:p>
        </w:tc>
      </w:tr>
      <w:tr>
        <w:trPr>
          <w:trHeight w:val="239"/>
        </w:trPr>
        <w:tc>
          <w:tcPr>
            <w:tcW w:w="7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41"/>
        </w:trPr>
        <w:tc>
          <w:tcPr>
            <w:tcW w:w="710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6"/>
                <w:szCs w:val="16"/>
                <w:color w:val="auto"/>
              </w:rPr>
              <w:t>TOTAL LIABILITIES AND TOTAL EQUITY</w:t>
            </w:r>
          </w:p>
        </w:tc>
        <w:tc>
          <w:tcPr>
            <w:tcW w:w="660" w:type="dxa"/>
            <w:vAlign w:val="bottom"/>
            <w:tcBorders>
              <w:bottom w:val="single" w:sz="8" w:color="auto"/>
            </w:tcBorders>
            <w:shd w:val="clear" w:color="auto" w:fill="CEFFE7"/>
          </w:tcPr>
          <w:p>
            <w:pPr>
              <w:jc w:val="right"/>
              <w:ind w:right="4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8,738,052</w:t>
            </w:r>
          </w:p>
        </w:tc>
        <w:tc>
          <w:tcPr>
            <w:tcW w:w="700" w:type="dxa"/>
            <w:vAlign w:val="bottom"/>
            <w:tcBorders>
              <w:bottom w:val="single" w:sz="8" w:color="auto"/>
            </w:tcBorders>
            <w:shd w:val="clear" w:color="auto" w:fill="CEFFE7"/>
          </w:tcPr>
          <w:p>
            <w:pPr>
              <w:jc w:val="right"/>
              <w:ind w:right="4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8,088,786</w:t>
            </w:r>
          </w:p>
        </w:tc>
      </w:tr>
      <w:tr>
        <w:trPr>
          <w:trHeight w:val="20"/>
        </w:trPr>
        <w:tc>
          <w:tcPr>
            <w:tcW w:w="7100" w:type="dxa"/>
            <w:vAlign w:val="bottom"/>
            <w:tcBorders>
              <w:top w:val="single" w:sz="8" w:color="CEFFE7"/>
            </w:tcBorders>
          </w:tcPr>
          <w:p>
            <w:pPr>
              <w:spacing w:after="0" w:line="20" w:lineRule="exact"/>
              <w:rPr>
                <w:sz w:val="1"/>
                <w:szCs w:val="1"/>
                <w:color w:val="auto"/>
              </w:rPr>
            </w:pPr>
          </w:p>
        </w:tc>
        <w:tc>
          <w:tcPr>
            <w:tcW w:w="660" w:type="dxa"/>
            <w:vAlign w:val="bottom"/>
            <w:tcBorders>
              <w:top w:val="single" w:sz="8" w:color="CEFFE7"/>
              <w:bottom w:val="single" w:sz="8" w:color="auto"/>
            </w:tcBorders>
          </w:tcPr>
          <w:p>
            <w:pPr>
              <w:spacing w:after="0" w:line="20" w:lineRule="exact"/>
              <w:rPr>
                <w:sz w:val="1"/>
                <w:szCs w:val="1"/>
                <w:color w:val="auto"/>
              </w:rPr>
            </w:pPr>
          </w:p>
        </w:tc>
        <w:tc>
          <w:tcPr>
            <w:tcW w:w="1380" w:type="dxa"/>
            <w:vAlign w:val="bottom"/>
            <w:tcBorders>
              <w:top w:val="single" w:sz="8" w:color="CEFFE7"/>
              <w:bottom w:val="single" w:sz="8" w:color="auto"/>
            </w:tcBorders>
          </w:tcPr>
          <w:p>
            <w:pPr>
              <w:spacing w:after="0" w:line="20" w:lineRule="exact"/>
              <w:rPr>
                <w:sz w:val="1"/>
                <w:szCs w:val="1"/>
                <w:color w:val="auto"/>
              </w:rPr>
            </w:pPr>
          </w:p>
        </w:tc>
        <w:tc>
          <w:tcPr>
            <w:tcW w:w="700" w:type="dxa"/>
            <w:vAlign w:val="bottom"/>
            <w:tcBorders>
              <w:top w:val="single" w:sz="8" w:color="CEFFE7"/>
              <w:bottom w:val="single" w:sz="8" w:color="auto"/>
            </w:tcBorders>
          </w:tcPr>
          <w:p>
            <w:pPr>
              <w:spacing w:after="0" w:line="20" w:lineRule="exact"/>
              <w:rPr>
                <w:sz w:val="1"/>
                <w:szCs w:val="1"/>
                <w:color w:val="auto"/>
              </w:rPr>
            </w:pPr>
          </w:p>
        </w:tc>
        <w:tc>
          <w:tcPr>
            <w:tcW w:w="1340" w:type="dxa"/>
            <w:vAlign w:val="bottom"/>
            <w:tcBorders>
              <w:top w:val="single" w:sz="8" w:color="CEFFE7"/>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jc w:val="center"/>
        <w:ind w:right="-19"/>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13">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Condensed Consolidated Financial Statements.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 w:name="page12"/>
    <w:bookmarkEnd w:id="1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7920" w:type="dxa"/>
            <w:vAlign w:val="bottom"/>
          </w:tcPr>
          <w:p>
            <w:pPr>
              <w:ind w:left="20"/>
              <w:spacing w:after="0"/>
              <w:rPr>
                <w:sz w:val="20"/>
                <w:szCs w:val="20"/>
                <w:color w:val="auto"/>
              </w:rPr>
            </w:pPr>
            <w:r>
              <w:rPr>
                <w:rFonts w:ascii="Arial" w:cs="Arial" w:eastAsia="Arial" w:hAnsi="Arial"/>
                <w:sz w:val="14"/>
                <w:szCs w:val="14"/>
                <w:color w:val="auto"/>
              </w:rPr>
              <w:t>(unaudited)</w:t>
            </w:r>
          </w:p>
        </w:tc>
        <w:tc>
          <w:tcPr>
            <w:tcW w:w="380" w:type="dxa"/>
            <w:vAlign w:val="bottom"/>
          </w:tcPr>
          <w:p>
            <w:pPr>
              <w:spacing w:after="0"/>
              <w:rPr>
                <w:sz w:val="14"/>
                <w:szCs w:val="14"/>
                <w:color w:val="auto"/>
              </w:rPr>
            </w:pPr>
          </w:p>
        </w:tc>
        <w:tc>
          <w:tcPr>
            <w:tcW w:w="2900" w:type="dxa"/>
            <w:vAlign w:val="bottom"/>
            <w:gridSpan w:val="3"/>
          </w:tcPr>
          <w:p>
            <w:pPr>
              <w:jc w:val="right"/>
              <w:ind w:right="688"/>
              <w:spacing w:after="0"/>
              <w:rPr>
                <w:sz w:val="20"/>
                <w:szCs w:val="20"/>
                <w:color w:val="auto"/>
              </w:rPr>
            </w:pPr>
            <w:r>
              <w:rPr>
                <w:rFonts w:ascii="Arial" w:cs="Arial" w:eastAsia="Arial" w:hAnsi="Arial"/>
                <w:sz w:val="14"/>
                <w:szCs w:val="14"/>
                <w:color w:val="auto"/>
              </w:rPr>
              <w:t>Six Months Ended June 30,</w:t>
            </w:r>
          </w:p>
        </w:tc>
      </w:tr>
      <w:tr>
        <w:trPr>
          <w:trHeight w:val="188"/>
        </w:trPr>
        <w:tc>
          <w:tcPr>
            <w:tcW w:w="7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2021</w:t>
            </w: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2020</w:t>
            </w:r>
          </w:p>
        </w:tc>
      </w:tr>
      <w:tr>
        <w:trPr>
          <w:trHeight w:val="183"/>
        </w:trPr>
        <w:tc>
          <w:tcPr>
            <w:tcW w:w="792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380" w:type="dxa"/>
            <w:vAlign w:val="bottom"/>
          </w:tcPr>
          <w:p>
            <w:pPr>
              <w:spacing w:after="0"/>
              <w:rPr>
                <w:sz w:val="15"/>
                <w:szCs w:val="15"/>
                <w:color w:val="auto"/>
              </w:rPr>
            </w:pPr>
          </w:p>
        </w:tc>
        <w:tc>
          <w:tcPr>
            <w:tcW w:w="1820" w:type="dxa"/>
            <w:vAlign w:val="bottom"/>
            <w:gridSpan w:val="2"/>
          </w:tcPr>
          <w:p>
            <w:pPr>
              <w:jc w:val="right"/>
              <w:ind w:right="28"/>
              <w:spacing w:after="0"/>
              <w:rPr>
                <w:sz w:val="20"/>
                <w:szCs w:val="20"/>
                <w:color w:val="auto"/>
              </w:rPr>
            </w:pPr>
            <w:r>
              <w:rPr>
                <w:rFonts w:ascii="Arial" w:cs="Arial" w:eastAsia="Arial" w:hAnsi="Arial"/>
                <w:sz w:val="14"/>
                <w:szCs w:val="14"/>
                <w:color w:val="auto"/>
              </w:rPr>
              <w:t>(in thousands)</w:t>
            </w:r>
          </w:p>
        </w:tc>
        <w:tc>
          <w:tcPr>
            <w:tcW w:w="1080" w:type="dxa"/>
            <w:vAlign w:val="bottom"/>
          </w:tcPr>
          <w:p>
            <w:pPr>
              <w:spacing w:after="0"/>
              <w:rPr>
                <w:sz w:val="15"/>
                <w:szCs w:val="15"/>
                <w:color w:val="auto"/>
              </w:rPr>
            </w:pPr>
          </w:p>
        </w:tc>
      </w:tr>
      <w:tr>
        <w:trPr>
          <w:trHeight w:val="189"/>
        </w:trPr>
        <w:tc>
          <w:tcPr>
            <w:tcW w:w="792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income</w:t>
            </w:r>
          </w:p>
        </w:tc>
        <w:tc>
          <w:tcPr>
            <w:tcW w:w="380" w:type="dxa"/>
            <w:vAlign w:val="bottom"/>
            <w:shd w:val="clear" w:color="auto" w:fill="CEFFE7"/>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128,774</w:t>
            </w:r>
          </w:p>
        </w:tc>
        <w:tc>
          <w:tcPr>
            <w:tcW w:w="560" w:type="dxa"/>
            <w:vAlign w:val="bottom"/>
            <w:shd w:val="clear" w:color="auto" w:fill="CEFFE7"/>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121,918</w:t>
            </w:r>
          </w:p>
        </w:tc>
      </w:tr>
      <w:tr>
        <w:trPr>
          <w:trHeight w:val="189"/>
        </w:trPr>
        <w:tc>
          <w:tcPr>
            <w:tcW w:w="7920" w:type="dxa"/>
            <w:vAlign w:val="bottom"/>
          </w:tcPr>
          <w:p>
            <w:pPr>
              <w:ind w:left="10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7920" w:type="dxa"/>
            <w:vAlign w:val="bottom"/>
            <w:shd w:val="clear" w:color="auto" w:fill="CEFFE7"/>
          </w:tcPr>
          <w:p>
            <w:pPr>
              <w:ind w:left="340"/>
              <w:spacing w:after="0"/>
              <w:rPr>
                <w:sz w:val="20"/>
                <w:szCs w:val="20"/>
                <w:color w:val="auto"/>
              </w:rPr>
            </w:pPr>
            <w:r>
              <w:rPr>
                <w:rFonts w:ascii="Arial" w:cs="Arial" w:eastAsia="Arial" w:hAnsi="Arial"/>
                <w:sz w:val="14"/>
                <w:szCs w:val="14"/>
                <w:color w:val="auto"/>
              </w:rPr>
              <w:t>Depreciation, depletion and amortization</w:t>
            </w:r>
          </w:p>
        </w:tc>
        <w:tc>
          <w:tcPr>
            <w:tcW w:w="380" w:type="dxa"/>
            <w:vAlign w:val="bottom"/>
            <w:shd w:val="clear" w:color="auto" w:fill="CEFFE7"/>
          </w:tcPr>
          <w:p>
            <w:pPr>
              <w:spacing w:after="0"/>
              <w:rPr>
                <w:sz w:val="16"/>
                <w:szCs w:val="16"/>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115,712</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113,065</w:t>
            </w:r>
          </w:p>
        </w:tc>
      </w:tr>
      <w:tr>
        <w:trPr>
          <w:trHeight w:val="189"/>
        </w:trPr>
        <w:tc>
          <w:tcPr>
            <w:tcW w:w="7920" w:type="dxa"/>
            <w:vAlign w:val="bottom"/>
          </w:tcPr>
          <w:p>
            <w:pPr>
              <w:ind w:left="340"/>
              <w:spacing w:after="0"/>
              <w:rPr>
                <w:sz w:val="20"/>
                <w:szCs w:val="20"/>
                <w:color w:val="auto"/>
              </w:rPr>
            </w:pPr>
            <w:r>
              <w:rPr>
                <w:rFonts w:ascii="Arial" w:cs="Arial" w:eastAsia="Arial" w:hAnsi="Arial"/>
                <w:sz w:val="14"/>
                <w:szCs w:val="14"/>
                <w:color w:val="auto"/>
              </w:rPr>
              <w:t>Deferred financing cost amortization</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4,381</w:t>
            </w: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4,246</w:t>
            </w:r>
          </w:p>
        </w:tc>
      </w:tr>
      <w:tr>
        <w:trPr>
          <w:trHeight w:val="189"/>
        </w:trPr>
        <w:tc>
          <w:tcPr>
            <w:tcW w:w="7920" w:type="dxa"/>
            <w:vAlign w:val="bottom"/>
            <w:shd w:val="clear" w:color="auto" w:fill="CEFFE7"/>
          </w:tcPr>
          <w:p>
            <w:pPr>
              <w:ind w:left="340"/>
              <w:spacing w:after="0"/>
              <w:rPr>
                <w:sz w:val="20"/>
                <w:szCs w:val="20"/>
                <w:color w:val="auto"/>
              </w:rPr>
            </w:pPr>
            <w:r>
              <w:rPr>
                <w:rFonts w:ascii="Arial" w:cs="Arial" w:eastAsia="Arial" w:hAnsi="Arial"/>
                <w:sz w:val="14"/>
                <w:szCs w:val="14"/>
                <w:color w:val="auto"/>
              </w:rPr>
              <w:t>Impairment of investment</w:t>
            </w:r>
          </w:p>
        </w:tc>
        <w:tc>
          <w:tcPr>
            <w:tcW w:w="380" w:type="dxa"/>
            <w:vAlign w:val="bottom"/>
            <w:shd w:val="clear" w:color="auto" w:fill="CEFFE7"/>
          </w:tcPr>
          <w:p>
            <w:pPr>
              <w:spacing w:after="0"/>
              <w:rPr>
                <w:sz w:val="16"/>
                <w:szCs w:val="16"/>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6,859</w:t>
            </w:r>
          </w:p>
        </w:tc>
      </w:tr>
      <w:tr>
        <w:trPr>
          <w:trHeight w:val="189"/>
        </w:trPr>
        <w:tc>
          <w:tcPr>
            <w:tcW w:w="7920" w:type="dxa"/>
            <w:vAlign w:val="bottom"/>
          </w:tcPr>
          <w:p>
            <w:pPr>
              <w:ind w:left="340"/>
              <w:spacing w:after="0"/>
              <w:rPr>
                <w:sz w:val="20"/>
                <w:szCs w:val="20"/>
                <w:color w:val="auto"/>
              </w:rPr>
            </w:pPr>
            <w:r>
              <w:rPr>
                <w:rFonts w:ascii="Arial" w:cs="Arial" w:eastAsia="Arial" w:hAnsi="Arial"/>
                <w:sz w:val="14"/>
                <w:szCs w:val="14"/>
                <w:color w:val="auto"/>
              </w:rPr>
              <w:t>Stock compensation</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5,044</w:t>
            </w: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1,113</w:t>
            </w:r>
          </w:p>
        </w:tc>
      </w:tr>
      <w:tr>
        <w:trPr>
          <w:trHeight w:val="189"/>
        </w:trPr>
        <w:tc>
          <w:tcPr>
            <w:tcW w:w="7920" w:type="dxa"/>
            <w:vAlign w:val="bottom"/>
            <w:shd w:val="clear" w:color="auto" w:fill="CEFFE7"/>
          </w:tcPr>
          <w:p>
            <w:pPr>
              <w:ind w:left="340"/>
              <w:spacing w:after="0"/>
              <w:rPr>
                <w:sz w:val="20"/>
                <w:szCs w:val="20"/>
                <w:color w:val="auto"/>
              </w:rPr>
            </w:pPr>
            <w:r>
              <w:rPr>
                <w:rFonts w:ascii="Arial" w:cs="Arial" w:eastAsia="Arial" w:hAnsi="Arial"/>
                <w:sz w:val="14"/>
                <w:szCs w:val="14"/>
                <w:color w:val="auto"/>
              </w:rPr>
              <w:t>Deferred income taxes</w:t>
            </w:r>
          </w:p>
        </w:tc>
        <w:tc>
          <w:tcPr>
            <w:tcW w:w="380" w:type="dxa"/>
            <w:vAlign w:val="bottom"/>
            <w:shd w:val="clear" w:color="auto" w:fill="CEFFE7"/>
          </w:tcPr>
          <w:p>
            <w:pPr>
              <w:spacing w:after="0"/>
              <w:rPr>
                <w:sz w:val="16"/>
                <w:szCs w:val="16"/>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692</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26,401</w:t>
            </w:r>
          </w:p>
        </w:tc>
      </w:tr>
      <w:tr>
        <w:trPr>
          <w:trHeight w:val="189"/>
        </w:trPr>
        <w:tc>
          <w:tcPr>
            <w:tcW w:w="7920" w:type="dxa"/>
            <w:vAlign w:val="bottom"/>
          </w:tcPr>
          <w:p>
            <w:pPr>
              <w:ind w:left="340"/>
              <w:spacing w:after="0"/>
              <w:rPr>
                <w:sz w:val="20"/>
                <w:szCs w:val="20"/>
                <w:color w:val="auto"/>
              </w:rPr>
            </w:pPr>
            <w:r>
              <w:rPr>
                <w:rFonts w:ascii="Arial" w:cs="Arial" w:eastAsia="Arial" w:hAnsi="Arial"/>
                <w:sz w:val="14"/>
                <w:szCs w:val="14"/>
                <w:color w:val="auto"/>
              </w:rPr>
              <w:t>Employee benefit plans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4,934</w:t>
            </w: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5,656</w:t>
            </w:r>
          </w:p>
        </w:tc>
      </w:tr>
      <w:tr>
        <w:trPr>
          <w:trHeight w:val="189"/>
        </w:trPr>
        <w:tc>
          <w:tcPr>
            <w:tcW w:w="7920" w:type="dxa"/>
            <w:vAlign w:val="bottom"/>
            <w:shd w:val="clear" w:color="auto" w:fill="CEFFE7"/>
          </w:tcPr>
          <w:p>
            <w:pPr>
              <w:ind w:left="340"/>
              <w:spacing w:after="0"/>
              <w:rPr>
                <w:sz w:val="20"/>
                <w:szCs w:val="20"/>
                <w:color w:val="auto"/>
              </w:rPr>
            </w:pPr>
            <w:r>
              <w:rPr>
                <w:rFonts w:ascii="Arial" w:cs="Arial" w:eastAsia="Arial" w:hAnsi="Arial"/>
                <w:sz w:val="14"/>
                <w:szCs w:val="14"/>
                <w:color w:val="auto"/>
              </w:rPr>
              <w:t>Other adjustments, net</w:t>
            </w:r>
          </w:p>
        </w:tc>
        <w:tc>
          <w:tcPr>
            <w:tcW w:w="380" w:type="dxa"/>
            <w:vAlign w:val="bottom"/>
            <w:shd w:val="clear" w:color="auto" w:fill="CEFFE7"/>
          </w:tcPr>
          <w:p>
            <w:pPr>
              <w:spacing w:after="0"/>
              <w:rPr>
                <w:sz w:val="16"/>
                <w:szCs w:val="16"/>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10,495</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3,679</w:t>
            </w:r>
          </w:p>
        </w:tc>
      </w:tr>
      <w:tr>
        <w:trPr>
          <w:trHeight w:val="189"/>
        </w:trPr>
        <w:tc>
          <w:tcPr>
            <w:tcW w:w="7920" w:type="dxa"/>
            <w:vAlign w:val="bottom"/>
          </w:tcPr>
          <w:p>
            <w:pPr>
              <w:ind w:left="100"/>
              <w:spacing w:after="0"/>
              <w:rPr>
                <w:sz w:val="20"/>
                <w:szCs w:val="20"/>
                <w:color w:val="auto"/>
              </w:rPr>
            </w:pPr>
            <w:r>
              <w:rPr>
                <w:rFonts w:ascii="Arial" w:cs="Arial" w:eastAsia="Arial" w:hAnsi="Arial"/>
                <w:sz w:val="14"/>
                <w:szCs w:val="14"/>
                <w:color w:val="auto"/>
              </w:rPr>
              <w:t>Changes in certain operating assets and liabilities: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7920" w:type="dxa"/>
            <w:vAlign w:val="bottom"/>
            <w:shd w:val="clear" w:color="auto" w:fill="CEFFE7"/>
          </w:tcPr>
          <w:p>
            <w:pPr>
              <w:ind w:left="340"/>
              <w:spacing w:after="0"/>
              <w:rPr>
                <w:sz w:val="20"/>
                <w:szCs w:val="20"/>
                <w:color w:val="auto"/>
              </w:rPr>
            </w:pPr>
            <w:r>
              <w:rPr>
                <w:rFonts w:ascii="Arial" w:cs="Arial" w:eastAsia="Arial" w:hAnsi="Arial"/>
                <w:sz w:val="14"/>
                <w:szCs w:val="14"/>
                <w:color w:val="auto"/>
              </w:rPr>
              <w:t>Materials, supplies and fuel</w:t>
            </w:r>
          </w:p>
        </w:tc>
        <w:tc>
          <w:tcPr>
            <w:tcW w:w="380" w:type="dxa"/>
            <w:vAlign w:val="bottom"/>
            <w:shd w:val="clear" w:color="auto" w:fill="CEFFE7"/>
          </w:tcPr>
          <w:p>
            <w:pPr>
              <w:spacing w:after="0"/>
              <w:rPr>
                <w:sz w:val="16"/>
                <w:szCs w:val="16"/>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3,974</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7,503</w:t>
            </w:r>
          </w:p>
        </w:tc>
      </w:tr>
      <w:tr>
        <w:trPr>
          <w:trHeight w:val="189"/>
        </w:trPr>
        <w:tc>
          <w:tcPr>
            <w:tcW w:w="7920" w:type="dxa"/>
            <w:vAlign w:val="bottom"/>
          </w:tcPr>
          <w:p>
            <w:pPr>
              <w:ind w:left="340"/>
              <w:spacing w:after="0"/>
              <w:rPr>
                <w:sz w:val="20"/>
                <w:szCs w:val="20"/>
                <w:color w:val="auto"/>
              </w:rPr>
            </w:pPr>
            <w:r>
              <w:rPr>
                <w:rFonts w:ascii="Arial" w:cs="Arial" w:eastAsia="Arial" w:hAnsi="Arial"/>
                <w:sz w:val="14"/>
                <w:szCs w:val="14"/>
                <w:color w:val="auto"/>
              </w:rPr>
              <w:t>Accounts receivable and other current assets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88,513</w:t>
            </w: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73,302</w:t>
            </w:r>
          </w:p>
        </w:tc>
      </w:tr>
      <w:tr>
        <w:trPr>
          <w:trHeight w:val="189"/>
        </w:trPr>
        <w:tc>
          <w:tcPr>
            <w:tcW w:w="7920" w:type="dxa"/>
            <w:vAlign w:val="bottom"/>
            <w:shd w:val="clear" w:color="auto" w:fill="CEFFE7"/>
          </w:tcPr>
          <w:p>
            <w:pPr>
              <w:ind w:left="340"/>
              <w:spacing w:after="0"/>
              <w:rPr>
                <w:sz w:val="20"/>
                <w:szCs w:val="20"/>
                <w:color w:val="auto"/>
              </w:rPr>
            </w:pPr>
            <w:r>
              <w:rPr>
                <w:rFonts w:ascii="Arial" w:cs="Arial" w:eastAsia="Arial" w:hAnsi="Arial"/>
                <w:sz w:val="14"/>
                <w:szCs w:val="14"/>
                <w:color w:val="auto"/>
              </w:rPr>
              <w:t>Accounts payable and other current liabilities</w:t>
            </w:r>
          </w:p>
        </w:tc>
        <w:tc>
          <w:tcPr>
            <w:tcW w:w="380" w:type="dxa"/>
            <w:vAlign w:val="bottom"/>
            <w:shd w:val="clear" w:color="auto" w:fill="CEFFE7"/>
          </w:tcPr>
          <w:p>
            <w:pPr>
              <w:spacing w:after="0"/>
              <w:rPr>
                <w:sz w:val="16"/>
                <w:szCs w:val="16"/>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(59,640)</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(63,085)</w:t>
            </w:r>
          </w:p>
        </w:tc>
      </w:tr>
      <w:tr>
        <w:trPr>
          <w:trHeight w:val="189"/>
        </w:trPr>
        <w:tc>
          <w:tcPr>
            <w:tcW w:w="7920" w:type="dxa"/>
            <w:vAlign w:val="bottom"/>
          </w:tcPr>
          <w:p>
            <w:pPr>
              <w:ind w:left="340"/>
              <w:spacing w:after="0"/>
              <w:rPr>
                <w:sz w:val="20"/>
                <w:szCs w:val="20"/>
                <w:color w:val="auto"/>
              </w:rPr>
            </w:pPr>
            <w:r>
              <w:rPr>
                <w:rFonts w:ascii="Arial" w:cs="Arial" w:eastAsia="Arial" w:hAnsi="Arial"/>
                <w:sz w:val="14"/>
                <w:szCs w:val="14"/>
                <w:color w:val="auto"/>
              </w:rPr>
              <w:t>Regulatory assets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(540,709)</w:t>
            </w: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21,887</w:t>
            </w:r>
          </w:p>
        </w:tc>
      </w:tr>
      <w:tr>
        <w:trPr>
          <w:trHeight w:val="189"/>
        </w:trPr>
        <w:tc>
          <w:tcPr>
            <w:tcW w:w="7920" w:type="dxa"/>
            <w:vAlign w:val="bottom"/>
            <w:shd w:val="clear" w:color="auto" w:fill="CEFFE7"/>
          </w:tcPr>
          <w:p>
            <w:pPr>
              <w:ind w:left="340"/>
              <w:spacing w:after="0"/>
              <w:rPr>
                <w:sz w:val="20"/>
                <w:szCs w:val="20"/>
                <w:color w:val="auto"/>
              </w:rPr>
            </w:pPr>
            <w:r>
              <w:rPr>
                <w:rFonts w:ascii="Arial" w:cs="Arial" w:eastAsia="Arial" w:hAnsi="Arial"/>
                <w:sz w:val="14"/>
                <w:szCs w:val="14"/>
                <w:color w:val="auto"/>
              </w:rPr>
              <w:t>Regulatory liabilities</w:t>
            </w:r>
          </w:p>
        </w:tc>
        <w:tc>
          <w:tcPr>
            <w:tcW w:w="380" w:type="dxa"/>
            <w:vAlign w:val="bottom"/>
            <w:shd w:val="clear" w:color="auto" w:fill="CEFFE7"/>
          </w:tcPr>
          <w:p>
            <w:pPr>
              <w:spacing w:after="0"/>
              <w:rPr>
                <w:sz w:val="16"/>
                <w:szCs w:val="16"/>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(9,509)</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314</w:t>
            </w:r>
          </w:p>
        </w:tc>
      </w:tr>
      <w:tr>
        <w:trPr>
          <w:trHeight w:val="189"/>
        </w:trPr>
        <w:tc>
          <w:tcPr>
            <w:tcW w:w="7920" w:type="dxa"/>
            <w:vAlign w:val="bottom"/>
          </w:tcPr>
          <w:p>
            <w:pPr>
              <w:ind w:left="140"/>
              <w:spacing w:after="0"/>
              <w:rPr>
                <w:sz w:val="20"/>
                <w:szCs w:val="20"/>
                <w:color w:val="auto"/>
              </w:rPr>
            </w:pPr>
            <w:r>
              <w:rPr>
                <w:rFonts w:ascii="Arial" w:cs="Arial" w:eastAsia="Arial" w:hAnsi="Arial"/>
                <w:sz w:val="14"/>
                <w:szCs w:val="14"/>
                <w:color w:val="auto"/>
              </w:rPr>
              <w:t>Contributions to defined benefit pension plans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(12,700)</w:t>
            </w:r>
          </w:p>
        </w:tc>
      </w:tr>
      <w:tr>
        <w:trPr>
          <w:trHeight w:val="189"/>
        </w:trPr>
        <w:tc>
          <w:tcPr>
            <w:tcW w:w="7920" w:type="dxa"/>
            <w:vAlign w:val="bottom"/>
            <w:shd w:val="clear" w:color="auto" w:fill="CEFFE7"/>
          </w:tcPr>
          <w:p>
            <w:pPr>
              <w:ind w:left="140"/>
              <w:spacing w:after="0"/>
              <w:rPr>
                <w:sz w:val="20"/>
                <w:szCs w:val="20"/>
                <w:color w:val="auto"/>
              </w:rPr>
            </w:pPr>
            <w:r>
              <w:rPr>
                <w:rFonts w:ascii="Arial" w:cs="Arial" w:eastAsia="Arial" w:hAnsi="Arial"/>
                <w:sz w:val="14"/>
                <w:szCs w:val="14"/>
                <w:color w:val="auto"/>
              </w:rPr>
              <w:t>Other operating activities, net</w:t>
            </w:r>
          </w:p>
        </w:tc>
        <w:tc>
          <w:tcPr>
            <w:tcW w:w="380" w:type="dxa"/>
            <w:vAlign w:val="bottom"/>
            <w:tcBorders>
              <w:bottom w:val="single" w:sz="8" w:color="auto"/>
            </w:tcBorders>
            <w:shd w:val="clear" w:color="auto" w:fill="CEFFE7"/>
          </w:tcPr>
          <w:p>
            <w:pPr>
              <w:spacing w:after="0"/>
              <w:rPr>
                <w:sz w:val="16"/>
                <w:szCs w:val="16"/>
                <w:color w:val="auto"/>
              </w:rPr>
            </w:pP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(2,834)</w:t>
            </w:r>
          </w:p>
        </w:tc>
        <w:tc>
          <w:tcPr>
            <w:tcW w:w="560" w:type="dxa"/>
            <w:vAlign w:val="bottom"/>
            <w:tcBorders>
              <w:bottom w:val="single" w:sz="8" w:color="auto"/>
            </w:tcBorders>
            <w:shd w:val="clear" w:color="auto" w:fill="CEFFE7"/>
          </w:tcPr>
          <w:p>
            <w:pPr>
              <w:spacing w:after="0"/>
              <w:rPr>
                <w:sz w:val="16"/>
                <w:szCs w:val="16"/>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(1,152)</w:t>
            </w:r>
          </w:p>
        </w:tc>
      </w:tr>
      <w:tr>
        <w:trPr>
          <w:trHeight w:val="183"/>
        </w:trPr>
        <w:tc>
          <w:tcPr>
            <w:tcW w:w="792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(250,173)</w:t>
            </w: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309,006</w:t>
            </w:r>
          </w:p>
        </w:tc>
      </w:tr>
      <w:tr>
        <w:trPr>
          <w:trHeight w:val="196"/>
        </w:trPr>
        <w:tc>
          <w:tcPr>
            <w:tcW w:w="7920" w:type="dxa"/>
            <w:vAlign w:val="bottom"/>
            <w:shd w:val="clear" w:color="auto" w:fill="CEFFE7"/>
          </w:tcPr>
          <w:p>
            <w:pPr>
              <w:spacing w:after="0"/>
              <w:rPr>
                <w:sz w:val="17"/>
                <w:szCs w:val="17"/>
                <w:color w:val="auto"/>
              </w:rPr>
            </w:pPr>
          </w:p>
        </w:tc>
        <w:tc>
          <w:tcPr>
            <w:tcW w:w="380" w:type="dxa"/>
            <w:vAlign w:val="bottom"/>
            <w:shd w:val="clear" w:color="auto" w:fill="CEFFE7"/>
          </w:tcPr>
          <w:p>
            <w:pPr>
              <w:spacing w:after="0"/>
              <w:rPr>
                <w:sz w:val="17"/>
                <w:szCs w:val="17"/>
                <w:color w:val="auto"/>
              </w:rPr>
            </w:pPr>
          </w:p>
        </w:tc>
        <w:tc>
          <w:tcPr>
            <w:tcW w:w="1260" w:type="dxa"/>
            <w:vAlign w:val="bottom"/>
            <w:shd w:val="clear" w:color="auto" w:fill="CEFFE7"/>
          </w:tcPr>
          <w:p>
            <w:pPr>
              <w:spacing w:after="0"/>
              <w:rPr>
                <w:sz w:val="17"/>
                <w:szCs w:val="17"/>
                <w:color w:val="auto"/>
              </w:rPr>
            </w:pPr>
          </w:p>
        </w:tc>
        <w:tc>
          <w:tcPr>
            <w:tcW w:w="560" w:type="dxa"/>
            <w:vAlign w:val="bottom"/>
            <w:shd w:val="clear" w:color="auto" w:fill="CEFFE7"/>
          </w:tcPr>
          <w:p>
            <w:pPr>
              <w:spacing w:after="0"/>
              <w:rPr>
                <w:sz w:val="17"/>
                <w:szCs w:val="17"/>
                <w:color w:val="auto"/>
              </w:rPr>
            </w:pPr>
          </w:p>
        </w:tc>
        <w:tc>
          <w:tcPr>
            <w:tcW w:w="1080" w:type="dxa"/>
            <w:vAlign w:val="bottom"/>
            <w:shd w:val="clear" w:color="auto" w:fill="CEFFE7"/>
          </w:tcPr>
          <w:p>
            <w:pPr>
              <w:spacing w:after="0"/>
              <w:rPr>
                <w:sz w:val="17"/>
                <w:szCs w:val="17"/>
                <w:color w:val="auto"/>
              </w:rPr>
            </w:pPr>
          </w:p>
        </w:tc>
      </w:tr>
      <w:tr>
        <w:trPr>
          <w:trHeight w:val="189"/>
        </w:trPr>
        <w:tc>
          <w:tcPr>
            <w:tcW w:w="792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7920" w:type="dxa"/>
            <w:vAlign w:val="bottom"/>
            <w:shd w:val="clear" w:color="auto" w:fill="CEFFE7"/>
          </w:tcPr>
          <w:p>
            <w:pPr>
              <w:ind w:left="180"/>
              <w:spacing w:after="0"/>
              <w:rPr>
                <w:sz w:val="20"/>
                <w:szCs w:val="20"/>
                <w:color w:val="auto"/>
              </w:rPr>
            </w:pPr>
            <w:r>
              <w:rPr>
                <w:rFonts w:ascii="Arial" w:cs="Arial" w:eastAsia="Arial" w:hAnsi="Arial"/>
                <w:sz w:val="14"/>
                <w:szCs w:val="14"/>
                <w:color w:val="auto"/>
              </w:rPr>
              <w:t>Property, plant and equipment additions</w:t>
            </w:r>
          </w:p>
        </w:tc>
        <w:tc>
          <w:tcPr>
            <w:tcW w:w="380" w:type="dxa"/>
            <w:vAlign w:val="bottom"/>
            <w:shd w:val="clear" w:color="auto" w:fill="CEFFE7"/>
          </w:tcPr>
          <w:p>
            <w:pPr>
              <w:spacing w:after="0"/>
              <w:rPr>
                <w:sz w:val="16"/>
                <w:szCs w:val="16"/>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(319,476)</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(348,313)</w:t>
            </w:r>
          </w:p>
        </w:tc>
      </w:tr>
      <w:tr>
        <w:trPr>
          <w:trHeight w:val="189"/>
        </w:trPr>
        <w:tc>
          <w:tcPr>
            <w:tcW w:w="7920" w:type="dxa"/>
            <w:vAlign w:val="bottom"/>
            <w:tcBorders>
              <w:bottom w:val="single" w:sz="8" w:color="CEFFE7"/>
            </w:tcBorders>
          </w:tcPr>
          <w:p>
            <w:pPr>
              <w:ind w:left="180"/>
              <w:spacing w:after="0"/>
              <w:rPr>
                <w:sz w:val="20"/>
                <w:szCs w:val="20"/>
                <w:color w:val="auto"/>
              </w:rPr>
            </w:pPr>
            <w:r>
              <w:rPr>
                <w:rFonts w:ascii="Arial" w:cs="Arial" w:eastAsia="Arial" w:hAnsi="Arial"/>
                <w:sz w:val="14"/>
                <w:szCs w:val="14"/>
                <w:color w:val="auto"/>
              </w:rPr>
              <w:t>Other investing activities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9,739</w:t>
            </w: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(1,412)</w:t>
            </w:r>
          </w:p>
        </w:tc>
      </w:tr>
      <w:tr>
        <w:trPr>
          <w:trHeight w:val="182"/>
        </w:trPr>
        <w:tc>
          <w:tcPr>
            <w:tcW w:w="792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cash (used in) investing activities</w:t>
            </w:r>
          </w:p>
        </w:tc>
        <w:tc>
          <w:tcPr>
            <w:tcW w:w="380" w:type="dxa"/>
            <w:vAlign w:val="bottom"/>
            <w:tcBorders>
              <w:bottom w:val="single" w:sz="8" w:color="auto"/>
            </w:tcBorders>
            <w:shd w:val="clear" w:color="auto" w:fill="CEFFE7"/>
          </w:tcPr>
          <w:p>
            <w:pPr>
              <w:spacing w:after="0"/>
              <w:rPr>
                <w:sz w:val="15"/>
                <w:szCs w:val="15"/>
                <w:color w:val="auto"/>
              </w:rPr>
            </w:pP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(309,737)</w:t>
            </w:r>
          </w:p>
        </w:tc>
        <w:tc>
          <w:tcPr>
            <w:tcW w:w="560" w:type="dxa"/>
            <w:vAlign w:val="bottom"/>
            <w:tcBorders>
              <w:bottom w:val="single" w:sz="8" w:color="auto"/>
            </w:tcBorders>
            <w:shd w:val="clear" w:color="auto" w:fill="CEFFE7"/>
          </w:tcPr>
          <w:p>
            <w:pPr>
              <w:spacing w:after="0"/>
              <w:rPr>
                <w:sz w:val="15"/>
                <w:szCs w:val="15"/>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(349,725)</w:t>
            </w:r>
          </w:p>
        </w:tc>
      </w:tr>
      <w:tr>
        <w:trPr>
          <w:trHeight w:val="196"/>
        </w:trPr>
        <w:tc>
          <w:tcPr>
            <w:tcW w:w="7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89"/>
        </w:trPr>
        <w:tc>
          <w:tcPr>
            <w:tcW w:w="7920" w:type="dxa"/>
            <w:vAlign w:val="bottom"/>
            <w:shd w:val="clear" w:color="auto" w:fill="CEFFE7"/>
          </w:tcPr>
          <w:p>
            <w:pPr>
              <w:ind w:left="20"/>
              <w:spacing w:after="0"/>
              <w:rPr>
                <w:sz w:val="20"/>
                <w:szCs w:val="20"/>
                <w:color w:val="auto"/>
              </w:rPr>
            </w:pPr>
            <w:r>
              <w:rPr>
                <w:rFonts w:ascii="Arial" w:cs="Arial" w:eastAsia="Arial" w:hAnsi="Arial"/>
                <w:sz w:val="14"/>
                <w:szCs w:val="14"/>
                <w:color w:val="auto"/>
              </w:rPr>
              <w:t>Financing activities:</w:t>
            </w:r>
          </w:p>
        </w:tc>
        <w:tc>
          <w:tcPr>
            <w:tcW w:w="380" w:type="dxa"/>
            <w:vAlign w:val="bottom"/>
            <w:shd w:val="clear" w:color="auto" w:fill="CEFFE7"/>
          </w:tcPr>
          <w:p>
            <w:pPr>
              <w:spacing w:after="0"/>
              <w:rPr>
                <w:sz w:val="16"/>
                <w:szCs w:val="16"/>
                <w:color w:val="auto"/>
              </w:rPr>
            </w:pPr>
          </w:p>
        </w:tc>
        <w:tc>
          <w:tcPr>
            <w:tcW w:w="1260" w:type="dxa"/>
            <w:vAlign w:val="bottom"/>
            <w:shd w:val="clear" w:color="auto" w:fill="CEFFE7"/>
          </w:tcPr>
          <w:p>
            <w:pPr>
              <w:spacing w:after="0"/>
              <w:rPr>
                <w:sz w:val="16"/>
                <w:szCs w:val="16"/>
                <w:color w:val="auto"/>
              </w:rPr>
            </w:pP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spacing w:after="0"/>
              <w:rPr>
                <w:sz w:val="16"/>
                <w:szCs w:val="16"/>
                <w:color w:val="auto"/>
              </w:rPr>
            </w:pPr>
          </w:p>
        </w:tc>
      </w:tr>
      <w:tr>
        <w:trPr>
          <w:trHeight w:val="189"/>
        </w:trPr>
        <w:tc>
          <w:tcPr>
            <w:tcW w:w="7920" w:type="dxa"/>
            <w:vAlign w:val="bottom"/>
          </w:tcPr>
          <w:p>
            <w:pPr>
              <w:ind w:left="220"/>
              <w:spacing w:after="0"/>
              <w:rPr>
                <w:sz w:val="20"/>
                <w:szCs w:val="20"/>
                <w:color w:val="auto"/>
              </w:rPr>
            </w:pPr>
            <w:r>
              <w:rPr>
                <w:rFonts w:ascii="Arial" w:cs="Arial" w:eastAsia="Arial" w:hAnsi="Arial"/>
                <w:sz w:val="14"/>
                <w:szCs w:val="14"/>
                <w:color w:val="auto"/>
              </w:rPr>
              <w:t>Dividends paid on common stock</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(71,092)</w:t>
            </w: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(66,440)</w:t>
            </w:r>
          </w:p>
        </w:tc>
      </w:tr>
      <w:tr>
        <w:trPr>
          <w:trHeight w:val="189"/>
        </w:trPr>
        <w:tc>
          <w:tcPr>
            <w:tcW w:w="7920" w:type="dxa"/>
            <w:vAlign w:val="bottom"/>
            <w:shd w:val="clear" w:color="auto" w:fill="CEFFE7"/>
          </w:tcPr>
          <w:p>
            <w:pPr>
              <w:ind w:left="220"/>
              <w:spacing w:after="0"/>
              <w:rPr>
                <w:sz w:val="20"/>
                <w:szCs w:val="20"/>
                <w:color w:val="auto"/>
              </w:rPr>
            </w:pPr>
            <w:r>
              <w:rPr>
                <w:rFonts w:ascii="Arial" w:cs="Arial" w:eastAsia="Arial" w:hAnsi="Arial"/>
                <w:sz w:val="14"/>
                <w:szCs w:val="14"/>
                <w:color w:val="auto"/>
              </w:rPr>
              <w:t>Common stock issued</w:t>
            </w:r>
          </w:p>
        </w:tc>
        <w:tc>
          <w:tcPr>
            <w:tcW w:w="380" w:type="dxa"/>
            <w:vAlign w:val="bottom"/>
            <w:shd w:val="clear" w:color="auto" w:fill="CEFFE7"/>
          </w:tcPr>
          <w:p>
            <w:pPr>
              <w:spacing w:after="0"/>
              <w:rPr>
                <w:sz w:val="16"/>
                <w:szCs w:val="16"/>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40,037</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99,435</w:t>
            </w:r>
          </w:p>
        </w:tc>
      </w:tr>
      <w:tr>
        <w:trPr>
          <w:trHeight w:val="189"/>
        </w:trPr>
        <w:tc>
          <w:tcPr>
            <w:tcW w:w="7920" w:type="dxa"/>
            <w:vAlign w:val="bottom"/>
          </w:tcPr>
          <w:p>
            <w:pPr>
              <w:ind w:left="220"/>
              <w:spacing w:after="0"/>
              <w:rPr>
                <w:sz w:val="20"/>
                <w:szCs w:val="20"/>
                <w:color w:val="auto"/>
              </w:rPr>
            </w:pPr>
            <w:r>
              <w:rPr>
                <w:rFonts w:ascii="Arial" w:cs="Arial" w:eastAsia="Arial" w:hAnsi="Arial"/>
                <w:sz w:val="14"/>
                <w:szCs w:val="14"/>
                <w:color w:val="auto"/>
              </w:rPr>
              <w:t>Term loan - borrowings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800,000</w:t>
            </w: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20" w:type="dxa"/>
            <w:vAlign w:val="bottom"/>
            <w:shd w:val="clear" w:color="auto" w:fill="CEFFE7"/>
          </w:tcPr>
          <w:p>
            <w:pPr>
              <w:ind w:left="220"/>
              <w:spacing w:after="0"/>
              <w:rPr>
                <w:sz w:val="20"/>
                <w:szCs w:val="20"/>
                <w:color w:val="auto"/>
              </w:rPr>
            </w:pPr>
            <w:r>
              <w:rPr>
                <w:rFonts w:ascii="Arial" w:cs="Arial" w:eastAsia="Arial" w:hAnsi="Arial"/>
                <w:sz w:val="14"/>
                <w:szCs w:val="14"/>
                <w:color w:val="auto"/>
              </w:rPr>
              <w:t>Term loan - repayments</w:t>
            </w:r>
          </w:p>
        </w:tc>
        <w:tc>
          <w:tcPr>
            <w:tcW w:w="380" w:type="dxa"/>
            <w:vAlign w:val="bottom"/>
            <w:shd w:val="clear" w:color="auto" w:fill="CEFFE7"/>
          </w:tcPr>
          <w:p>
            <w:pPr>
              <w:spacing w:after="0"/>
              <w:rPr>
                <w:sz w:val="16"/>
                <w:szCs w:val="16"/>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(200,000)</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920" w:type="dxa"/>
            <w:vAlign w:val="bottom"/>
          </w:tcPr>
          <w:p>
            <w:pPr>
              <w:ind w:left="220"/>
              <w:spacing w:after="0"/>
              <w:rPr>
                <w:sz w:val="20"/>
                <w:szCs w:val="20"/>
                <w:color w:val="auto"/>
              </w:rPr>
            </w:pPr>
            <w:r>
              <w:rPr>
                <w:rFonts w:ascii="Arial" w:cs="Arial" w:eastAsia="Arial" w:hAnsi="Arial"/>
                <w:sz w:val="14"/>
                <w:szCs w:val="14"/>
                <w:color w:val="auto"/>
              </w:rPr>
              <w:t>Net payments of Revolving Credit Facility and CP Program</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(4,190)</w:t>
            </w: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(349,500)</w:t>
            </w:r>
          </w:p>
        </w:tc>
      </w:tr>
      <w:tr>
        <w:trPr>
          <w:trHeight w:val="189"/>
        </w:trPr>
        <w:tc>
          <w:tcPr>
            <w:tcW w:w="7920" w:type="dxa"/>
            <w:vAlign w:val="bottom"/>
            <w:shd w:val="clear" w:color="auto" w:fill="CEFFE7"/>
          </w:tcPr>
          <w:p>
            <w:pPr>
              <w:ind w:left="220"/>
              <w:spacing w:after="0"/>
              <w:rPr>
                <w:sz w:val="20"/>
                <w:szCs w:val="20"/>
                <w:color w:val="auto"/>
              </w:rPr>
            </w:pPr>
            <w:r>
              <w:rPr>
                <w:rFonts w:ascii="Arial" w:cs="Arial" w:eastAsia="Arial" w:hAnsi="Arial"/>
                <w:sz w:val="14"/>
                <w:szCs w:val="14"/>
                <w:color w:val="auto"/>
              </w:rPr>
              <w:t>Long-term debt - issuances</w:t>
            </w:r>
          </w:p>
        </w:tc>
        <w:tc>
          <w:tcPr>
            <w:tcW w:w="380" w:type="dxa"/>
            <w:vAlign w:val="bottom"/>
            <w:shd w:val="clear" w:color="auto" w:fill="CEFFE7"/>
          </w:tcPr>
          <w:p>
            <w:pPr>
              <w:spacing w:after="0"/>
              <w:rPr>
                <w:sz w:val="16"/>
                <w:szCs w:val="16"/>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400,000</w:t>
            </w:r>
          </w:p>
        </w:tc>
      </w:tr>
      <w:tr>
        <w:trPr>
          <w:trHeight w:val="189"/>
        </w:trPr>
        <w:tc>
          <w:tcPr>
            <w:tcW w:w="7920" w:type="dxa"/>
            <w:vAlign w:val="bottom"/>
          </w:tcPr>
          <w:p>
            <w:pPr>
              <w:ind w:left="220"/>
              <w:spacing w:after="0"/>
              <w:rPr>
                <w:sz w:val="20"/>
                <w:szCs w:val="20"/>
                <w:color w:val="auto"/>
              </w:rPr>
            </w:pPr>
            <w:r>
              <w:rPr>
                <w:rFonts w:ascii="Arial" w:cs="Arial" w:eastAsia="Arial" w:hAnsi="Arial"/>
                <w:sz w:val="14"/>
                <w:szCs w:val="14"/>
                <w:color w:val="auto"/>
              </w:rPr>
              <w:t>Long-term debt - repayments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(1,436)</w:t>
            </w:r>
          </w:p>
        </w:tc>
        <w:tc>
          <w:tcPr>
            <w:tcW w:w="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(5,727)</w:t>
            </w:r>
          </w:p>
        </w:tc>
      </w:tr>
      <w:tr>
        <w:trPr>
          <w:trHeight w:val="189"/>
        </w:trPr>
        <w:tc>
          <w:tcPr>
            <w:tcW w:w="7920" w:type="dxa"/>
            <w:vAlign w:val="bottom"/>
            <w:shd w:val="clear" w:color="auto" w:fill="CEFFE7"/>
          </w:tcPr>
          <w:p>
            <w:pPr>
              <w:ind w:left="220"/>
              <w:spacing w:after="0"/>
              <w:rPr>
                <w:sz w:val="20"/>
                <w:szCs w:val="20"/>
                <w:color w:val="auto"/>
              </w:rPr>
            </w:pPr>
            <w:r>
              <w:rPr>
                <w:rFonts w:ascii="Arial" w:cs="Arial" w:eastAsia="Arial" w:hAnsi="Arial"/>
                <w:sz w:val="14"/>
                <w:szCs w:val="14"/>
                <w:color w:val="auto"/>
              </w:rPr>
              <w:t>Distributions to noncontrolling interest</w:t>
            </w:r>
          </w:p>
        </w:tc>
        <w:tc>
          <w:tcPr>
            <w:tcW w:w="380" w:type="dxa"/>
            <w:vAlign w:val="bottom"/>
            <w:shd w:val="clear" w:color="auto" w:fill="CEFFE7"/>
          </w:tcPr>
          <w:p>
            <w:pPr>
              <w:spacing w:after="0"/>
              <w:rPr>
                <w:sz w:val="16"/>
                <w:szCs w:val="16"/>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(8,705)</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(8,520)</w:t>
            </w:r>
          </w:p>
        </w:tc>
      </w:tr>
      <w:tr>
        <w:trPr>
          <w:trHeight w:val="189"/>
        </w:trPr>
        <w:tc>
          <w:tcPr>
            <w:tcW w:w="7920" w:type="dxa"/>
            <w:vAlign w:val="bottom"/>
            <w:tcBorders>
              <w:bottom w:val="single" w:sz="8" w:color="CEFFE7"/>
            </w:tcBorders>
          </w:tcPr>
          <w:p>
            <w:pPr>
              <w:ind w:left="220"/>
              <w:spacing w:after="0"/>
              <w:rPr>
                <w:sz w:val="20"/>
                <w:szCs w:val="20"/>
                <w:color w:val="auto"/>
              </w:rPr>
            </w:pPr>
            <w:r>
              <w:rPr>
                <w:rFonts w:ascii="Arial" w:cs="Arial" w:eastAsia="Arial" w:hAnsi="Arial"/>
                <w:sz w:val="14"/>
                <w:szCs w:val="14"/>
                <w:color w:val="auto"/>
              </w:rPr>
              <w:t>Other financing activities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w:t>
            </w: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(6,474)</w:t>
            </w:r>
          </w:p>
        </w:tc>
      </w:tr>
      <w:tr>
        <w:trPr>
          <w:trHeight w:val="183"/>
        </w:trPr>
        <w:tc>
          <w:tcPr>
            <w:tcW w:w="792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80" w:type="dxa"/>
            <w:vAlign w:val="bottom"/>
            <w:tcBorders>
              <w:bottom w:val="single" w:sz="8" w:color="auto"/>
            </w:tcBorders>
            <w:shd w:val="clear" w:color="auto" w:fill="CEFFE7"/>
          </w:tcPr>
          <w:p>
            <w:pPr>
              <w:spacing w:after="0"/>
              <w:rPr>
                <w:sz w:val="15"/>
                <w:szCs w:val="15"/>
                <w:color w:val="auto"/>
              </w:rPr>
            </w:pP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554,905</w:t>
            </w:r>
          </w:p>
        </w:tc>
        <w:tc>
          <w:tcPr>
            <w:tcW w:w="560" w:type="dxa"/>
            <w:vAlign w:val="bottom"/>
            <w:tcBorders>
              <w:bottom w:val="single" w:sz="8" w:color="auto"/>
            </w:tcBorders>
            <w:shd w:val="clear" w:color="auto" w:fill="CEFFE7"/>
          </w:tcPr>
          <w:p>
            <w:pPr>
              <w:spacing w:after="0"/>
              <w:rPr>
                <w:sz w:val="15"/>
                <w:szCs w:val="15"/>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62,774</w:t>
            </w:r>
          </w:p>
        </w:tc>
      </w:tr>
      <w:tr>
        <w:trPr>
          <w:trHeight w:val="196"/>
        </w:trPr>
        <w:tc>
          <w:tcPr>
            <w:tcW w:w="7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89"/>
        </w:trPr>
        <w:tc>
          <w:tcPr>
            <w:tcW w:w="7920" w:type="dxa"/>
            <w:vAlign w:val="bottom"/>
            <w:shd w:val="clear" w:color="auto" w:fill="CEFFE7"/>
          </w:tcPr>
          <w:p>
            <w:pPr>
              <w:ind w:left="220"/>
              <w:spacing w:after="0"/>
              <w:rPr>
                <w:sz w:val="20"/>
                <w:szCs w:val="20"/>
                <w:color w:val="auto"/>
              </w:rPr>
            </w:pPr>
            <w:r>
              <w:rPr>
                <w:rFonts w:ascii="Arial" w:cs="Arial" w:eastAsia="Arial" w:hAnsi="Arial"/>
                <w:sz w:val="14"/>
                <w:szCs w:val="14"/>
                <w:color w:val="auto"/>
              </w:rPr>
              <w:t>Net change in cash, restricted cash and cash equivalents</w:t>
            </w:r>
          </w:p>
        </w:tc>
        <w:tc>
          <w:tcPr>
            <w:tcW w:w="380" w:type="dxa"/>
            <w:vAlign w:val="bottom"/>
            <w:shd w:val="clear" w:color="auto" w:fill="CEFFE7"/>
          </w:tcPr>
          <w:p>
            <w:pPr>
              <w:spacing w:after="0"/>
              <w:rPr>
                <w:sz w:val="16"/>
                <w:szCs w:val="16"/>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(5,005)</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22,055</w:t>
            </w:r>
          </w:p>
        </w:tc>
      </w:tr>
      <w:tr>
        <w:trPr>
          <w:trHeight w:val="216"/>
        </w:trPr>
        <w:tc>
          <w:tcPr>
            <w:tcW w:w="7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89"/>
        </w:trPr>
        <w:tc>
          <w:tcPr>
            <w:tcW w:w="7920" w:type="dxa"/>
            <w:vAlign w:val="bottom"/>
            <w:shd w:val="clear" w:color="auto" w:fill="CEFFE7"/>
          </w:tcPr>
          <w:p>
            <w:pPr>
              <w:ind w:left="20"/>
              <w:spacing w:after="0"/>
              <w:rPr>
                <w:sz w:val="20"/>
                <w:szCs w:val="20"/>
                <w:color w:val="auto"/>
              </w:rPr>
            </w:pPr>
            <w:r>
              <w:rPr>
                <w:rFonts w:ascii="Arial" w:cs="Arial" w:eastAsia="Arial" w:hAnsi="Arial"/>
                <w:sz w:val="14"/>
                <w:szCs w:val="14"/>
                <w:color w:val="auto"/>
              </w:rPr>
              <w:t>Cash, restricted cash and cash equivalents at beginning of period</w:t>
            </w:r>
          </w:p>
        </w:tc>
        <w:tc>
          <w:tcPr>
            <w:tcW w:w="380" w:type="dxa"/>
            <w:vAlign w:val="bottom"/>
            <w:tcBorders>
              <w:bottom w:val="single" w:sz="8" w:color="auto"/>
            </w:tcBorders>
            <w:shd w:val="clear" w:color="auto" w:fill="CEFFE7"/>
          </w:tcPr>
          <w:p>
            <w:pPr>
              <w:spacing w:after="0"/>
              <w:rPr>
                <w:sz w:val="16"/>
                <w:szCs w:val="16"/>
                <w:color w:val="auto"/>
              </w:rPr>
            </w:pPr>
          </w:p>
        </w:tc>
        <w:tc>
          <w:tcPr>
            <w:tcW w:w="1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10,739</w:t>
            </w:r>
          </w:p>
        </w:tc>
        <w:tc>
          <w:tcPr>
            <w:tcW w:w="560" w:type="dxa"/>
            <w:vAlign w:val="bottom"/>
            <w:tcBorders>
              <w:bottom w:val="single" w:sz="8" w:color="auto"/>
            </w:tcBorders>
            <w:shd w:val="clear" w:color="auto" w:fill="CEFFE7"/>
          </w:tcPr>
          <w:p>
            <w:pPr>
              <w:spacing w:after="0"/>
              <w:rPr>
                <w:sz w:val="16"/>
                <w:szCs w:val="16"/>
                <w:color w:val="auto"/>
              </w:rPr>
            </w:pP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13,658</w:t>
            </w:r>
          </w:p>
        </w:tc>
      </w:tr>
      <w:tr>
        <w:trPr>
          <w:trHeight w:val="183"/>
        </w:trPr>
        <w:tc>
          <w:tcPr>
            <w:tcW w:w="7920" w:type="dxa"/>
            <w:vAlign w:val="bottom"/>
          </w:tcPr>
          <w:p>
            <w:pPr>
              <w:ind w:left="20"/>
              <w:spacing w:after="0"/>
              <w:rPr>
                <w:sz w:val="20"/>
                <w:szCs w:val="20"/>
                <w:color w:val="auto"/>
              </w:rPr>
            </w:pPr>
            <w:r>
              <w:rPr>
                <w:rFonts w:ascii="Arial" w:cs="Arial" w:eastAsia="Arial" w:hAnsi="Arial"/>
                <w:sz w:val="14"/>
                <w:szCs w:val="14"/>
                <w:color w:val="auto"/>
              </w:rPr>
              <w:t>Cash, restricted cash and cash equivalents at end of period</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5,734</w:t>
            </w: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35,713</w:t>
            </w:r>
          </w:p>
        </w:tc>
      </w:tr>
      <w:tr>
        <w:trPr>
          <w:trHeight w:val="20"/>
        </w:trPr>
        <w:tc>
          <w:tcPr>
            <w:tcW w:w="7920" w:type="dxa"/>
            <w:vAlign w:val="bottom"/>
            <w:tcBorders>
              <w:bottom w:val="single" w:sz="8" w:color="CEFFE7"/>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7920" w:type="dxa"/>
            <w:vAlign w:val="bottom"/>
            <w:shd w:val="clear" w:color="auto" w:fill="CEFFE7"/>
          </w:tcPr>
          <w:p>
            <w:pPr>
              <w:spacing w:after="0"/>
              <w:rPr>
                <w:sz w:val="15"/>
                <w:szCs w:val="15"/>
                <w:color w:val="auto"/>
              </w:rPr>
            </w:pPr>
          </w:p>
        </w:tc>
        <w:tc>
          <w:tcPr>
            <w:tcW w:w="380" w:type="dxa"/>
            <w:vAlign w:val="bottom"/>
            <w:shd w:val="clear" w:color="auto" w:fill="CEFFE7"/>
          </w:tcPr>
          <w:p>
            <w:pPr>
              <w:spacing w:after="0"/>
              <w:rPr>
                <w:sz w:val="15"/>
                <w:szCs w:val="15"/>
                <w:color w:val="auto"/>
              </w:rPr>
            </w:pPr>
          </w:p>
        </w:tc>
        <w:tc>
          <w:tcPr>
            <w:tcW w:w="1260" w:type="dxa"/>
            <w:vAlign w:val="bottom"/>
            <w:shd w:val="clear" w:color="auto" w:fill="CEFFE7"/>
          </w:tcPr>
          <w:p>
            <w:pPr>
              <w:spacing w:after="0"/>
              <w:rPr>
                <w:sz w:val="15"/>
                <w:szCs w:val="15"/>
                <w:color w:val="auto"/>
              </w:rPr>
            </w:pPr>
          </w:p>
        </w:tc>
        <w:tc>
          <w:tcPr>
            <w:tcW w:w="560" w:type="dxa"/>
            <w:vAlign w:val="bottom"/>
            <w:shd w:val="clear" w:color="auto" w:fill="CEFFE7"/>
          </w:tcPr>
          <w:p>
            <w:pPr>
              <w:spacing w:after="0"/>
              <w:rPr>
                <w:sz w:val="15"/>
                <w:szCs w:val="15"/>
                <w:color w:val="auto"/>
              </w:rPr>
            </w:pPr>
          </w:p>
        </w:tc>
        <w:tc>
          <w:tcPr>
            <w:tcW w:w="1080" w:type="dxa"/>
            <w:vAlign w:val="bottom"/>
            <w:shd w:val="clear" w:color="auto" w:fill="CEFFE7"/>
          </w:tcPr>
          <w:p>
            <w:pPr>
              <w:spacing w:after="0"/>
              <w:rPr>
                <w:sz w:val="15"/>
                <w:szCs w:val="15"/>
                <w:color w:val="auto"/>
              </w:rPr>
            </w:pPr>
          </w:p>
        </w:tc>
      </w:tr>
      <w:tr>
        <w:trPr>
          <w:trHeight w:val="189"/>
        </w:trPr>
        <w:tc>
          <w:tcPr>
            <w:tcW w:w="7920" w:type="dxa"/>
            <w:vAlign w:val="bottom"/>
          </w:tcPr>
          <w:p>
            <w:pPr>
              <w:ind w:left="20"/>
              <w:spacing w:after="0"/>
              <w:rPr>
                <w:sz w:val="20"/>
                <w:szCs w:val="20"/>
                <w:color w:val="auto"/>
              </w:rPr>
            </w:pPr>
            <w:r>
              <w:rPr>
                <w:rFonts w:ascii="Arial" w:cs="Arial" w:eastAsia="Arial" w:hAnsi="Arial"/>
                <w:sz w:val="14"/>
                <w:szCs w:val="14"/>
                <w:color w:val="auto"/>
              </w:rPr>
              <w:t>Supplemental cash flow information:</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7920" w:type="dxa"/>
            <w:vAlign w:val="bottom"/>
            <w:shd w:val="clear" w:color="auto" w:fill="CEFFE7"/>
          </w:tcPr>
          <w:p>
            <w:pPr>
              <w:ind w:left="140"/>
              <w:spacing w:after="0"/>
              <w:rPr>
                <w:sz w:val="20"/>
                <w:szCs w:val="20"/>
                <w:color w:val="auto"/>
              </w:rPr>
            </w:pPr>
            <w:r>
              <w:rPr>
                <w:rFonts w:ascii="Arial" w:cs="Arial" w:eastAsia="Arial" w:hAnsi="Arial"/>
                <w:sz w:val="14"/>
                <w:szCs w:val="14"/>
                <w:color w:val="auto"/>
              </w:rPr>
              <w:t>Cash (paid) refunded during the period:</w:t>
            </w:r>
          </w:p>
        </w:tc>
        <w:tc>
          <w:tcPr>
            <w:tcW w:w="380" w:type="dxa"/>
            <w:vAlign w:val="bottom"/>
            <w:shd w:val="clear" w:color="auto" w:fill="CEFFE7"/>
          </w:tcPr>
          <w:p>
            <w:pPr>
              <w:spacing w:after="0"/>
              <w:rPr>
                <w:sz w:val="16"/>
                <w:szCs w:val="16"/>
                <w:color w:val="auto"/>
              </w:rPr>
            </w:pPr>
          </w:p>
        </w:tc>
        <w:tc>
          <w:tcPr>
            <w:tcW w:w="1260" w:type="dxa"/>
            <w:vAlign w:val="bottom"/>
            <w:shd w:val="clear" w:color="auto" w:fill="CEFFE7"/>
          </w:tcPr>
          <w:p>
            <w:pPr>
              <w:spacing w:after="0"/>
              <w:rPr>
                <w:sz w:val="16"/>
                <w:szCs w:val="16"/>
                <w:color w:val="auto"/>
              </w:rPr>
            </w:pP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spacing w:after="0"/>
              <w:rPr>
                <w:sz w:val="16"/>
                <w:szCs w:val="16"/>
                <w:color w:val="auto"/>
              </w:rPr>
            </w:pPr>
          </w:p>
        </w:tc>
      </w:tr>
      <w:tr>
        <w:trPr>
          <w:trHeight w:val="189"/>
        </w:trPr>
        <w:tc>
          <w:tcPr>
            <w:tcW w:w="7920" w:type="dxa"/>
            <w:vAlign w:val="bottom"/>
          </w:tcPr>
          <w:p>
            <w:pPr>
              <w:ind w:left="220"/>
              <w:spacing w:after="0"/>
              <w:rPr>
                <w:sz w:val="20"/>
                <w:szCs w:val="20"/>
                <w:color w:val="auto"/>
              </w:rPr>
            </w:pPr>
            <w:r>
              <w:rPr>
                <w:rFonts w:ascii="Arial" w:cs="Arial" w:eastAsia="Arial" w:hAnsi="Arial"/>
                <w:sz w:val="14"/>
                <w:szCs w:val="14"/>
                <w:color w:val="auto"/>
              </w:rPr>
              <w:t>Interest, net of amounts capitalized</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(71,825)</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(67,449)</w:t>
            </w:r>
          </w:p>
        </w:tc>
      </w:tr>
      <w:tr>
        <w:trPr>
          <w:trHeight w:val="189"/>
        </w:trPr>
        <w:tc>
          <w:tcPr>
            <w:tcW w:w="7920" w:type="dxa"/>
            <w:vAlign w:val="bottom"/>
            <w:shd w:val="clear" w:color="auto" w:fill="CEFFE7"/>
          </w:tcPr>
          <w:p>
            <w:pPr>
              <w:ind w:left="220"/>
              <w:spacing w:after="0"/>
              <w:rPr>
                <w:sz w:val="20"/>
                <w:szCs w:val="20"/>
                <w:color w:val="auto"/>
              </w:rPr>
            </w:pPr>
            <w:r>
              <w:rPr>
                <w:rFonts w:ascii="Arial" w:cs="Arial" w:eastAsia="Arial" w:hAnsi="Arial"/>
                <w:sz w:val="14"/>
                <w:szCs w:val="14"/>
                <w:color w:val="auto"/>
              </w:rPr>
              <w:t>Income taxes</w:t>
            </w:r>
          </w:p>
        </w:tc>
        <w:tc>
          <w:tcPr>
            <w:tcW w:w="380" w:type="dxa"/>
            <w:vAlign w:val="bottom"/>
            <w:shd w:val="clear" w:color="auto" w:fill="CEFFE7"/>
          </w:tcPr>
          <w:p>
            <w:pPr>
              <w:spacing w:after="0"/>
              <w:rPr>
                <w:sz w:val="16"/>
                <w:szCs w:val="16"/>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1,486</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1,896</w:t>
            </w:r>
          </w:p>
        </w:tc>
      </w:tr>
      <w:tr>
        <w:trPr>
          <w:trHeight w:val="189"/>
        </w:trPr>
        <w:tc>
          <w:tcPr>
            <w:tcW w:w="7920" w:type="dxa"/>
            <w:vAlign w:val="bottom"/>
          </w:tcPr>
          <w:p>
            <w:pPr>
              <w:ind w:left="140"/>
              <w:spacing w:after="0"/>
              <w:rPr>
                <w:sz w:val="20"/>
                <w:szCs w:val="20"/>
                <w:color w:val="auto"/>
              </w:rPr>
            </w:pPr>
            <w:r>
              <w:rPr>
                <w:rFonts w:ascii="Arial" w:cs="Arial" w:eastAsia="Arial" w:hAnsi="Arial"/>
                <w:sz w:val="14"/>
                <w:szCs w:val="14"/>
                <w:color w:val="auto"/>
              </w:rPr>
              <w:t>Non-cash investing and financing activities: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7920" w:type="dxa"/>
            <w:vAlign w:val="bottom"/>
            <w:shd w:val="clear" w:color="auto" w:fill="CEFFE7"/>
          </w:tcPr>
          <w:p>
            <w:pPr>
              <w:ind w:left="220"/>
              <w:spacing w:after="0"/>
              <w:rPr>
                <w:sz w:val="20"/>
                <w:szCs w:val="20"/>
                <w:color w:val="auto"/>
              </w:rPr>
            </w:pPr>
            <w:r>
              <w:rPr>
                <w:rFonts w:ascii="Arial" w:cs="Arial" w:eastAsia="Arial" w:hAnsi="Arial"/>
                <w:sz w:val="14"/>
                <w:szCs w:val="14"/>
                <w:color w:val="auto"/>
              </w:rPr>
              <w:t>Accrued property, plant and equipment purchases at June 30</w:t>
            </w:r>
          </w:p>
        </w:tc>
        <w:tc>
          <w:tcPr>
            <w:tcW w:w="380" w:type="dxa"/>
            <w:vAlign w:val="bottom"/>
            <w:shd w:val="clear" w:color="auto" w:fill="CEFFE7"/>
          </w:tcPr>
          <w:p>
            <w:pPr>
              <w:spacing w:after="0"/>
              <w:rPr>
                <w:sz w:val="16"/>
                <w:szCs w:val="16"/>
                <w:color w:val="auto"/>
              </w:rPr>
            </w:pPr>
          </w:p>
        </w:tc>
        <w:tc>
          <w:tcPr>
            <w:tcW w:w="12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54,448</w:t>
            </w:r>
          </w:p>
        </w:tc>
        <w:tc>
          <w:tcPr>
            <w:tcW w:w="560" w:type="dxa"/>
            <w:vAlign w:val="bottom"/>
            <w:shd w:val="clear" w:color="auto" w:fill="CEFFE7"/>
          </w:tcPr>
          <w:p>
            <w:pPr>
              <w:spacing w:after="0"/>
              <w:rPr>
                <w:sz w:val="16"/>
                <w:szCs w:val="16"/>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59,916</w:t>
            </w:r>
          </w:p>
        </w:tc>
      </w:tr>
    </w:tbl>
    <w:p>
      <w:pPr>
        <w:spacing w:after="0" w:line="315" w:lineRule="exact"/>
        <w:rPr>
          <w:sz w:val="20"/>
          <w:szCs w:val="20"/>
          <w:color w:val="auto"/>
        </w:rPr>
      </w:pPr>
    </w:p>
    <w:p>
      <w:pPr>
        <w:jc w:val="center"/>
        <w:ind w:right="-19"/>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13">
        <w:r>
          <w:rPr>
            <w:rFonts w:ascii="Arial" w:cs="Arial" w:eastAsia="Arial" w:hAnsi="Arial"/>
            <w:sz w:val="14"/>
            <w:szCs w:val="14"/>
            <w:u w:val="single" w:color="auto"/>
            <w:color w:val="0000FF"/>
          </w:rPr>
          <w:t>Notes to Condensed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Condensed Consolidated Financial Statements.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EQUITY</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00" w:type="dxa"/>
            <w:vAlign w:val="bottom"/>
          </w:tcPr>
          <w:p>
            <w:pPr>
              <w:spacing w:after="0"/>
              <w:rPr>
                <w:sz w:val="20"/>
                <w:szCs w:val="20"/>
                <w:color w:val="auto"/>
              </w:rPr>
            </w:pPr>
            <w:r>
              <w:rPr>
                <w:rFonts w:ascii="Arial" w:cs="Arial" w:eastAsia="Arial" w:hAnsi="Arial"/>
                <w:sz w:val="13"/>
                <w:szCs w:val="13"/>
                <w:color w:val="auto"/>
              </w:rPr>
              <w:t>(unaudited)</w:t>
            </w:r>
          </w:p>
        </w:tc>
        <w:tc>
          <w:tcPr>
            <w:tcW w:w="184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3"/>
                <w:szCs w:val="13"/>
                <w:color w:val="auto"/>
              </w:rPr>
              <w:t>Common Stock</w:t>
            </w:r>
          </w:p>
        </w:tc>
        <w:tc>
          <w:tcPr>
            <w:tcW w:w="154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3"/>
                <w:szCs w:val="13"/>
                <w:color w:val="auto"/>
              </w:rPr>
              <w:t>Treasury Stock</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300" w:type="dxa"/>
            <w:vAlign w:val="bottom"/>
            <w:vMerge w:val="restart"/>
          </w:tcPr>
          <w:p>
            <w:pPr>
              <w:spacing w:after="0"/>
              <w:rPr>
                <w:sz w:val="20"/>
                <w:szCs w:val="20"/>
                <w:color w:val="auto"/>
              </w:rPr>
            </w:pPr>
            <w:r>
              <w:rPr>
                <w:rFonts w:ascii="Arial" w:cs="Arial" w:eastAsia="Arial" w:hAnsi="Arial"/>
                <w:sz w:val="13"/>
                <w:szCs w:val="13"/>
                <w:color w:val="auto"/>
              </w:rPr>
              <w:t>(in thousands except share amounts)</w:t>
            </w:r>
          </w:p>
        </w:tc>
        <w:tc>
          <w:tcPr>
            <w:tcW w:w="960" w:type="dxa"/>
            <w:vAlign w:val="bottom"/>
            <w:vMerge w:val="restart"/>
          </w:tcPr>
          <w:p>
            <w:pPr>
              <w:jc w:val="right"/>
              <w:ind w:right="217"/>
              <w:spacing w:after="0"/>
              <w:rPr>
                <w:sz w:val="20"/>
                <w:szCs w:val="20"/>
                <w:color w:val="auto"/>
              </w:rPr>
            </w:pPr>
            <w:r>
              <w:rPr>
                <w:rFonts w:ascii="Arial" w:cs="Arial" w:eastAsia="Arial" w:hAnsi="Arial"/>
                <w:sz w:val="13"/>
                <w:szCs w:val="13"/>
                <w:color w:val="auto"/>
              </w:rPr>
              <w:t>Shares</w:t>
            </w:r>
          </w:p>
        </w:tc>
        <w:tc>
          <w:tcPr>
            <w:tcW w:w="180" w:type="dxa"/>
            <w:vAlign w:val="bottom"/>
          </w:tcPr>
          <w:p>
            <w:pPr>
              <w:spacing w:after="0"/>
              <w:rPr>
                <w:sz w:val="10"/>
                <w:szCs w:val="10"/>
                <w:color w:val="auto"/>
              </w:rPr>
            </w:pPr>
          </w:p>
        </w:tc>
        <w:tc>
          <w:tcPr>
            <w:tcW w:w="700" w:type="dxa"/>
            <w:vAlign w:val="bottom"/>
            <w:vMerge w:val="restart"/>
          </w:tcPr>
          <w:p>
            <w:pPr>
              <w:jc w:val="right"/>
              <w:ind w:right="237"/>
              <w:spacing w:after="0"/>
              <w:rPr>
                <w:sz w:val="20"/>
                <w:szCs w:val="20"/>
                <w:color w:val="auto"/>
              </w:rPr>
            </w:pPr>
            <w:r>
              <w:rPr>
                <w:rFonts w:ascii="Arial" w:cs="Arial" w:eastAsia="Arial" w:hAnsi="Arial"/>
                <w:sz w:val="13"/>
                <w:szCs w:val="13"/>
                <w:color w:val="auto"/>
              </w:rPr>
              <w:t>Value</w:t>
            </w:r>
          </w:p>
        </w:tc>
        <w:tc>
          <w:tcPr>
            <w:tcW w:w="720" w:type="dxa"/>
            <w:vAlign w:val="bottom"/>
            <w:vMerge w:val="restart"/>
          </w:tcPr>
          <w:p>
            <w:pPr>
              <w:jc w:val="right"/>
              <w:ind w:right="117"/>
              <w:spacing w:after="0"/>
              <w:rPr>
                <w:sz w:val="20"/>
                <w:szCs w:val="20"/>
                <w:color w:val="auto"/>
              </w:rPr>
            </w:pPr>
            <w:r>
              <w:rPr>
                <w:rFonts w:ascii="Arial" w:cs="Arial" w:eastAsia="Arial" w:hAnsi="Arial"/>
                <w:sz w:val="13"/>
                <w:szCs w:val="13"/>
                <w:color w:val="auto"/>
              </w:rPr>
              <w:t>Shares</w:t>
            </w:r>
          </w:p>
        </w:tc>
        <w:tc>
          <w:tcPr>
            <w:tcW w:w="180" w:type="dxa"/>
            <w:vAlign w:val="bottom"/>
          </w:tcPr>
          <w:p>
            <w:pPr>
              <w:spacing w:after="0"/>
              <w:rPr>
                <w:sz w:val="10"/>
                <w:szCs w:val="10"/>
                <w:color w:val="auto"/>
              </w:rPr>
            </w:pPr>
          </w:p>
        </w:tc>
        <w:tc>
          <w:tcPr>
            <w:tcW w:w="640" w:type="dxa"/>
            <w:vAlign w:val="bottom"/>
            <w:vMerge w:val="restart"/>
          </w:tcPr>
          <w:p>
            <w:pPr>
              <w:jc w:val="right"/>
              <w:ind w:right="197"/>
              <w:spacing w:after="0"/>
              <w:rPr>
                <w:sz w:val="20"/>
                <w:szCs w:val="20"/>
                <w:color w:val="auto"/>
              </w:rPr>
            </w:pPr>
            <w:r>
              <w:rPr>
                <w:rFonts w:ascii="Arial" w:cs="Arial" w:eastAsia="Arial" w:hAnsi="Arial"/>
                <w:sz w:val="13"/>
                <w:szCs w:val="13"/>
                <w:color w:val="auto"/>
              </w:rPr>
              <w:t>Value</w:t>
            </w:r>
          </w:p>
        </w:tc>
        <w:tc>
          <w:tcPr>
            <w:tcW w:w="900" w:type="dxa"/>
            <w:vAlign w:val="bottom"/>
            <w:gridSpan w:val="2"/>
          </w:tcPr>
          <w:p>
            <w:pPr>
              <w:ind w:left="20"/>
              <w:spacing w:after="0" w:line="116" w:lineRule="exact"/>
              <w:rPr>
                <w:sz w:val="20"/>
                <w:szCs w:val="20"/>
                <w:color w:val="auto"/>
              </w:rPr>
            </w:pPr>
            <w:r>
              <w:rPr>
                <w:rFonts w:ascii="Arial" w:cs="Arial" w:eastAsia="Arial" w:hAnsi="Arial"/>
                <w:sz w:val="13"/>
                <w:szCs w:val="13"/>
                <w:color w:val="auto"/>
                <w:w w:val="99"/>
              </w:rPr>
              <w:t>Additional Paid</w:t>
            </w:r>
          </w:p>
        </w:tc>
        <w:tc>
          <w:tcPr>
            <w:tcW w:w="140" w:type="dxa"/>
            <w:vAlign w:val="bottom"/>
          </w:tcPr>
          <w:p>
            <w:pPr>
              <w:spacing w:after="0"/>
              <w:rPr>
                <w:sz w:val="10"/>
                <w:szCs w:val="10"/>
                <w:color w:val="auto"/>
              </w:rPr>
            </w:pPr>
          </w:p>
        </w:tc>
        <w:tc>
          <w:tcPr>
            <w:tcW w:w="720" w:type="dxa"/>
            <w:vAlign w:val="bottom"/>
          </w:tcPr>
          <w:p>
            <w:pPr>
              <w:jc w:val="right"/>
              <w:ind w:right="117"/>
              <w:spacing w:after="0" w:line="116" w:lineRule="exact"/>
              <w:rPr>
                <w:sz w:val="20"/>
                <w:szCs w:val="20"/>
                <w:color w:val="auto"/>
              </w:rPr>
            </w:pPr>
            <w:r>
              <w:rPr>
                <w:rFonts w:ascii="Arial" w:cs="Arial" w:eastAsia="Arial" w:hAnsi="Arial"/>
                <w:sz w:val="13"/>
                <w:szCs w:val="13"/>
                <w:color w:val="auto"/>
                <w:w w:val="99"/>
              </w:rPr>
              <w:t>Retained</w:t>
            </w:r>
          </w:p>
        </w:tc>
        <w:tc>
          <w:tcPr>
            <w:tcW w:w="180" w:type="dxa"/>
            <w:vAlign w:val="bottom"/>
          </w:tcPr>
          <w:p>
            <w:pPr>
              <w:spacing w:after="0"/>
              <w:rPr>
                <w:sz w:val="10"/>
                <w:szCs w:val="10"/>
                <w:color w:val="auto"/>
              </w:rPr>
            </w:pPr>
          </w:p>
        </w:tc>
        <w:tc>
          <w:tcPr>
            <w:tcW w:w="620" w:type="dxa"/>
            <w:vAlign w:val="bottom"/>
            <w:vMerge w:val="restart"/>
          </w:tcPr>
          <w:p>
            <w:pPr>
              <w:jc w:val="right"/>
              <w:ind w:right="177"/>
              <w:spacing w:after="0"/>
              <w:rPr>
                <w:sz w:val="20"/>
                <w:szCs w:val="20"/>
                <w:color w:val="auto"/>
              </w:rPr>
            </w:pPr>
            <w:r>
              <w:rPr>
                <w:rFonts w:ascii="Arial" w:cs="Arial" w:eastAsia="Arial" w:hAnsi="Arial"/>
                <w:sz w:val="13"/>
                <w:szCs w:val="13"/>
                <w:color w:val="auto"/>
              </w:rPr>
              <w:t>AOCI</w:t>
            </w:r>
          </w:p>
        </w:tc>
        <w:tc>
          <w:tcPr>
            <w:tcW w:w="920" w:type="dxa"/>
            <w:vAlign w:val="bottom"/>
            <w:gridSpan w:val="2"/>
          </w:tcPr>
          <w:p>
            <w:pPr>
              <w:jc w:val="center"/>
              <w:spacing w:after="0" w:line="116" w:lineRule="exact"/>
              <w:rPr>
                <w:sz w:val="20"/>
                <w:szCs w:val="20"/>
                <w:color w:val="auto"/>
              </w:rPr>
            </w:pPr>
            <w:r>
              <w:rPr>
                <w:rFonts w:ascii="Arial" w:cs="Arial" w:eastAsia="Arial" w:hAnsi="Arial"/>
                <w:sz w:val="13"/>
                <w:szCs w:val="13"/>
                <w:color w:val="auto"/>
                <w:w w:val="96"/>
              </w:rPr>
              <w:t>Non controlling</w:t>
            </w:r>
          </w:p>
        </w:tc>
        <w:tc>
          <w:tcPr>
            <w:tcW w:w="240" w:type="dxa"/>
            <w:vAlign w:val="bottom"/>
          </w:tcPr>
          <w:p>
            <w:pPr>
              <w:spacing w:after="0"/>
              <w:rPr>
                <w:sz w:val="10"/>
                <w:szCs w:val="10"/>
                <w:color w:val="auto"/>
              </w:rPr>
            </w:pPr>
          </w:p>
        </w:tc>
        <w:tc>
          <w:tcPr>
            <w:tcW w:w="780" w:type="dxa"/>
            <w:vAlign w:val="bottom"/>
            <w:vMerge w:val="restart"/>
          </w:tcPr>
          <w:p>
            <w:pPr>
              <w:jc w:val="right"/>
              <w:ind w:right="317"/>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1"/>
        </w:trPr>
        <w:tc>
          <w:tcPr>
            <w:tcW w:w="3300" w:type="dxa"/>
            <w:vAlign w:val="bottom"/>
            <w:tcBorders>
              <w:bottom w:val="single" w:sz="8" w:color="CEFFE7"/>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in Capital</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Earnings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color w:val="auto"/>
                <w:w w:val="96"/>
              </w:rPr>
              <w:t>Interest</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00" w:type="dxa"/>
            <w:vAlign w:val="bottom"/>
            <w:shd w:val="clear" w:color="auto" w:fill="CEFFE7"/>
          </w:tcPr>
          <w:p>
            <w:pPr>
              <w:spacing w:after="0"/>
              <w:rPr>
                <w:sz w:val="20"/>
                <w:szCs w:val="20"/>
                <w:color w:val="auto"/>
              </w:rPr>
            </w:pPr>
            <w:r>
              <w:rPr>
                <w:rFonts w:ascii="Arial" w:cs="Arial" w:eastAsia="Arial" w:hAnsi="Arial"/>
                <w:sz w:val="13"/>
                <w:szCs w:val="13"/>
                <w:b w:val="1"/>
                <w:bCs w:val="1"/>
                <w:color w:val="auto"/>
              </w:rPr>
              <w:t>December 31, 2020</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62,827,179</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62,827</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32,492</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(2,119)</w:t>
            </w:r>
          </w:p>
        </w:tc>
        <w:tc>
          <w:tcPr>
            <w:tcW w:w="120" w:type="dxa"/>
            <w:vAlign w:val="bottom"/>
            <w:shd w:val="clear" w:color="auto" w:fill="CEFFE7"/>
          </w:tcPr>
          <w:p>
            <w:pPr>
              <w:spacing w:after="0"/>
              <w:rPr>
                <w:sz w:val="20"/>
                <w:szCs w:val="20"/>
                <w:color w:val="auto"/>
              </w:rPr>
            </w:pPr>
            <w:r>
              <w:rPr>
                <w:rFonts w:ascii="Arial" w:cs="Arial" w:eastAsia="Arial" w:hAnsi="Arial"/>
                <w:sz w:val="13"/>
                <w:szCs w:val="13"/>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1,657,285</w:t>
            </w:r>
          </w:p>
        </w:tc>
        <w:tc>
          <w:tcPr>
            <w:tcW w:w="140" w:type="dxa"/>
            <w:vAlign w:val="bottom"/>
            <w:shd w:val="clear" w:color="auto" w:fill="CEFFE7"/>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870,738</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(27,346)</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101,262</w:t>
            </w:r>
          </w:p>
        </w:tc>
        <w:tc>
          <w:tcPr>
            <w:tcW w:w="24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2,662,647</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Net income</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96,316</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4,171</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100,487</w:t>
            </w:r>
          </w:p>
        </w:tc>
        <w:tc>
          <w:tcPr>
            <w:tcW w:w="0" w:type="dxa"/>
            <w:vAlign w:val="bottom"/>
          </w:tcPr>
          <w:p>
            <w:pPr>
              <w:spacing w:after="0"/>
              <w:rPr>
                <w:sz w:val="1"/>
                <w:szCs w:val="1"/>
                <w:color w:val="auto"/>
              </w:rPr>
            </w:pPr>
          </w:p>
        </w:tc>
      </w:tr>
      <w:tr>
        <w:trPr>
          <w:trHeight w:val="183"/>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Other comprehensive income, net of tax</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1,018</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1,018</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Dividends on common stock ($0.565 per share)</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(35,514)</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(35,514)</w:t>
            </w:r>
          </w:p>
        </w:tc>
        <w:tc>
          <w:tcPr>
            <w:tcW w:w="0" w:type="dxa"/>
            <w:vAlign w:val="bottom"/>
          </w:tcPr>
          <w:p>
            <w:pPr>
              <w:spacing w:after="0"/>
              <w:rPr>
                <w:sz w:val="1"/>
                <w:szCs w:val="1"/>
                <w:color w:val="auto"/>
              </w:rPr>
            </w:pPr>
          </w:p>
        </w:tc>
      </w:tr>
      <w:tr>
        <w:trPr>
          <w:trHeight w:val="183"/>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Share-based compensation</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82,794</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83</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7,448</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(445)</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1,672</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1,310</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Other</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7"/>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Distributions to noncontrolling interest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700" w:type="dxa"/>
            <w:vAlign w:val="bottom"/>
            <w:tcBorders>
              <w:bottom w:val="single" w:sz="8" w:color="auto"/>
            </w:tcBorders>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64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EFFE7"/>
          </w:tcPr>
          <w:p>
            <w:pPr>
              <w:spacing w:after="0"/>
              <w:rPr>
                <w:sz w:val="15"/>
                <w:szCs w:val="15"/>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EFFE7"/>
          </w:tcPr>
          <w:p>
            <w:pPr>
              <w:spacing w:after="0"/>
              <w:rPr>
                <w:sz w:val="15"/>
                <w:szCs w:val="15"/>
                <w:color w:val="auto"/>
              </w:rPr>
            </w:pP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(4,644)</w:t>
            </w:r>
          </w:p>
        </w:tc>
        <w:tc>
          <w:tcPr>
            <w:tcW w:w="240" w:type="dxa"/>
            <w:vAlign w:val="bottom"/>
            <w:tcBorders>
              <w:bottom w:val="single" w:sz="8" w:color="auto"/>
            </w:tcBorders>
            <w:shd w:val="clear" w:color="auto" w:fill="CEFFE7"/>
          </w:tcPr>
          <w:p>
            <w:pPr>
              <w:spacing w:after="0"/>
              <w:rPr>
                <w:sz w:val="15"/>
                <w:szCs w:val="15"/>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(4,644)</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20"/>
                <w:szCs w:val="20"/>
                <w:color w:val="auto"/>
              </w:rPr>
            </w:pPr>
            <w:r>
              <w:rPr>
                <w:rFonts w:ascii="Arial" w:cs="Arial" w:eastAsia="Arial" w:hAnsi="Arial"/>
                <w:sz w:val="13"/>
                <w:szCs w:val="13"/>
                <w:b w:val="1"/>
                <w:bCs w:val="1"/>
                <w:color w:val="auto"/>
              </w:rPr>
              <w:t>March 31, 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62,909,973</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62,910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39,940</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(2,564)</w:t>
            </w: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1,658,957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931,538</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(26,328)</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100,789</w:t>
            </w: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2,725,302</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EFFE7"/>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Net income</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4"/>
                <w:szCs w:val="14"/>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4"/>
                <w:szCs w:val="14"/>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4"/>
                <w:szCs w:val="14"/>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4"/>
                <w:szCs w:val="14"/>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25,161</w:t>
            </w:r>
          </w:p>
        </w:tc>
        <w:tc>
          <w:tcPr>
            <w:tcW w:w="180" w:type="dxa"/>
            <w:vAlign w:val="bottom"/>
            <w:shd w:val="clear" w:color="auto" w:fill="CEFFE7"/>
          </w:tcPr>
          <w:p>
            <w:pPr>
              <w:spacing w:after="0"/>
              <w:rPr>
                <w:sz w:val="14"/>
                <w:szCs w:val="14"/>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4"/>
                <w:szCs w:val="14"/>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3,126</w:t>
            </w:r>
          </w:p>
        </w:tc>
        <w:tc>
          <w:tcPr>
            <w:tcW w:w="240" w:type="dxa"/>
            <w:vAlign w:val="bottom"/>
            <w:shd w:val="clear" w:color="auto" w:fill="CEFFE7"/>
          </w:tcPr>
          <w:p>
            <w:pPr>
              <w:spacing w:after="0"/>
              <w:rPr>
                <w:sz w:val="14"/>
                <w:szCs w:val="14"/>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28,287</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Other comprehensive income, net of tax</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1,882</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1,882</w:t>
            </w:r>
          </w:p>
        </w:tc>
        <w:tc>
          <w:tcPr>
            <w:tcW w:w="0" w:type="dxa"/>
            <w:vAlign w:val="bottom"/>
          </w:tcPr>
          <w:p>
            <w:pPr>
              <w:spacing w:after="0"/>
              <w:rPr>
                <w:sz w:val="1"/>
                <w:szCs w:val="1"/>
                <w:color w:val="auto"/>
              </w:rPr>
            </w:pPr>
          </w:p>
        </w:tc>
      </w:tr>
      <w:tr>
        <w:trPr>
          <w:trHeight w:val="183"/>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Dividends on common stock ($0.565 per share)</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(35,578)</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(35,578)</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960" w:type="dxa"/>
            <w:vAlign w:val="bottom"/>
          </w:tcPr>
          <w:p>
            <w:pPr>
              <w:jc w:val="right"/>
              <w:spacing w:after="0"/>
              <w:rPr>
                <w:sz w:val="20"/>
                <w:szCs w:val="20"/>
                <w:color w:val="auto"/>
              </w:rPr>
            </w:pPr>
            <w:r>
              <w:rPr>
                <w:rFonts w:ascii="Arial" w:cs="Arial" w:eastAsia="Arial" w:hAnsi="Arial"/>
                <w:sz w:val="13"/>
                <w:szCs w:val="13"/>
                <w:color w:val="auto"/>
              </w:rPr>
              <w:t>20,905</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21</w:t>
            </w:r>
          </w:p>
        </w:tc>
        <w:tc>
          <w:tcPr>
            <w:tcW w:w="720" w:type="dxa"/>
            <w:vAlign w:val="bottom"/>
          </w:tcPr>
          <w:p>
            <w:pPr>
              <w:jc w:val="right"/>
              <w:spacing w:after="0"/>
              <w:rPr>
                <w:sz w:val="20"/>
                <w:szCs w:val="20"/>
                <w:color w:val="auto"/>
              </w:rPr>
            </w:pPr>
            <w:r>
              <w:rPr>
                <w:rFonts w:ascii="Arial" w:cs="Arial" w:eastAsia="Arial" w:hAnsi="Arial"/>
                <w:sz w:val="13"/>
                <w:szCs w:val="13"/>
                <w:color w:val="auto"/>
              </w:rPr>
              <w:t>6,588</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(424)</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3,698</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3,295</w:t>
            </w:r>
          </w:p>
        </w:tc>
        <w:tc>
          <w:tcPr>
            <w:tcW w:w="0" w:type="dxa"/>
            <w:vAlign w:val="bottom"/>
          </w:tcPr>
          <w:p>
            <w:pPr>
              <w:spacing w:after="0"/>
              <w:rPr>
                <w:sz w:val="1"/>
                <w:szCs w:val="1"/>
                <w:color w:val="auto"/>
              </w:rPr>
            </w:pPr>
          </w:p>
        </w:tc>
      </w:tr>
      <w:tr>
        <w:trPr>
          <w:trHeight w:val="183"/>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Issuance of common stock</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596,035</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596</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39,636</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40,232</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Issuance costs</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(466)</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(466)</w:t>
            </w:r>
          </w:p>
        </w:tc>
        <w:tc>
          <w:tcPr>
            <w:tcW w:w="0" w:type="dxa"/>
            <w:vAlign w:val="bottom"/>
          </w:tcPr>
          <w:p>
            <w:pPr>
              <w:spacing w:after="0"/>
              <w:rPr>
                <w:sz w:val="1"/>
                <w:szCs w:val="1"/>
                <w:color w:val="auto"/>
              </w:rPr>
            </w:pPr>
          </w:p>
        </w:tc>
      </w:tr>
      <w:tr>
        <w:trPr>
          <w:trHeight w:val="183"/>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Other</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9"/>
        </w:trPr>
        <w:tc>
          <w:tcPr>
            <w:tcW w:w="3300" w:type="dxa"/>
            <w:vAlign w:val="bottom"/>
            <w:tcBorders>
              <w:bottom w:val="single" w:sz="8" w:color="CEFFE7"/>
            </w:tcBorders>
          </w:tcPr>
          <w:p>
            <w:pPr>
              <w:spacing w:after="0"/>
              <w:rPr>
                <w:sz w:val="20"/>
                <w:szCs w:val="20"/>
                <w:color w:val="auto"/>
              </w:rPr>
            </w:pPr>
            <w:r>
              <w:rPr>
                <w:rFonts w:ascii="Arial" w:cs="Arial" w:eastAsia="Arial" w:hAnsi="Arial"/>
                <w:sz w:val="13"/>
                <w:szCs w:val="13"/>
                <w:color w:val="auto"/>
              </w:rPr>
              <w:t>Distributions to noncontrolling interest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(4,061)</w:t>
            </w:r>
          </w:p>
        </w:tc>
        <w:tc>
          <w:tcPr>
            <w:tcW w:w="0" w:type="dxa"/>
            <w:vAlign w:val="bottom"/>
          </w:tcPr>
          <w:p>
            <w:pPr>
              <w:spacing w:after="0"/>
              <w:rPr>
                <w:sz w:val="1"/>
                <w:szCs w:val="1"/>
                <w:color w:val="auto"/>
              </w:rPr>
            </w:pPr>
          </w:p>
        </w:tc>
      </w:tr>
      <w:tr>
        <w:trPr>
          <w:trHeight w:val="201"/>
        </w:trPr>
        <w:tc>
          <w:tcPr>
            <w:tcW w:w="330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3"/>
                <w:szCs w:val="13"/>
                <w:b w:val="1"/>
                <w:bCs w:val="1"/>
                <w:color w:val="auto"/>
              </w:rPr>
              <w:t>June 30, 2021</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63,526,913</w:t>
            </w:r>
          </w:p>
        </w:tc>
        <w:tc>
          <w:tcPr>
            <w:tcW w:w="18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EFFE7"/>
          </w:tcPr>
          <w:p>
            <w:pPr>
              <w:jc w:val="right"/>
              <w:ind w:right="57"/>
              <w:spacing w:after="0"/>
              <w:rPr>
                <w:sz w:val="20"/>
                <w:szCs w:val="20"/>
                <w:color w:val="auto"/>
              </w:rPr>
            </w:pPr>
            <w:r>
              <w:rPr>
                <w:rFonts w:ascii="Arial" w:cs="Arial" w:eastAsia="Arial" w:hAnsi="Arial"/>
                <w:sz w:val="13"/>
                <w:szCs w:val="13"/>
                <w:color w:val="auto"/>
              </w:rPr>
              <w:t>63,527</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46,528</w:t>
            </w:r>
          </w:p>
        </w:tc>
        <w:tc>
          <w:tcPr>
            <w:tcW w:w="18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(2,988)</w:t>
            </w:r>
          </w:p>
        </w:tc>
        <w:tc>
          <w:tcPr>
            <w:tcW w:w="120" w:type="dxa"/>
            <w:vAlign w:val="bottom"/>
            <w:tcBorders>
              <w:bottom w:val="single" w:sz="8" w:color="auto"/>
            </w:tcBorders>
            <w:shd w:val="clear" w:color="auto" w:fill="CEFFE7"/>
          </w:tcPr>
          <w:p>
            <w:pP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1,701,825</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921,122</w:t>
            </w:r>
          </w:p>
        </w:tc>
        <w:tc>
          <w:tcPr>
            <w:tcW w:w="18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(24,446)</w:t>
            </w:r>
          </w:p>
        </w:tc>
        <w:tc>
          <w:tcPr>
            <w:tcW w:w="18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99,854</w:t>
            </w:r>
          </w:p>
        </w:tc>
        <w:tc>
          <w:tcPr>
            <w:tcW w:w="240" w:type="dxa"/>
            <w:vAlign w:val="bottom"/>
            <w:tcBorders>
              <w:bottom w:val="single" w:sz="8" w:color="auto"/>
            </w:tcBorders>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2,758,894</w:t>
            </w:r>
          </w:p>
        </w:tc>
        <w:tc>
          <w:tcPr>
            <w:tcW w:w="0" w:type="dxa"/>
            <w:vAlign w:val="bottom"/>
          </w:tcPr>
          <w:p>
            <w:pPr>
              <w:spacing w:after="0"/>
              <w:rPr>
                <w:sz w:val="1"/>
                <w:szCs w:val="1"/>
                <w:color w:val="auto"/>
              </w:rPr>
            </w:pPr>
          </w:p>
        </w:tc>
      </w:tr>
      <w:tr>
        <w:trPr>
          <w:trHeight w:val="20"/>
        </w:trPr>
        <w:tc>
          <w:tcPr>
            <w:tcW w:w="3300" w:type="dxa"/>
            <w:vAlign w:val="bottom"/>
            <w:tcBorders>
              <w:top w:val="single" w:sz="8" w:color="CEFFE7"/>
            </w:tcBorders>
          </w:tcPr>
          <w:p>
            <w:pPr>
              <w:spacing w:after="0" w:line="20" w:lineRule="exact"/>
              <w:rPr>
                <w:sz w:val="1"/>
                <w:szCs w:val="1"/>
                <w:color w:val="auto"/>
              </w:rPr>
            </w:pPr>
          </w:p>
        </w:tc>
        <w:tc>
          <w:tcPr>
            <w:tcW w:w="1840" w:type="dxa"/>
            <w:vAlign w:val="bottom"/>
            <w:tcBorders>
              <w:top w:val="single" w:sz="8" w:color="CEFFE7"/>
              <w:bottom w:val="single" w:sz="8" w:color="auto"/>
            </w:tcBorders>
            <w:gridSpan w:val="3"/>
          </w:tcPr>
          <w:p>
            <w:pPr>
              <w:spacing w:after="0" w:line="20" w:lineRule="exact"/>
              <w:rPr>
                <w:sz w:val="1"/>
                <w:szCs w:val="1"/>
                <w:color w:val="auto"/>
              </w:rPr>
            </w:pPr>
          </w:p>
        </w:tc>
        <w:tc>
          <w:tcPr>
            <w:tcW w:w="1540" w:type="dxa"/>
            <w:vAlign w:val="bottom"/>
            <w:tcBorders>
              <w:top w:val="single" w:sz="8" w:color="CEFFE7"/>
              <w:bottom w:val="single" w:sz="8" w:color="auto"/>
            </w:tcBorders>
            <w:gridSpan w:val="3"/>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62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3300" w:type="dxa"/>
            <w:vAlign w:val="bottom"/>
          </w:tcPr>
          <w:p>
            <w:pPr>
              <w:spacing w:after="0"/>
              <w:rPr>
                <w:sz w:val="24"/>
                <w:szCs w:val="24"/>
                <w:color w:val="auto"/>
              </w:rPr>
            </w:pPr>
          </w:p>
        </w:tc>
        <w:tc>
          <w:tcPr>
            <w:tcW w:w="184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3"/>
                <w:szCs w:val="13"/>
                <w:color w:val="auto"/>
              </w:rPr>
              <w:t>Common Stock</w:t>
            </w:r>
          </w:p>
        </w:tc>
        <w:tc>
          <w:tcPr>
            <w:tcW w:w="154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3"/>
                <w:szCs w:val="13"/>
                <w:color w:val="auto"/>
              </w:rPr>
              <w:t>Treasury Stock</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3300" w:type="dxa"/>
            <w:vAlign w:val="bottom"/>
            <w:vMerge w:val="restart"/>
          </w:tcPr>
          <w:p>
            <w:pPr>
              <w:spacing w:after="0"/>
              <w:rPr>
                <w:sz w:val="20"/>
                <w:szCs w:val="20"/>
                <w:color w:val="auto"/>
              </w:rPr>
            </w:pPr>
            <w:r>
              <w:rPr>
                <w:rFonts w:ascii="Arial" w:cs="Arial" w:eastAsia="Arial" w:hAnsi="Arial"/>
                <w:sz w:val="13"/>
                <w:szCs w:val="13"/>
                <w:color w:val="auto"/>
              </w:rPr>
              <w:t>(in thousands except share amounts)</w:t>
            </w:r>
          </w:p>
        </w:tc>
        <w:tc>
          <w:tcPr>
            <w:tcW w:w="960" w:type="dxa"/>
            <w:vAlign w:val="bottom"/>
            <w:vMerge w:val="restart"/>
          </w:tcPr>
          <w:p>
            <w:pPr>
              <w:jc w:val="right"/>
              <w:ind w:right="217"/>
              <w:spacing w:after="0"/>
              <w:rPr>
                <w:sz w:val="20"/>
                <w:szCs w:val="20"/>
                <w:color w:val="auto"/>
              </w:rPr>
            </w:pPr>
            <w:r>
              <w:rPr>
                <w:rFonts w:ascii="Arial" w:cs="Arial" w:eastAsia="Arial" w:hAnsi="Arial"/>
                <w:sz w:val="13"/>
                <w:szCs w:val="13"/>
                <w:color w:val="auto"/>
              </w:rPr>
              <w:t>Shares</w:t>
            </w:r>
          </w:p>
        </w:tc>
        <w:tc>
          <w:tcPr>
            <w:tcW w:w="180" w:type="dxa"/>
            <w:vAlign w:val="bottom"/>
          </w:tcPr>
          <w:p>
            <w:pPr>
              <w:spacing w:after="0"/>
              <w:rPr>
                <w:sz w:val="10"/>
                <w:szCs w:val="10"/>
                <w:color w:val="auto"/>
              </w:rPr>
            </w:pPr>
          </w:p>
        </w:tc>
        <w:tc>
          <w:tcPr>
            <w:tcW w:w="700" w:type="dxa"/>
            <w:vAlign w:val="bottom"/>
            <w:vMerge w:val="restart"/>
          </w:tcPr>
          <w:p>
            <w:pPr>
              <w:jc w:val="right"/>
              <w:ind w:right="237"/>
              <w:spacing w:after="0"/>
              <w:rPr>
                <w:sz w:val="20"/>
                <w:szCs w:val="20"/>
                <w:color w:val="auto"/>
              </w:rPr>
            </w:pPr>
            <w:r>
              <w:rPr>
                <w:rFonts w:ascii="Arial" w:cs="Arial" w:eastAsia="Arial" w:hAnsi="Arial"/>
                <w:sz w:val="13"/>
                <w:szCs w:val="13"/>
                <w:color w:val="auto"/>
              </w:rPr>
              <w:t>Value</w:t>
            </w:r>
          </w:p>
        </w:tc>
        <w:tc>
          <w:tcPr>
            <w:tcW w:w="720" w:type="dxa"/>
            <w:vAlign w:val="bottom"/>
            <w:vMerge w:val="restart"/>
          </w:tcPr>
          <w:p>
            <w:pPr>
              <w:jc w:val="right"/>
              <w:ind w:right="117"/>
              <w:spacing w:after="0"/>
              <w:rPr>
                <w:sz w:val="20"/>
                <w:szCs w:val="20"/>
                <w:color w:val="auto"/>
              </w:rPr>
            </w:pPr>
            <w:r>
              <w:rPr>
                <w:rFonts w:ascii="Arial" w:cs="Arial" w:eastAsia="Arial" w:hAnsi="Arial"/>
                <w:sz w:val="13"/>
                <w:szCs w:val="13"/>
                <w:color w:val="auto"/>
              </w:rPr>
              <w:t>Shares</w:t>
            </w:r>
          </w:p>
        </w:tc>
        <w:tc>
          <w:tcPr>
            <w:tcW w:w="180" w:type="dxa"/>
            <w:vAlign w:val="bottom"/>
          </w:tcPr>
          <w:p>
            <w:pPr>
              <w:spacing w:after="0"/>
              <w:rPr>
                <w:sz w:val="10"/>
                <w:szCs w:val="10"/>
                <w:color w:val="auto"/>
              </w:rPr>
            </w:pPr>
          </w:p>
        </w:tc>
        <w:tc>
          <w:tcPr>
            <w:tcW w:w="640" w:type="dxa"/>
            <w:vAlign w:val="bottom"/>
            <w:vMerge w:val="restart"/>
          </w:tcPr>
          <w:p>
            <w:pPr>
              <w:jc w:val="right"/>
              <w:ind w:right="197"/>
              <w:spacing w:after="0"/>
              <w:rPr>
                <w:sz w:val="20"/>
                <w:szCs w:val="20"/>
                <w:color w:val="auto"/>
              </w:rPr>
            </w:pPr>
            <w:r>
              <w:rPr>
                <w:rFonts w:ascii="Arial" w:cs="Arial" w:eastAsia="Arial" w:hAnsi="Arial"/>
                <w:sz w:val="13"/>
                <w:szCs w:val="13"/>
                <w:color w:val="auto"/>
              </w:rPr>
              <w:t>Value</w:t>
            </w:r>
          </w:p>
        </w:tc>
        <w:tc>
          <w:tcPr>
            <w:tcW w:w="900" w:type="dxa"/>
            <w:vAlign w:val="bottom"/>
            <w:gridSpan w:val="2"/>
          </w:tcPr>
          <w:p>
            <w:pPr>
              <w:ind w:left="20"/>
              <w:spacing w:after="0" w:line="116" w:lineRule="exact"/>
              <w:rPr>
                <w:sz w:val="20"/>
                <w:szCs w:val="20"/>
                <w:color w:val="auto"/>
              </w:rPr>
            </w:pPr>
            <w:r>
              <w:rPr>
                <w:rFonts w:ascii="Arial" w:cs="Arial" w:eastAsia="Arial" w:hAnsi="Arial"/>
                <w:sz w:val="13"/>
                <w:szCs w:val="13"/>
                <w:color w:val="auto"/>
                <w:w w:val="99"/>
              </w:rPr>
              <w:t>Additional Paid</w:t>
            </w:r>
          </w:p>
        </w:tc>
        <w:tc>
          <w:tcPr>
            <w:tcW w:w="140" w:type="dxa"/>
            <w:vAlign w:val="bottom"/>
          </w:tcPr>
          <w:p>
            <w:pPr>
              <w:spacing w:after="0"/>
              <w:rPr>
                <w:sz w:val="10"/>
                <w:szCs w:val="10"/>
                <w:color w:val="auto"/>
              </w:rPr>
            </w:pPr>
          </w:p>
        </w:tc>
        <w:tc>
          <w:tcPr>
            <w:tcW w:w="720" w:type="dxa"/>
            <w:vAlign w:val="bottom"/>
          </w:tcPr>
          <w:p>
            <w:pPr>
              <w:jc w:val="right"/>
              <w:ind w:right="117"/>
              <w:spacing w:after="0" w:line="116" w:lineRule="exact"/>
              <w:rPr>
                <w:sz w:val="20"/>
                <w:szCs w:val="20"/>
                <w:color w:val="auto"/>
              </w:rPr>
            </w:pPr>
            <w:r>
              <w:rPr>
                <w:rFonts w:ascii="Arial" w:cs="Arial" w:eastAsia="Arial" w:hAnsi="Arial"/>
                <w:sz w:val="13"/>
                <w:szCs w:val="13"/>
                <w:color w:val="auto"/>
                <w:w w:val="99"/>
              </w:rPr>
              <w:t>Retained</w:t>
            </w:r>
          </w:p>
        </w:tc>
        <w:tc>
          <w:tcPr>
            <w:tcW w:w="180" w:type="dxa"/>
            <w:vAlign w:val="bottom"/>
          </w:tcPr>
          <w:p>
            <w:pPr>
              <w:spacing w:after="0"/>
              <w:rPr>
                <w:sz w:val="10"/>
                <w:szCs w:val="10"/>
                <w:color w:val="auto"/>
              </w:rPr>
            </w:pPr>
          </w:p>
        </w:tc>
        <w:tc>
          <w:tcPr>
            <w:tcW w:w="620" w:type="dxa"/>
            <w:vAlign w:val="bottom"/>
            <w:vMerge w:val="restart"/>
          </w:tcPr>
          <w:p>
            <w:pPr>
              <w:jc w:val="right"/>
              <w:ind w:right="177"/>
              <w:spacing w:after="0"/>
              <w:rPr>
                <w:sz w:val="20"/>
                <w:szCs w:val="20"/>
                <w:color w:val="auto"/>
              </w:rPr>
            </w:pPr>
            <w:r>
              <w:rPr>
                <w:rFonts w:ascii="Arial" w:cs="Arial" w:eastAsia="Arial" w:hAnsi="Arial"/>
                <w:sz w:val="13"/>
                <w:szCs w:val="13"/>
                <w:color w:val="auto"/>
              </w:rPr>
              <w:t>AOCI</w:t>
            </w:r>
          </w:p>
        </w:tc>
        <w:tc>
          <w:tcPr>
            <w:tcW w:w="920" w:type="dxa"/>
            <w:vAlign w:val="bottom"/>
            <w:gridSpan w:val="2"/>
          </w:tcPr>
          <w:p>
            <w:pPr>
              <w:jc w:val="center"/>
              <w:spacing w:after="0" w:line="116" w:lineRule="exact"/>
              <w:rPr>
                <w:sz w:val="20"/>
                <w:szCs w:val="20"/>
                <w:color w:val="auto"/>
              </w:rPr>
            </w:pPr>
            <w:r>
              <w:rPr>
                <w:rFonts w:ascii="Arial" w:cs="Arial" w:eastAsia="Arial" w:hAnsi="Arial"/>
                <w:sz w:val="13"/>
                <w:szCs w:val="13"/>
                <w:color w:val="auto"/>
                <w:w w:val="96"/>
              </w:rPr>
              <w:t>Non controlling</w:t>
            </w:r>
          </w:p>
        </w:tc>
        <w:tc>
          <w:tcPr>
            <w:tcW w:w="240" w:type="dxa"/>
            <w:vAlign w:val="bottom"/>
          </w:tcPr>
          <w:p>
            <w:pPr>
              <w:spacing w:after="0"/>
              <w:rPr>
                <w:sz w:val="10"/>
                <w:szCs w:val="10"/>
                <w:color w:val="auto"/>
              </w:rPr>
            </w:pPr>
          </w:p>
        </w:tc>
        <w:tc>
          <w:tcPr>
            <w:tcW w:w="780" w:type="dxa"/>
            <w:vAlign w:val="bottom"/>
            <w:vMerge w:val="restart"/>
          </w:tcPr>
          <w:p>
            <w:pPr>
              <w:jc w:val="right"/>
              <w:ind w:right="317"/>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1"/>
        </w:trPr>
        <w:tc>
          <w:tcPr>
            <w:tcW w:w="3300" w:type="dxa"/>
            <w:vAlign w:val="bottom"/>
            <w:tcBorders>
              <w:bottom w:val="single" w:sz="8" w:color="CEFFE7"/>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in Capital</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Earnings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color w:val="auto"/>
                <w:w w:val="96"/>
              </w:rPr>
              <w:t>Interest</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00" w:type="dxa"/>
            <w:vAlign w:val="bottom"/>
            <w:shd w:val="clear" w:color="auto" w:fill="CEFFE7"/>
          </w:tcPr>
          <w:p>
            <w:pPr>
              <w:spacing w:after="0"/>
              <w:rPr>
                <w:sz w:val="20"/>
                <w:szCs w:val="20"/>
                <w:color w:val="auto"/>
              </w:rPr>
            </w:pPr>
            <w:r>
              <w:rPr>
                <w:rFonts w:ascii="Arial" w:cs="Arial" w:eastAsia="Arial" w:hAnsi="Arial"/>
                <w:sz w:val="13"/>
                <w:szCs w:val="13"/>
                <w:b w:val="1"/>
                <w:bCs w:val="1"/>
                <w:color w:val="auto"/>
              </w:rPr>
              <w:t>December 31, 2019</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61,480,658</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61,481</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3,956</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(267)</w:t>
            </w:r>
          </w:p>
        </w:tc>
        <w:tc>
          <w:tcPr>
            <w:tcW w:w="120" w:type="dxa"/>
            <w:vAlign w:val="bottom"/>
            <w:shd w:val="clear" w:color="auto" w:fill="CEFFE7"/>
          </w:tcPr>
          <w:p>
            <w:pPr>
              <w:spacing w:after="0"/>
              <w:rPr>
                <w:sz w:val="20"/>
                <w:szCs w:val="20"/>
                <w:color w:val="auto"/>
              </w:rPr>
            </w:pPr>
            <w:r>
              <w:rPr>
                <w:rFonts w:ascii="Arial" w:cs="Arial" w:eastAsia="Arial" w:hAnsi="Arial"/>
                <w:sz w:val="13"/>
                <w:szCs w:val="13"/>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1,552,788</w:t>
            </w:r>
          </w:p>
        </w:tc>
        <w:tc>
          <w:tcPr>
            <w:tcW w:w="140" w:type="dxa"/>
            <w:vAlign w:val="bottom"/>
            <w:shd w:val="clear" w:color="auto" w:fill="CEFFE7"/>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778,776</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(30,655)</w:t>
            </w:r>
          </w:p>
        </w:tc>
        <w:tc>
          <w:tcPr>
            <w:tcW w:w="18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101,946</w:t>
            </w:r>
          </w:p>
        </w:tc>
        <w:tc>
          <w:tcPr>
            <w:tcW w:w="24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2,464,069</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Net income</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93,174</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4,050</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97,224</w:t>
            </w:r>
          </w:p>
        </w:tc>
        <w:tc>
          <w:tcPr>
            <w:tcW w:w="0" w:type="dxa"/>
            <w:vAlign w:val="bottom"/>
          </w:tcPr>
          <w:p>
            <w:pPr>
              <w:spacing w:after="0"/>
              <w:rPr>
                <w:sz w:val="1"/>
                <w:szCs w:val="1"/>
                <w:color w:val="auto"/>
              </w:rPr>
            </w:pPr>
          </w:p>
        </w:tc>
      </w:tr>
      <w:tr>
        <w:trPr>
          <w:trHeight w:val="184"/>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Other comprehensive income (loss), net of tax</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1,273</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1,273</w:t>
            </w:r>
          </w:p>
        </w:tc>
        <w:tc>
          <w:tcPr>
            <w:tcW w:w="0" w:type="dxa"/>
            <w:vAlign w:val="bottom"/>
          </w:tcPr>
          <w:p>
            <w:pPr>
              <w:spacing w:after="0"/>
              <w:rPr>
                <w:sz w:val="1"/>
                <w:szCs w:val="1"/>
                <w:color w:val="auto"/>
              </w:rPr>
            </w:pPr>
          </w:p>
        </w:tc>
      </w:tr>
      <w:tr>
        <w:trPr>
          <w:trHeight w:val="167"/>
        </w:trPr>
        <w:tc>
          <w:tcPr>
            <w:tcW w:w="3300" w:type="dxa"/>
            <w:vAlign w:val="bottom"/>
          </w:tcPr>
          <w:p>
            <w:pPr>
              <w:spacing w:after="0"/>
              <w:rPr>
                <w:sz w:val="20"/>
                <w:szCs w:val="20"/>
                <w:color w:val="auto"/>
              </w:rPr>
            </w:pPr>
            <w:r>
              <w:rPr>
                <w:rFonts w:ascii="Arial" w:cs="Arial" w:eastAsia="Arial" w:hAnsi="Arial"/>
                <w:sz w:val="13"/>
                <w:szCs w:val="13"/>
                <w:color w:val="auto"/>
              </w:rPr>
              <w:t>Dividends on common stock ($0.535 per share)</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(32,902)</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(32,902)</w:t>
            </w:r>
          </w:p>
        </w:tc>
        <w:tc>
          <w:tcPr>
            <w:tcW w:w="0" w:type="dxa"/>
            <w:vAlign w:val="bottom"/>
          </w:tcPr>
          <w:p>
            <w:pPr>
              <w:spacing w:after="0"/>
              <w:rPr>
                <w:sz w:val="1"/>
                <w:szCs w:val="1"/>
                <w:color w:val="auto"/>
              </w:rPr>
            </w:pPr>
          </w:p>
        </w:tc>
      </w:tr>
      <w:tr>
        <w:trPr>
          <w:trHeight w:val="184"/>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Share-based compensation</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69,378</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69</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20,700</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(1,658)</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2,263</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674</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Issuance of common stock</w:t>
            </w:r>
          </w:p>
        </w:tc>
        <w:tc>
          <w:tcPr>
            <w:tcW w:w="960" w:type="dxa"/>
            <w:vAlign w:val="bottom"/>
          </w:tcPr>
          <w:p>
            <w:pPr>
              <w:jc w:val="right"/>
              <w:spacing w:after="0"/>
              <w:rPr>
                <w:sz w:val="20"/>
                <w:szCs w:val="20"/>
                <w:color w:val="auto"/>
              </w:rPr>
            </w:pPr>
            <w:r>
              <w:rPr>
                <w:rFonts w:ascii="Arial" w:cs="Arial" w:eastAsia="Arial" w:hAnsi="Arial"/>
                <w:sz w:val="13"/>
                <w:szCs w:val="13"/>
                <w:color w:val="auto"/>
              </w:rPr>
              <w:t>1,222,942</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1,223</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98,777</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100,000</w:t>
            </w:r>
          </w:p>
        </w:tc>
        <w:tc>
          <w:tcPr>
            <w:tcW w:w="0" w:type="dxa"/>
            <w:vAlign w:val="bottom"/>
          </w:tcPr>
          <w:p>
            <w:pPr>
              <w:spacing w:after="0"/>
              <w:rPr>
                <w:sz w:val="1"/>
                <w:szCs w:val="1"/>
                <w:color w:val="auto"/>
              </w:rPr>
            </w:pPr>
          </w:p>
        </w:tc>
      </w:tr>
      <w:tr>
        <w:trPr>
          <w:trHeight w:val="183"/>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Issuance costs</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(967)</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(967)</w:t>
            </w:r>
          </w:p>
        </w:tc>
        <w:tc>
          <w:tcPr>
            <w:tcW w:w="0" w:type="dxa"/>
            <w:vAlign w:val="bottom"/>
          </w:tcPr>
          <w:p>
            <w:pPr>
              <w:spacing w:after="0"/>
              <w:rPr>
                <w:sz w:val="1"/>
                <w:szCs w:val="1"/>
                <w:color w:val="auto"/>
              </w:rPr>
            </w:pPr>
          </w:p>
        </w:tc>
      </w:tr>
      <w:tr>
        <w:trPr>
          <w:trHeight w:val="129"/>
        </w:trPr>
        <w:tc>
          <w:tcPr>
            <w:tcW w:w="3300" w:type="dxa"/>
            <w:vAlign w:val="bottom"/>
          </w:tcPr>
          <w:p>
            <w:pPr>
              <w:spacing w:after="0" w:line="129" w:lineRule="exact"/>
              <w:rPr>
                <w:sz w:val="20"/>
                <w:szCs w:val="20"/>
                <w:color w:val="auto"/>
              </w:rPr>
            </w:pPr>
            <w:r>
              <w:rPr>
                <w:rFonts w:ascii="Arial" w:cs="Arial" w:eastAsia="Arial" w:hAnsi="Arial"/>
                <w:sz w:val="13"/>
                <w:szCs w:val="13"/>
                <w:color w:val="auto"/>
              </w:rPr>
              <w:t>Implementation of ASU 2016-13 Financial Instruments -</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(207)</w:t>
            </w: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(207)</w:t>
            </w:r>
          </w:p>
        </w:tc>
        <w:tc>
          <w:tcPr>
            <w:tcW w:w="0" w:type="dxa"/>
            <w:vAlign w:val="bottom"/>
          </w:tcPr>
          <w:p>
            <w:pPr>
              <w:spacing w:after="0"/>
              <w:rPr>
                <w:sz w:val="1"/>
                <w:szCs w:val="1"/>
                <w:color w:val="auto"/>
              </w:rPr>
            </w:pPr>
          </w:p>
        </w:tc>
      </w:tr>
      <w:tr>
        <w:trPr>
          <w:trHeight w:val="160"/>
        </w:trPr>
        <w:tc>
          <w:tcPr>
            <w:tcW w:w="3300" w:type="dxa"/>
            <w:vAlign w:val="bottom"/>
          </w:tcPr>
          <w:p>
            <w:pPr>
              <w:spacing w:after="0"/>
              <w:rPr>
                <w:sz w:val="20"/>
                <w:szCs w:val="20"/>
                <w:color w:val="auto"/>
              </w:rPr>
            </w:pPr>
            <w:r>
              <w:rPr>
                <w:rFonts w:ascii="Arial" w:cs="Arial" w:eastAsia="Arial" w:hAnsi="Arial"/>
                <w:sz w:val="13"/>
                <w:szCs w:val="13"/>
                <w:color w:val="auto"/>
              </w:rPr>
              <w:t>Credit Losses</w:t>
            </w:r>
          </w:p>
        </w:tc>
        <w:tc>
          <w:tcPr>
            <w:tcW w:w="9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Distributions to noncontrolling interest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700" w:type="dxa"/>
            <w:vAlign w:val="bottom"/>
            <w:tcBorders>
              <w:bottom w:val="single" w:sz="8" w:color="auto"/>
            </w:tcBorders>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64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EFFE7"/>
          </w:tcPr>
          <w:p>
            <w:pPr>
              <w:spacing w:after="0"/>
              <w:rPr>
                <w:sz w:val="15"/>
                <w:szCs w:val="15"/>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EFFE7"/>
          </w:tcPr>
          <w:p>
            <w:pPr>
              <w:spacing w:after="0"/>
              <w:rPr>
                <w:sz w:val="15"/>
                <w:szCs w:val="15"/>
                <w:color w:val="auto"/>
              </w:rPr>
            </w:pP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EFFE7"/>
          </w:tcPr>
          <w:p>
            <w:pPr>
              <w:spacing w:after="0"/>
              <w:rPr>
                <w:sz w:val="15"/>
                <w:szCs w:val="15"/>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(4,741)</w:t>
            </w:r>
          </w:p>
        </w:tc>
        <w:tc>
          <w:tcPr>
            <w:tcW w:w="240" w:type="dxa"/>
            <w:vAlign w:val="bottom"/>
            <w:tcBorders>
              <w:bottom w:val="single" w:sz="8" w:color="auto"/>
            </w:tcBorders>
            <w:shd w:val="clear" w:color="auto" w:fill="CEFFE7"/>
          </w:tcPr>
          <w:p>
            <w:pPr>
              <w:spacing w:after="0"/>
              <w:rPr>
                <w:sz w:val="15"/>
                <w:szCs w:val="15"/>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(4,741)</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20"/>
                <w:szCs w:val="20"/>
                <w:color w:val="auto"/>
              </w:rPr>
            </w:pPr>
            <w:r>
              <w:rPr>
                <w:rFonts w:ascii="Arial" w:cs="Arial" w:eastAsia="Arial" w:hAnsi="Arial"/>
                <w:sz w:val="13"/>
                <w:szCs w:val="13"/>
                <w:b w:val="1"/>
                <w:bCs w:val="1"/>
                <w:color w:val="auto"/>
              </w:rPr>
              <w:t>March 31, 2020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62,772,978</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62,773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24,656</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(1,925)</w:t>
            </w:r>
          </w:p>
        </w:tc>
        <w:tc>
          <w:tcPr>
            <w:tcW w:w="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1,652,861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838,841</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(29,382)</w:t>
            </w: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101,255</w:t>
            </w: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2,624,423</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EFFE7"/>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Net income</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4"/>
                <w:szCs w:val="14"/>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4"/>
                <w:szCs w:val="14"/>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4"/>
                <w:szCs w:val="14"/>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4"/>
                <w:szCs w:val="14"/>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20,966</w:t>
            </w:r>
          </w:p>
        </w:tc>
        <w:tc>
          <w:tcPr>
            <w:tcW w:w="180" w:type="dxa"/>
            <w:vAlign w:val="bottom"/>
            <w:shd w:val="clear" w:color="auto" w:fill="CEFFE7"/>
          </w:tcPr>
          <w:p>
            <w:pPr>
              <w:spacing w:after="0"/>
              <w:rPr>
                <w:sz w:val="14"/>
                <w:szCs w:val="14"/>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4"/>
                <w:szCs w:val="14"/>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3,728</w:t>
            </w:r>
          </w:p>
        </w:tc>
        <w:tc>
          <w:tcPr>
            <w:tcW w:w="240" w:type="dxa"/>
            <w:vAlign w:val="bottom"/>
            <w:shd w:val="clear" w:color="auto" w:fill="CEFFE7"/>
          </w:tcPr>
          <w:p>
            <w:pPr>
              <w:spacing w:after="0"/>
              <w:rPr>
                <w:sz w:val="14"/>
                <w:szCs w:val="14"/>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24,694</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Other comprehensive income (loss), net of tax</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948</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948</w:t>
            </w:r>
          </w:p>
        </w:tc>
        <w:tc>
          <w:tcPr>
            <w:tcW w:w="0" w:type="dxa"/>
            <w:vAlign w:val="bottom"/>
          </w:tcPr>
          <w:p>
            <w:pPr>
              <w:spacing w:after="0"/>
              <w:rPr>
                <w:sz w:val="1"/>
                <w:szCs w:val="1"/>
                <w:color w:val="auto"/>
              </w:rPr>
            </w:pPr>
          </w:p>
        </w:tc>
      </w:tr>
      <w:tr>
        <w:trPr>
          <w:trHeight w:val="183"/>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Dividends on common stock ($0.535 per share)</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(33,538)</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(33,538)</w:t>
            </w: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960" w:type="dxa"/>
            <w:vAlign w:val="bottom"/>
          </w:tcPr>
          <w:p>
            <w:pPr>
              <w:jc w:val="right"/>
              <w:spacing w:after="0"/>
              <w:rPr>
                <w:sz w:val="20"/>
                <w:szCs w:val="20"/>
                <w:color w:val="auto"/>
              </w:rPr>
            </w:pPr>
            <w:r>
              <w:rPr>
                <w:rFonts w:ascii="Arial" w:cs="Arial" w:eastAsia="Arial" w:hAnsi="Arial"/>
                <w:sz w:val="13"/>
                <w:szCs w:val="13"/>
                <w:color w:val="auto"/>
              </w:rPr>
              <w:t>18</w:t>
            </w:r>
          </w:p>
        </w:tc>
        <w:tc>
          <w:tcPr>
            <w:tcW w:w="18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1,743</w:t>
            </w:r>
          </w:p>
        </w:tc>
        <w:tc>
          <w:tcPr>
            <w:tcW w:w="1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1,781</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1,827</w:t>
            </w:r>
          </w:p>
        </w:tc>
        <w:tc>
          <w:tcPr>
            <w:tcW w:w="0" w:type="dxa"/>
            <w:vAlign w:val="bottom"/>
          </w:tcPr>
          <w:p>
            <w:pPr>
              <w:spacing w:after="0"/>
              <w:rPr>
                <w:sz w:val="1"/>
                <w:szCs w:val="1"/>
                <w:color w:val="auto"/>
              </w:rPr>
            </w:pPr>
          </w:p>
        </w:tc>
      </w:tr>
      <w:tr>
        <w:trPr>
          <w:trHeight w:val="183"/>
        </w:trPr>
        <w:tc>
          <w:tcPr>
            <w:tcW w:w="3300" w:type="dxa"/>
            <w:vAlign w:val="bottom"/>
            <w:shd w:val="clear" w:color="auto" w:fill="CEFFE7"/>
          </w:tcPr>
          <w:p>
            <w:pPr>
              <w:spacing w:after="0"/>
              <w:rPr>
                <w:sz w:val="20"/>
                <w:szCs w:val="20"/>
                <w:color w:val="auto"/>
              </w:rPr>
            </w:pPr>
            <w:r>
              <w:rPr>
                <w:rFonts w:ascii="Arial" w:cs="Arial" w:eastAsia="Arial" w:hAnsi="Arial"/>
                <w:sz w:val="13"/>
                <w:szCs w:val="13"/>
                <w:color w:val="auto"/>
              </w:rPr>
              <w:t>Issuance costs</w:t>
            </w:r>
          </w:p>
        </w:tc>
        <w:tc>
          <w:tcPr>
            <w:tcW w:w="96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00" w:type="dxa"/>
            <w:vAlign w:val="bottom"/>
            <w:shd w:val="clear" w:color="auto" w:fill="CEFFE7"/>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40" w:type="dxa"/>
            <w:vAlign w:val="bottom"/>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(79)</w:t>
            </w:r>
          </w:p>
        </w:tc>
        <w:tc>
          <w:tcPr>
            <w:tcW w:w="140" w:type="dxa"/>
            <w:vAlign w:val="bottom"/>
            <w:shd w:val="clear" w:color="auto" w:fill="CEFFE7"/>
          </w:tcPr>
          <w:p>
            <w:pPr>
              <w:spacing w:after="0"/>
              <w:rPr>
                <w:sz w:val="15"/>
                <w:szCs w:val="15"/>
                <w:color w:val="auto"/>
              </w:rPr>
            </w:pPr>
          </w:p>
        </w:tc>
        <w:tc>
          <w:tcPr>
            <w:tcW w:w="7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EFFE7"/>
          </w:tcPr>
          <w:p>
            <w:pPr>
              <w:spacing w:after="0"/>
              <w:rPr>
                <w:sz w:val="15"/>
                <w:szCs w:val="15"/>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EFFE7"/>
          </w:tcPr>
          <w:p>
            <w:pPr>
              <w:spacing w:after="0"/>
              <w:rPr>
                <w:sz w:val="15"/>
                <w:szCs w:val="15"/>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69"/>
        </w:trPr>
        <w:tc>
          <w:tcPr>
            <w:tcW w:w="3300" w:type="dxa"/>
            <w:vAlign w:val="bottom"/>
            <w:tcBorders>
              <w:bottom w:val="single" w:sz="8" w:color="CEFFE7"/>
            </w:tcBorders>
          </w:tcPr>
          <w:p>
            <w:pPr>
              <w:spacing w:after="0"/>
              <w:rPr>
                <w:sz w:val="20"/>
                <w:szCs w:val="20"/>
                <w:color w:val="auto"/>
              </w:rPr>
            </w:pPr>
            <w:r>
              <w:rPr>
                <w:rFonts w:ascii="Arial" w:cs="Arial" w:eastAsia="Arial" w:hAnsi="Arial"/>
                <w:sz w:val="13"/>
                <w:szCs w:val="13"/>
                <w:color w:val="auto"/>
              </w:rPr>
              <w:t>Distributions to noncontrolling interest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(3,779)</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(3,779)</w:t>
            </w:r>
          </w:p>
        </w:tc>
        <w:tc>
          <w:tcPr>
            <w:tcW w:w="0" w:type="dxa"/>
            <w:vAlign w:val="bottom"/>
          </w:tcPr>
          <w:p>
            <w:pPr>
              <w:spacing w:after="0"/>
              <w:rPr>
                <w:sz w:val="1"/>
                <w:szCs w:val="1"/>
                <w:color w:val="auto"/>
              </w:rPr>
            </w:pPr>
          </w:p>
        </w:tc>
      </w:tr>
      <w:tr>
        <w:trPr>
          <w:trHeight w:val="173"/>
        </w:trPr>
        <w:tc>
          <w:tcPr>
            <w:tcW w:w="330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3"/>
                <w:szCs w:val="13"/>
                <w:b w:val="1"/>
                <w:bCs w:val="1"/>
                <w:color w:val="auto"/>
              </w:rPr>
              <w:t>June 30, 2020</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62,772,996</w:t>
            </w:r>
          </w:p>
        </w:tc>
        <w:tc>
          <w:tcPr>
            <w:tcW w:w="18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EFFE7"/>
          </w:tcPr>
          <w:p>
            <w:pPr>
              <w:jc w:val="right"/>
              <w:ind w:right="57"/>
              <w:spacing w:after="0"/>
              <w:rPr>
                <w:sz w:val="20"/>
                <w:szCs w:val="20"/>
                <w:color w:val="auto"/>
              </w:rPr>
            </w:pPr>
            <w:r>
              <w:rPr>
                <w:rFonts w:ascii="Arial" w:cs="Arial" w:eastAsia="Arial" w:hAnsi="Arial"/>
                <w:sz w:val="13"/>
                <w:szCs w:val="13"/>
                <w:color w:val="auto"/>
              </w:rPr>
              <w:t>62,773</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26,399</w:t>
            </w:r>
          </w:p>
        </w:tc>
        <w:tc>
          <w:tcPr>
            <w:tcW w:w="18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(1,879)</w:t>
            </w:r>
          </w:p>
        </w:tc>
        <w:tc>
          <w:tcPr>
            <w:tcW w:w="120" w:type="dxa"/>
            <w:vAlign w:val="bottom"/>
            <w:tcBorders>
              <w:bottom w:val="single" w:sz="8" w:color="auto"/>
            </w:tcBorders>
            <w:shd w:val="clear" w:color="auto" w:fill="CEFFE7"/>
          </w:tcPr>
          <w:p>
            <w:pPr>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1,654,563</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826,269</w:t>
            </w:r>
          </w:p>
        </w:tc>
        <w:tc>
          <w:tcPr>
            <w:tcW w:w="18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(28,434)</w:t>
            </w:r>
          </w:p>
        </w:tc>
        <w:tc>
          <w:tcPr>
            <w:tcW w:w="180" w:type="dxa"/>
            <w:vAlign w:val="bottom"/>
            <w:tcBorders>
              <w:bottom w:val="single" w:sz="8" w:color="auto"/>
            </w:tcBorders>
            <w:shd w:val="clear" w:color="auto" w:fill="CEFFE7"/>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101,204</w:t>
            </w:r>
          </w:p>
        </w:tc>
        <w:tc>
          <w:tcPr>
            <w:tcW w:w="240" w:type="dxa"/>
            <w:vAlign w:val="bottom"/>
            <w:tcBorders>
              <w:bottom w:val="single" w:sz="8" w:color="auto"/>
            </w:tcBorders>
            <w:shd w:val="clear" w:color="auto" w:fill="CEFFE7"/>
          </w:tcPr>
          <w:p>
            <w:pPr>
              <w:jc w:val="right"/>
              <w:ind w:right="77"/>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3"/>
                <w:szCs w:val="13"/>
                <w:color w:val="auto"/>
              </w:rPr>
              <w:t>2,614,496</w:t>
            </w:r>
          </w:p>
        </w:tc>
        <w:tc>
          <w:tcPr>
            <w:tcW w:w="0" w:type="dxa"/>
            <w:vAlign w:val="bottom"/>
          </w:tcPr>
          <w:p>
            <w:pPr>
              <w:spacing w:after="0"/>
              <w:rPr>
                <w:sz w:val="1"/>
                <w:szCs w:val="1"/>
                <w:color w:val="auto"/>
              </w:rPr>
            </w:pPr>
          </w:p>
        </w:tc>
      </w:tr>
      <w:tr>
        <w:trPr>
          <w:trHeight w:val="20"/>
        </w:trPr>
        <w:tc>
          <w:tcPr>
            <w:tcW w:w="3300" w:type="dxa"/>
            <w:vAlign w:val="bottom"/>
            <w:tcBorders>
              <w:top w:val="single" w:sz="8" w:color="CEFFE7"/>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70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64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72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62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74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Notes to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(Reference is made to 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included in the Company’s 2020 Annual Report on Form 10-K)</w:t>
      </w:r>
    </w:p>
    <w:p>
      <w:pPr>
        <w:spacing w:after="0" w:line="200" w:lineRule="exact"/>
        <w:rPr>
          <w:sz w:val="20"/>
          <w:szCs w:val="20"/>
          <w:color w:val="auto"/>
        </w:rPr>
      </w:pPr>
    </w:p>
    <w:p>
      <w:pPr>
        <w:spacing w:after="0" w:line="271"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Management’s Statement</w:t>
      </w:r>
    </w:p>
    <w:p>
      <w:pPr>
        <w:spacing w:after="0" w:line="26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unaudited Condensed Consolidated Financial Statements included herein have been prepared by Black Hills Corporation (together with our subsidiaries the “Company”, “us”, “we” or “our”), pursuant to the rules and regulations of the SEC. Certain information and footnote disclosures normally included in financial statements prepared in accordance with accounting principles generally accepted in the United States of America have been condensed or omitted pursuant to such rules and regulations; however, we believe that the footnotes adequately disclose the information presented. These Condensed Consolidated Financial Statements should be read in conjunction with the consolidated financial statements and the notes included in our 2020 Annual Report on Form 10-K.</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Reporting</w:t>
      </w:r>
    </w:p>
    <w:p>
      <w:pPr>
        <w:spacing w:after="0" w:line="268" w:lineRule="exact"/>
        <w:rPr>
          <w:sz w:val="20"/>
          <w:szCs w:val="20"/>
          <w:color w:val="auto"/>
        </w:rPr>
      </w:pPr>
    </w:p>
    <w:p>
      <w:pPr>
        <w:ind w:right="640"/>
        <w:spacing w:after="0" w:line="253" w:lineRule="auto"/>
        <w:rPr>
          <w:sz w:val="20"/>
          <w:szCs w:val="20"/>
          <w:color w:val="auto"/>
        </w:rPr>
      </w:pPr>
      <w:r>
        <w:rPr>
          <w:rFonts w:ascii="Arial" w:cs="Arial" w:eastAsia="Arial" w:hAnsi="Arial"/>
          <w:sz w:val="16"/>
          <w:szCs w:val="16"/>
          <w:color w:val="auto"/>
        </w:rPr>
        <w:t>We conduct our operations through the following reportable segments: Electric Utilities, Gas Utilities, Power Generation and Mining. Our reportable segments are based on our method of internal reporting, which is generally segregated by differences in products, services and regulation. All of our operations and assets are located within the United States.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 and Basis of Presentation</w:t>
      </w:r>
    </w:p>
    <w:p>
      <w:pPr>
        <w:spacing w:after="0" w:line="26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information furnished in the accompanying Condensed Consolidated Financial Statements reflects certain estimates required and all adjustments, including accruals, which are, in the opinion of management, necessary for a fair presentation of the June 30, 2021, December 31, 2020 and June 30, 2020 financial information. Certain lines of business in which we operate are highly seasonal, and our interim results of operations are not necessarily indicative of the results of operations to be expected for an entire year.</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Pandemic</w:t>
      </w:r>
    </w:p>
    <w:p>
      <w:pPr>
        <w:spacing w:after="0" w:line="26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March 2020, the World Health Organization categorized COVID-19 as a pandemic and the President of the United States declared the outbreak a national emergency. The U.S. government has deemed the electric and natural gas utilities to be critical infrastructure sectors that provide essential services during this emergency. As a provider of essential services, the Company has an obligation to provide services to our customers. The Company remains focused on protecting the health of our customers, employees and the communities in which we operate while assuring the continuity of our business operations.</w:t>
      </w:r>
    </w:p>
    <w:p>
      <w:pPr>
        <w:spacing w:after="0" w:line="22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Company’s Condensed Consolidated Financial Statements reflect estimates and assumptions made by management that affect the reported amounts of assets and liabilities and disclosure of contingent assets and liabilities at the date of the Condensed Consolidated Financial Statements and reported amounts of revenue and expenses during the reporting periods presented. The Company considered the impacts of COVID-19 on the assumptions and estimates used and determined that for the three and six months ended June 30, 2021, there were no material adverse impacts on the Company’s results of operations.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Standards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Facilitation of the Effects of Reference Rate Reform on Financial Reporting, ASU 2020-04</w:t>
      </w:r>
    </w:p>
    <w:p>
      <w:pPr>
        <w:spacing w:after="0" w:line="23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which was subsequently amended by ASU 2021-01. The standard provides relief for companies preparing for discontinuation of interest rates,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LIBOR, and allows optional expedients and exceptions for applying GAAP to contracts, hedging relationships and other transactions affected by reference rate reform if certain criteria are met. The amendments in this update are elective and are effective upon the ASU issuance through December 31, 2022. We are currently evaluating whether we will apply the optional guidance as we assess the impact of the discontinuance of LIBOR on our current arrangements and the potential impact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Standards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Simplifying the Accounting for Income Taxes, ASU 2019-12</w:t>
      </w:r>
    </w:p>
    <w:p>
      <w:pPr>
        <w:spacing w:after="0" w:line="23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as part of its overall simplification initiative to reduce costs and complexity in applying accounting standards while maintaining or improving the usefulness of the information provided to users of the financial statements. Amendments include removal of certain exceptions to the general principles of ASC 740, </w:t>
      </w:r>
      <w:r>
        <w:rPr>
          <w:rFonts w:ascii="Arial" w:cs="Arial" w:eastAsia="Arial" w:hAnsi="Arial"/>
          <w:sz w:val="16"/>
          <w:szCs w:val="16"/>
          <w:i w:val="1"/>
          <w:iCs w:val="1"/>
          <w:color w:val="auto"/>
        </w:rPr>
        <w:t>Income Taxes</w:t>
      </w:r>
      <w:r>
        <w:rPr>
          <w:rFonts w:ascii="Arial" w:cs="Arial" w:eastAsia="Arial" w:hAnsi="Arial"/>
          <w:sz w:val="16"/>
          <w:szCs w:val="16"/>
          <w:color w:val="auto"/>
        </w:rPr>
        <w:t>, and simplification in several other areas such as accounting for a franchise tax (or similar tax) that is partially based on income. We adopted this standard prospectively on January 1, 2021. Adoption of this standard did not have an impact on our financial position, results of operations or cash flows.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40" w:type="dxa"/>
            <w:vAlign w:val="bottom"/>
          </w:tcPr>
          <w:p>
            <w:pPr>
              <w:spacing w:after="0"/>
              <w:rPr>
                <w:sz w:val="20"/>
                <w:szCs w:val="20"/>
                <w:color w:val="auto"/>
              </w:rPr>
            </w:pPr>
            <w:r>
              <w:rPr>
                <w:rFonts w:ascii="Arial" w:cs="Arial" w:eastAsia="Arial" w:hAnsi="Arial"/>
                <w:sz w:val="16"/>
                <w:szCs w:val="16"/>
                <w:b w:val="1"/>
                <w:bCs w:val="1"/>
                <w:color w:val="auto"/>
              </w:rPr>
              <w:t>(2)  Regulatory Matters</w:t>
            </w: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32"/>
        </w:trPr>
        <w:tc>
          <w:tcPr>
            <w:tcW w:w="7240" w:type="dxa"/>
            <w:vAlign w:val="bottom"/>
          </w:tcPr>
          <w:p>
            <w:pPr>
              <w:spacing w:after="0"/>
              <w:rPr>
                <w:sz w:val="20"/>
                <w:szCs w:val="20"/>
                <w:color w:val="auto"/>
              </w:rPr>
            </w:pPr>
            <w:r>
              <w:rPr>
                <w:rFonts w:ascii="Arial" w:cs="Arial" w:eastAsia="Arial" w:hAnsi="Arial"/>
                <w:sz w:val="16"/>
                <w:szCs w:val="16"/>
                <w:color w:val="auto"/>
              </w:rPr>
              <w:t>We had the following regulatory assets and liabilities (in thousands):</w:t>
            </w: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0"/>
        </w:trPr>
        <w:tc>
          <w:tcPr>
            <w:tcW w:w="7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ind w:right="719"/>
              <w:spacing w:after="0"/>
              <w:rPr>
                <w:sz w:val="20"/>
                <w:szCs w:val="20"/>
                <w:color w:val="auto"/>
              </w:rPr>
            </w:pPr>
            <w:r>
              <w:rPr>
                <w:rFonts w:ascii="Arial" w:cs="Arial" w:eastAsia="Arial" w:hAnsi="Arial"/>
                <w:sz w:val="16"/>
                <w:szCs w:val="16"/>
                <w:color w:val="auto"/>
              </w:rPr>
              <w:t>As of</w:t>
            </w:r>
          </w:p>
        </w:tc>
        <w:tc>
          <w:tcPr>
            <w:tcW w:w="200" w:type="dxa"/>
            <w:vAlign w:val="bottom"/>
          </w:tcPr>
          <w:p>
            <w:pPr>
              <w:spacing w:after="0"/>
              <w:rPr>
                <w:sz w:val="19"/>
                <w:szCs w:val="19"/>
                <w:color w:val="auto"/>
              </w:rPr>
            </w:pPr>
          </w:p>
        </w:tc>
        <w:tc>
          <w:tcPr>
            <w:tcW w:w="1800" w:type="dxa"/>
            <w:vAlign w:val="bottom"/>
          </w:tcPr>
          <w:p>
            <w:pPr>
              <w:jc w:val="right"/>
              <w:ind w:right="739"/>
              <w:spacing w:after="0"/>
              <w:rPr>
                <w:sz w:val="20"/>
                <w:szCs w:val="20"/>
                <w:color w:val="auto"/>
              </w:rPr>
            </w:pPr>
            <w:r>
              <w:rPr>
                <w:rFonts w:ascii="Arial" w:cs="Arial" w:eastAsia="Arial" w:hAnsi="Arial"/>
                <w:sz w:val="16"/>
                <w:szCs w:val="16"/>
                <w:color w:val="auto"/>
              </w:rPr>
              <w:t>As of</w:t>
            </w:r>
          </w:p>
        </w:tc>
      </w:tr>
      <w:tr>
        <w:trPr>
          <w:trHeight w:val="216"/>
        </w:trPr>
        <w:tc>
          <w:tcPr>
            <w:tcW w:w="7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June 30, 2021</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2020</w:t>
            </w:r>
          </w:p>
        </w:tc>
      </w:tr>
      <w:tr>
        <w:trPr>
          <w:trHeight w:val="199"/>
        </w:trPr>
        <w:tc>
          <w:tcPr>
            <w:tcW w:w="7240" w:type="dxa"/>
            <w:vAlign w:val="bottom"/>
          </w:tcPr>
          <w:p>
            <w:pPr>
              <w:ind w:left="20"/>
              <w:spacing w:after="0"/>
              <w:rPr>
                <w:sz w:val="20"/>
                <w:szCs w:val="20"/>
                <w:color w:val="auto"/>
              </w:rPr>
            </w:pPr>
            <w:r>
              <w:rPr>
                <w:rFonts w:ascii="Arial" w:cs="Arial" w:eastAsia="Arial" w:hAnsi="Arial"/>
                <w:sz w:val="16"/>
                <w:szCs w:val="16"/>
                <w:color w:val="auto"/>
              </w:rPr>
              <w:t>Regulatory assets</w:t>
            </w: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9"/>
        </w:trPr>
        <w:tc>
          <w:tcPr>
            <w:tcW w:w="7240" w:type="dxa"/>
            <w:vAlign w:val="bottom"/>
            <w:shd w:val="clear" w:color="auto" w:fill="CEFFE7"/>
          </w:tcPr>
          <w:p>
            <w:pPr>
              <w:ind w:left="140"/>
              <w:spacing w:after="0" w:line="219" w:lineRule="exact"/>
              <w:rPr>
                <w:sz w:val="20"/>
                <w:szCs w:val="20"/>
                <w:color w:val="auto"/>
              </w:rPr>
            </w:pPr>
            <w:r>
              <w:rPr>
                <w:rFonts w:ascii="Arial" w:cs="Arial" w:eastAsia="Arial" w:hAnsi="Arial"/>
                <w:sz w:val="16"/>
                <w:szCs w:val="16"/>
                <w:color w:val="auto"/>
              </w:rPr>
              <w:t xml:space="preserve">Winter Storm Uri </w:t>
            </w:r>
            <w:r>
              <w:rPr>
                <w:rFonts w:ascii="Arial" w:cs="Arial" w:eastAsia="Arial" w:hAnsi="Arial"/>
                <w:sz w:val="21"/>
                <w:szCs w:val="21"/>
                <w:color w:val="auto"/>
                <w:vertAlign w:val="superscript"/>
              </w:rPr>
              <w:t>(a)</w:t>
            </w:r>
          </w:p>
        </w:tc>
        <w:tc>
          <w:tcPr>
            <w:tcW w:w="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541,389</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Deferred energy and fuel cost adjustments </w:t>
            </w:r>
            <w:r>
              <w:rPr>
                <w:rFonts w:ascii="Arial" w:cs="Arial" w:eastAsia="Arial" w:hAnsi="Arial"/>
                <w:sz w:val="21"/>
                <w:szCs w:val="21"/>
                <w:color w:val="auto"/>
                <w:vertAlign w:val="superscript"/>
              </w:rPr>
              <w:t>(b)</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57,715</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39,035</w:t>
            </w:r>
          </w:p>
        </w:tc>
      </w:tr>
      <w:tr>
        <w:trPr>
          <w:trHeight w:val="216"/>
        </w:trPr>
        <w:tc>
          <w:tcPr>
            <w:tcW w:w="724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Deferred gas cost adjustments </w:t>
            </w:r>
            <w:r>
              <w:rPr>
                <w:rFonts w:ascii="Arial" w:cs="Arial" w:eastAsia="Arial" w:hAnsi="Arial"/>
                <w:sz w:val="21"/>
                <w:szCs w:val="21"/>
                <w:color w:val="auto"/>
                <w:vertAlign w:val="superscript"/>
              </w:rPr>
              <w:t>(b)</w:t>
            </w:r>
          </w:p>
        </w:tc>
        <w:tc>
          <w:tcPr>
            <w:tcW w:w="300" w:type="dxa"/>
            <w:vAlign w:val="bottom"/>
            <w:shd w:val="clear" w:color="auto" w:fill="CEFFE7"/>
          </w:tcPr>
          <w:p>
            <w:pPr>
              <w:spacing w:after="0"/>
              <w:rPr>
                <w:sz w:val="18"/>
                <w:szCs w:val="18"/>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676</w:t>
            </w: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3,200</w:t>
            </w:r>
          </w:p>
        </w:tc>
      </w:tr>
      <w:tr>
        <w:trPr>
          <w:trHeight w:val="216"/>
        </w:trPr>
        <w:tc>
          <w:tcPr>
            <w:tcW w:w="7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Gas price derivatives </w:t>
            </w:r>
            <w:r>
              <w:rPr>
                <w:rFonts w:ascii="Arial" w:cs="Arial" w:eastAsia="Arial" w:hAnsi="Arial"/>
                <w:sz w:val="21"/>
                <w:szCs w:val="21"/>
                <w:color w:val="auto"/>
                <w:vertAlign w:val="superscript"/>
              </w:rPr>
              <w:t>(b)</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145</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2,226</w:t>
            </w:r>
          </w:p>
        </w:tc>
      </w:tr>
      <w:tr>
        <w:trPr>
          <w:trHeight w:val="216"/>
        </w:trPr>
        <w:tc>
          <w:tcPr>
            <w:tcW w:w="724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Deferred taxes on AFUDC </w:t>
            </w:r>
            <w:r>
              <w:rPr>
                <w:rFonts w:ascii="Arial" w:cs="Arial" w:eastAsia="Arial" w:hAnsi="Arial"/>
                <w:sz w:val="21"/>
                <w:szCs w:val="21"/>
                <w:color w:val="auto"/>
                <w:vertAlign w:val="superscript"/>
              </w:rPr>
              <w:t>(c)</w:t>
            </w:r>
          </w:p>
        </w:tc>
        <w:tc>
          <w:tcPr>
            <w:tcW w:w="300" w:type="dxa"/>
            <w:vAlign w:val="bottom"/>
            <w:shd w:val="clear" w:color="auto" w:fill="CEFFE7"/>
          </w:tcPr>
          <w:p>
            <w:pPr>
              <w:spacing w:after="0"/>
              <w:rPr>
                <w:sz w:val="18"/>
                <w:szCs w:val="18"/>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7,479</w:t>
            </w: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7,491</w:t>
            </w:r>
          </w:p>
        </w:tc>
      </w:tr>
      <w:tr>
        <w:trPr>
          <w:trHeight w:val="216"/>
        </w:trPr>
        <w:tc>
          <w:tcPr>
            <w:tcW w:w="7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Employee benefit plans and related deferred taxes </w:t>
            </w:r>
            <w:r>
              <w:rPr>
                <w:rFonts w:ascii="Arial" w:cs="Arial" w:eastAsia="Arial" w:hAnsi="Arial"/>
                <w:sz w:val="21"/>
                <w:szCs w:val="21"/>
                <w:color w:val="auto"/>
                <w:vertAlign w:val="superscript"/>
              </w:rPr>
              <w:t>(d)</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116,003</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116,598</w:t>
            </w:r>
          </w:p>
        </w:tc>
      </w:tr>
      <w:tr>
        <w:trPr>
          <w:trHeight w:val="216"/>
        </w:trPr>
        <w:tc>
          <w:tcPr>
            <w:tcW w:w="724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Environmental </w:t>
            </w:r>
            <w:r>
              <w:rPr>
                <w:rFonts w:ascii="Arial" w:cs="Arial" w:eastAsia="Arial" w:hAnsi="Arial"/>
                <w:sz w:val="21"/>
                <w:szCs w:val="21"/>
                <w:color w:val="auto"/>
                <w:vertAlign w:val="superscript"/>
              </w:rPr>
              <w:t>(b)</w:t>
            </w:r>
          </w:p>
        </w:tc>
        <w:tc>
          <w:tcPr>
            <w:tcW w:w="300" w:type="dxa"/>
            <w:vAlign w:val="bottom"/>
            <w:shd w:val="clear" w:color="auto" w:fill="CEFFE7"/>
          </w:tcPr>
          <w:p>
            <w:pPr>
              <w:spacing w:after="0"/>
              <w:rPr>
                <w:sz w:val="18"/>
                <w:szCs w:val="18"/>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1,410</w:t>
            </w: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1,413</w:t>
            </w:r>
          </w:p>
        </w:tc>
      </w:tr>
      <w:tr>
        <w:trPr>
          <w:trHeight w:val="216"/>
        </w:trPr>
        <w:tc>
          <w:tcPr>
            <w:tcW w:w="7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Loss on reacquired debt </w:t>
            </w:r>
            <w:r>
              <w:rPr>
                <w:rFonts w:ascii="Arial" w:cs="Arial" w:eastAsia="Arial" w:hAnsi="Arial"/>
                <w:sz w:val="21"/>
                <w:szCs w:val="21"/>
                <w:color w:val="auto"/>
                <w:vertAlign w:val="superscript"/>
              </w:rPr>
              <w:t>(b)</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21,914</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22,864</w:t>
            </w:r>
          </w:p>
        </w:tc>
      </w:tr>
      <w:tr>
        <w:trPr>
          <w:trHeight w:val="216"/>
        </w:trPr>
        <w:tc>
          <w:tcPr>
            <w:tcW w:w="724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Deferred taxes on flow through accounting </w:t>
            </w:r>
            <w:r>
              <w:rPr>
                <w:rFonts w:ascii="Arial" w:cs="Arial" w:eastAsia="Arial" w:hAnsi="Arial"/>
                <w:sz w:val="21"/>
                <w:szCs w:val="21"/>
                <w:color w:val="auto"/>
                <w:vertAlign w:val="superscript"/>
              </w:rPr>
              <w:t>(d)</w:t>
            </w:r>
          </w:p>
        </w:tc>
        <w:tc>
          <w:tcPr>
            <w:tcW w:w="300" w:type="dxa"/>
            <w:vAlign w:val="bottom"/>
            <w:shd w:val="clear" w:color="auto" w:fill="CEFFE7"/>
          </w:tcPr>
          <w:p>
            <w:pPr>
              <w:spacing w:after="0"/>
              <w:rPr>
                <w:sz w:val="18"/>
                <w:szCs w:val="18"/>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55,034</w:t>
            </w: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47,515</w:t>
            </w:r>
          </w:p>
        </w:tc>
      </w:tr>
      <w:tr>
        <w:trPr>
          <w:trHeight w:val="216"/>
        </w:trPr>
        <w:tc>
          <w:tcPr>
            <w:tcW w:w="7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Decommissioning costs </w:t>
            </w:r>
            <w:r>
              <w:rPr>
                <w:rFonts w:ascii="Arial" w:cs="Arial" w:eastAsia="Arial" w:hAnsi="Arial"/>
                <w:sz w:val="21"/>
                <w:szCs w:val="21"/>
                <w:color w:val="auto"/>
                <w:vertAlign w:val="superscript"/>
              </w:rPr>
              <w:t>(b)</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7,205</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8,988</w:t>
            </w:r>
          </w:p>
        </w:tc>
      </w:tr>
      <w:tr>
        <w:trPr>
          <w:trHeight w:val="216"/>
        </w:trPr>
        <w:tc>
          <w:tcPr>
            <w:tcW w:w="724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Gas supply contract termination </w:t>
            </w:r>
            <w:r>
              <w:rPr>
                <w:rFonts w:ascii="Arial" w:cs="Arial" w:eastAsia="Arial" w:hAnsi="Arial"/>
                <w:sz w:val="21"/>
                <w:szCs w:val="21"/>
                <w:color w:val="auto"/>
                <w:vertAlign w:val="superscript"/>
              </w:rPr>
              <w:t>(b)</w:t>
            </w:r>
          </w:p>
        </w:tc>
        <w:tc>
          <w:tcPr>
            <w:tcW w:w="300" w:type="dxa"/>
            <w:vAlign w:val="bottom"/>
            <w:shd w:val="clear" w:color="auto" w:fill="CEFFE7"/>
          </w:tcPr>
          <w:p>
            <w:pPr>
              <w:spacing w:after="0"/>
              <w:rPr>
                <w:sz w:val="18"/>
                <w:szCs w:val="18"/>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2,524</w:t>
            </w:r>
          </w:p>
        </w:tc>
      </w:tr>
      <w:tr>
        <w:trPr>
          <w:trHeight w:val="216"/>
        </w:trPr>
        <w:tc>
          <w:tcPr>
            <w:tcW w:w="7240" w:type="dxa"/>
            <w:vAlign w:val="bottom"/>
            <w:tcBorders>
              <w:bottom w:val="single" w:sz="8" w:color="CEFFE7"/>
            </w:tcBorders>
          </w:tcPr>
          <w:p>
            <w:pPr>
              <w:ind w:left="140"/>
              <w:spacing w:after="0" w:line="216" w:lineRule="exact"/>
              <w:rPr>
                <w:sz w:val="20"/>
                <w:szCs w:val="20"/>
                <w:color w:val="auto"/>
              </w:rPr>
            </w:pPr>
            <w:r>
              <w:rPr>
                <w:rFonts w:ascii="Arial" w:cs="Arial" w:eastAsia="Arial" w:hAnsi="Arial"/>
                <w:sz w:val="16"/>
                <w:szCs w:val="16"/>
                <w:color w:val="auto"/>
              </w:rPr>
              <w:t xml:space="preserve">Other regulatory assets </w:t>
            </w:r>
            <w:r>
              <w:rPr>
                <w:rFonts w:ascii="Arial" w:cs="Arial" w:eastAsia="Arial" w:hAnsi="Arial"/>
                <w:sz w:val="21"/>
                <w:szCs w:val="21"/>
                <w:color w:val="auto"/>
                <w:vertAlign w:val="superscript"/>
              </w:rPr>
              <w:t>(b)</w:t>
            </w: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27,439</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26,404</w:t>
            </w:r>
          </w:p>
        </w:tc>
      </w:tr>
      <w:tr>
        <w:trPr>
          <w:trHeight w:val="209"/>
        </w:trPr>
        <w:tc>
          <w:tcPr>
            <w:tcW w:w="7240" w:type="dxa"/>
            <w:vAlign w:val="bottom"/>
            <w:shd w:val="clear" w:color="auto" w:fill="CEFFE7"/>
          </w:tcPr>
          <w:p>
            <w:pPr>
              <w:ind w:left="20"/>
              <w:spacing w:after="0"/>
              <w:rPr>
                <w:sz w:val="20"/>
                <w:szCs w:val="20"/>
                <w:color w:val="auto"/>
              </w:rPr>
            </w:pPr>
            <w:r>
              <w:rPr>
                <w:rFonts w:ascii="Arial" w:cs="Arial" w:eastAsia="Arial" w:hAnsi="Arial"/>
                <w:sz w:val="16"/>
                <w:szCs w:val="16"/>
                <w:color w:val="auto"/>
              </w:rPr>
              <w:t>Total regulatory assets</w:t>
            </w:r>
          </w:p>
        </w:tc>
        <w:tc>
          <w:tcPr>
            <w:tcW w:w="300" w:type="dxa"/>
            <w:vAlign w:val="bottom"/>
            <w:shd w:val="clear" w:color="auto" w:fill="CEFFE7"/>
          </w:tcPr>
          <w:p>
            <w:pPr>
              <w:spacing w:after="0"/>
              <w:rPr>
                <w:sz w:val="18"/>
                <w:szCs w:val="18"/>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836,409</w:t>
            </w: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278,258</w:t>
            </w:r>
          </w:p>
        </w:tc>
      </w:tr>
      <w:tr>
        <w:trPr>
          <w:trHeight w:val="213"/>
        </w:trPr>
        <w:tc>
          <w:tcPr>
            <w:tcW w:w="7240" w:type="dxa"/>
            <w:vAlign w:val="bottom"/>
            <w:tcBorders>
              <w:bottom w:val="single" w:sz="8" w:color="CEFFE7"/>
            </w:tcBorders>
          </w:tcPr>
          <w:p>
            <w:pPr>
              <w:ind w:left="160"/>
              <w:spacing w:after="0"/>
              <w:rPr>
                <w:sz w:val="20"/>
                <w:szCs w:val="20"/>
                <w:color w:val="auto"/>
              </w:rPr>
            </w:pPr>
            <w:r>
              <w:rPr>
                <w:rFonts w:ascii="Arial" w:cs="Arial" w:eastAsia="Arial" w:hAnsi="Arial"/>
                <w:sz w:val="16"/>
                <w:szCs w:val="16"/>
                <w:color w:val="auto"/>
              </w:rPr>
              <w:t>Less current regulatory assets</w:t>
            </w: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(218,628)</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(51,676)</w:t>
            </w:r>
          </w:p>
        </w:tc>
      </w:tr>
      <w:tr>
        <w:trPr>
          <w:trHeight w:val="238"/>
        </w:trPr>
        <w:tc>
          <w:tcPr>
            <w:tcW w:w="72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Regulatory assets, non-current</w:t>
            </w:r>
          </w:p>
        </w:tc>
        <w:tc>
          <w:tcPr>
            <w:tcW w:w="30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617,781</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226,582</w:t>
            </w:r>
          </w:p>
        </w:tc>
      </w:tr>
      <w:tr>
        <w:trPr>
          <w:trHeight w:val="20"/>
        </w:trPr>
        <w:tc>
          <w:tcPr>
            <w:tcW w:w="7240" w:type="dxa"/>
            <w:vAlign w:val="bottom"/>
            <w:tcBorders>
              <w:top w:val="single" w:sz="8" w:color="CEFFE7"/>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168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800" w:type="dxa"/>
            <w:vAlign w:val="bottom"/>
            <w:tcBorders>
              <w:top w:val="single" w:sz="8" w:color="CEFFE7"/>
              <w:bottom w:val="single" w:sz="8" w:color="auto"/>
            </w:tcBorders>
          </w:tcPr>
          <w:p>
            <w:pPr>
              <w:spacing w:after="0" w:line="20" w:lineRule="exact"/>
              <w:rPr>
                <w:sz w:val="1"/>
                <w:szCs w:val="1"/>
                <w:color w:val="auto"/>
              </w:rPr>
            </w:pPr>
          </w:p>
        </w:tc>
      </w:tr>
      <w:tr>
        <w:trPr>
          <w:trHeight w:val="149"/>
        </w:trPr>
        <w:tc>
          <w:tcPr>
            <w:tcW w:w="7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216"/>
        </w:trPr>
        <w:tc>
          <w:tcPr>
            <w:tcW w:w="724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Regulatory liabilities</w:t>
            </w:r>
          </w:p>
        </w:tc>
        <w:tc>
          <w:tcPr>
            <w:tcW w:w="300" w:type="dxa"/>
            <w:vAlign w:val="bottom"/>
            <w:shd w:val="clear" w:color="auto" w:fill="CEFFE7"/>
          </w:tcPr>
          <w:p>
            <w:pPr>
              <w:spacing w:after="0"/>
              <w:rPr>
                <w:sz w:val="18"/>
                <w:szCs w:val="18"/>
                <w:color w:val="auto"/>
              </w:rPr>
            </w:pPr>
          </w:p>
        </w:tc>
        <w:tc>
          <w:tcPr>
            <w:tcW w:w="168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spacing w:after="0"/>
              <w:rPr>
                <w:sz w:val="18"/>
                <w:szCs w:val="18"/>
                <w:color w:val="auto"/>
              </w:rPr>
            </w:pPr>
          </w:p>
        </w:tc>
      </w:tr>
      <w:tr>
        <w:trPr>
          <w:trHeight w:val="216"/>
        </w:trPr>
        <w:tc>
          <w:tcPr>
            <w:tcW w:w="7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Deferred energy and gas costs </w:t>
            </w:r>
            <w:r>
              <w:rPr>
                <w:rFonts w:ascii="Arial" w:cs="Arial" w:eastAsia="Arial" w:hAnsi="Arial"/>
                <w:sz w:val="21"/>
                <w:szCs w:val="21"/>
                <w:color w:val="auto"/>
                <w:vertAlign w:val="superscript"/>
              </w:rPr>
              <w:t>(b)</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28,261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13,253</w:t>
            </w:r>
          </w:p>
        </w:tc>
      </w:tr>
      <w:tr>
        <w:trPr>
          <w:trHeight w:val="216"/>
        </w:trPr>
        <w:tc>
          <w:tcPr>
            <w:tcW w:w="724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Employee benefit plan costs and related deferred taxes </w:t>
            </w:r>
            <w:r>
              <w:rPr>
                <w:rFonts w:ascii="Arial" w:cs="Arial" w:eastAsia="Arial" w:hAnsi="Arial"/>
                <w:sz w:val="21"/>
                <w:szCs w:val="21"/>
                <w:color w:val="auto"/>
                <w:vertAlign w:val="superscript"/>
              </w:rPr>
              <w:t>(d)</w:t>
            </w:r>
          </w:p>
        </w:tc>
        <w:tc>
          <w:tcPr>
            <w:tcW w:w="300" w:type="dxa"/>
            <w:vAlign w:val="bottom"/>
            <w:shd w:val="clear" w:color="auto" w:fill="CEFFE7"/>
          </w:tcPr>
          <w:p>
            <w:pPr>
              <w:spacing w:after="0"/>
              <w:rPr>
                <w:sz w:val="18"/>
                <w:szCs w:val="18"/>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39,542</w:t>
            </w: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40,256</w:t>
            </w:r>
          </w:p>
        </w:tc>
      </w:tr>
      <w:tr>
        <w:trPr>
          <w:trHeight w:val="216"/>
        </w:trPr>
        <w:tc>
          <w:tcPr>
            <w:tcW w:w="7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Cost of removal </w:t>
            </w:r>
            <w:r>
              <w:rPr>
                <w:rFonts w:ascii="Arial" w:cs="Arial" w:eastAsia="Arial" w:hAnsi="Arial"/>
                <w:sz w:val="21"/>
                <w:szCs w:val="21"/>
                <w:color w:val="auto"/>
                <w:vertAlign w:val="superscript"/>
              </w:rPr>
              <w:t>(b)</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179,968</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172,902</w:t>
            </w:r>
          </w:p>
        </w:tc>
      </w:tr>
      <w:tr>
        <w:trPr>
          <w:trHeight w:val="216"/>
        </w:trPr>
        <w:tc>
          <w:tcPr>
            <w:tcW w:w="7240" w:type="dxa"/>
            <w:vAlign w:val="bottom"/>
            <w:shd w:val="clear" w:color="auto" w:fill="CEFFE7"/>
          </w:tcPr>
          <w:p>
            <w:pPr>
              <w:ind w:left="140"/>
              <w:spacing w:after="0" w:line="216" w:lineRule="exact"/>
              <w:rPr>
                <w:sz w:val="20"/>
                <w:szCs w:val="20"/>
                <w:color w:val="auto"/>
              </w:rPr>
            </w:pPr>
            <w:r>
              <w:rPr>
                <w:rFonts w:ascii="Arial" w:cs="Arial" w:eastAsia="Arial" w:hAnsi="Arial"/>
                <w:sz w:val="16"/>
                <w:szCs w:val="16"/>
                <w:color w:val="auto"/>
              </w:rPr>
              <w:t xml:space="preserve">Excess deferred income taxes </w:t>
            </w:r>
            <w:r>
              <w:rPr>
                <w:rFonts w:ascii="Arial" w:cs="Arial" w:eastAsia="Arial" w:hAnsi="Arial"/>
                <w:sz w:val="21"/>
                <w:szCs w:val="21"/>
                <w:color w:val="auto"/>
                <w:vertAlign w:val="superscript"/>
              </w:rPr>
              <w:t>(d)</w:t>
            </w:r>
          </w:p>
        </w:tc>
        <w:tc>
          <w:tcPr>
            <w:tcW w:w="300" w:type="dxa"/>
            <w:vAlign w:val="bottom"/>
            <w:shd w:val="clear" w:color="auto" w:fill="CEFFE7"/>
          </w:tcPr>
          <w:p>
            <w:pPr>
              <w:spacing w:after="0"/>
              <w:rPr>
                <w:sz w:val="18"/>
                <w:szCs w:val="18"/>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268,604</w:t>
            </w: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285,259</w:t>
            </w:r>
          </w:p>
        </w:tc>
      </w:tr>
      <w:tr>
        <w:trPr>
          <w:trHeight w:val="216"/>
        </w:trPr>
        <w:tc>
          <w:tcPr>
            <w:tcW w:w="7240" w:type="dxa"/>
            <w:vAlign w:val="bottom"/>
            <w:tcBorders>
              <w:bottom w:val="single" w:sz="8" w:color="CEFFE7"/>
            </w:tcBorders>
          </w:tcPr>
          <w:p>
            <w:pPr>
              <w:ind w:left="140"/>
              <w:spacing w:after="0" w:line="216" w:lineRule="exact"/>
              <w:rPr>
                <w:sz w:val="20"/>
                <w:szCs w:val="20"/>
                <w:color w:val="auto"/>
              </w:rPr>
            </w:pPr>
            <w:r>
              <w:rPr>
                <w:rFonts w:ascii="Arial" w:cs="Arial" w:eastAsia="Arial" w:hAnsi="Arial"/>
                <w:sz w:val="16"/>
                <w:szCs w:val="16"/>
                <w:color w:val="auto"/>
              </w:rPr>
              <w:t xml:space="preserve">Other regulatory liabilities </w:t>
            </w:r>
            <w:r>
              <w:rPr>
                <w:rFonts w:ascii="Arial" w:cs="Arial" w:eastAsia="Arial" w:hAnsi="Arial"/>
                <w:sz w:val="21"/>
                <w:szCs w:val="21"/>
                <w:color w:val="auto"/>
                <w:vertAlign w:val="superscript"/>
              </w:rPr>
              <w:t>(d)</w:t>
            </w: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17,357</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21,050</w:t>
            </w:r>
          </w:p>
        </w:tc>
      </w:tr>
      <w:tr>
        <w:trPr>
          <w:trHeight w:val="210"/>
        </w:trPr>
        <w:tc>
          <w:tcPr>
            <w:tcW w:w="7240" w:type="dxa"/>
            <w:vAlign w:val="bottom"/>
            <w:shd w:val="clear" w:color="auto" w:fill="CEFFE7"/>
          </w:tcPr>
          <w:p>
            <w:pPr>
              <w:ind w:left="20"/>
              <w:spacing w:after="0"/>
              <w:rPr>
                <w:sz w:val="20"/>
                <w:szCs w:val="20"/>
                <w:color w:val="auto"/>
              </w:rPr>
            </w:pPr>
            <w:r>
              <w:rPr>
                <w:rFonts w:ascii="Arial" w:cs="Arial" w:eastAsia="Arial" w:hAnsi="Arial"/>
                <w:sz w:val="16"/>
                <w:szCs w:val="16"/>
                <w:color w:val="auto"/>
              </w:rPr>
              <w:t>Total regulatory liabilities</w:t>
            </w:r>
          </w:p>
        </w:tc>
        <w:tc>
          <w:tcPr>
            <w:tcW w:w="300" w:type="dxa"/>
            <w:vAlign w:val="bottom"/>
            <w:shd w:val="clear" w:color="auto" w:fill="CEFFE7"/>
          </w:tcPr>
          <w:p>
            <w:pPr>
              <w:spacing w:after="0"/>
              <w:rPr>
                <w:sz w:val="18"/>
                <w:szCs w:val="18"/>
                <w:color w:val="auto"/>
              </w:rPr>
            </w:pPr>
          </w:p>
        </w:tc>
        <w:tc>
          <w:tcPr>
            <w:tcW w:w="1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533,732</w:t>
            </w:r>
          </w:p>
        </w:tc>
        <w:tc>
          <w:tcPr>
            <w:tcW w:w="2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532,720</w:t>
            </w:r>
          </w:p>
        </w:tc>
      </w:tr>
      <w:tr>
        <w:trPr>
          <w:trHeight w:val="213"/>
        </w:trPr>
        <w:tc>
          <w:tcPr>
            <w:tcW w:w="7240" w:type="dxa"/>
            <w:vAlign w:val="bottom"/>
            <w:tcBorders>
              <w:bottom w:val="single" w:sz="8" w:color="CEFFE7"/>
            </w:tcBorders>
          </w:tcPr>
          <w:p>
            <w:pPr>
              <w:ind w:left="160"/>
              <w:spacing w:after="0"/>
              <w:rPr>
                <w:sz w:val="20"/>
                <w:szCs w:val="20"/>
                <w:color w:val="auto"/>
              </w:rPr>
            </w:pPr>
            <w:r>
              <w:rPr>
                <w:rFonts w:ascii="Arial" w:cs="Arial" w:eastAsia="Arial" w:hAnsi="Arial"/>
                <w:sz w:val="16"/>
                <w:szCs w:val="16"/>
                <w:color w:val="auto"/>
              </w:rPr>
              <w:t>Less current regulatory liabilities</w:t>
            </w: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(36,124)</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(25,061)</w:t>
            </w:r>
          </w:p>
        </w:tc>
      </w:tr>
      <w:tr>
        <w:trPr>
          <w:trHeight w:val="238"/>
        </w:trPr>
        <w:tc>
          <w:tcPr>
            <w:tcW w:w="72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Regulatory liabilities, non-current</w:t>
            </w:r>
          </w:p>
        </w:tc>
        <w:tc>
          <w:tcPr>
            <w:tcW w:w="30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497,608</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507,659</w:t>
            </w:r>
          </w:p>
        </w:tc>
      </w:tr>
      <w:tr>
        <w:trPr>
          <w:trHeight w:val="20"/>
        </w:trPr>
        <w:tc>
          <w:tcPr>
            <w:tcW w:w="7240" w:type="dxa"/>
            <w:vAlign w:val="bottom"/>
            <w:tcBorders>
              <w:top w:val="single" w:sz="8" w:color="CEFFE7"/>
            </w:tcBorders>
          </w:tcPr>
          <w:p>
            <w:pPr>
              <w:spacing w:after="0" w:line="20" w:lineRule="exact"/>
              <w:rPr>
                <w:sz w:val="1"/>
                <w:szCs w:val="1"/>
                <w:color w:val="auto"/>
              </w:rPr>
            </w:pPr>
          </w:p>
        </w:tc>
        <w:tc>
          <w:tcPr>
            <w:tcW w:w="300" w:type="dxa"/>
            <w:vAlign w:val="bottom"/>
            <w:tcBorders>
              <w:top w:val="single" w:sz="8" w:color="CEFFE7"/>
              <w:bottom w:val="single" w:sz="8" w:color="auto"/>
            </w:tcBorders>
          </w:tcPr>
          <w:p>
            <w:pPr>
              <w:spacing w:after="0" w:line="20" w:lineRule="exact"/>
              <w:rPr>
                <w:sz w:val="1"/>
                <w:szCs w:val="1"/>
                <w:color w:val="auto"/>
              </w:rPr>
            </w:pPr>
          </w:p>
        </w:tc>
        <w:tc>
          <w:tcPr>
            <w:tcW w:w="168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800" w:type="dxa"/>
            <w:vAlign w:val="bottom"/>
            <w:tcBorders>
              <w:top w:val="single" w:sz="8" w:color="CEFFE7"/>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right="20" w:hanging="332"/>
        <w:spacing w:after="0" w:line="241" w:lineRule="auto"/>
        <w:tabs>
          <w:tab w:leader="none" w:pos="349" w:val="left"/>
        </w:tabs>
        <w:numPr>
          <w:ilvl w:val="0"/>
          <w:numId w:val="4"/>
        </w:numPr>
        <w:rPr>
          <w:rFonts w:ascii="Arial" w:cs="Arial" w:eastAsia="Arial" w:hAnsi="Arial"/>
          <w:sz w:val="14"/>
          <w:szCs w:val="14"/>
          <w:color w:val="auto"/>
        </w:rPr>
      </w:pPr>
      <w:r>
        <w:rPr>
          <w:rFonts w:ascii="Arial" w:cs="Arial" w:eastAsia="Arial" w:hAnsi="Arial"/>
          <w:sz w:val="14"/>
          <w:szCs w:val="14"/>
          <w:color w:val="auto"/>
        </w:rPr>
        <w:t>Timing of Winter Storm Uri incremental cost recovery and associated carrying costs are subject to pending applications with our utility commissions. See further information below.</w:t>
      </w: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Recovery of costs, but we are not allowed a rate of return.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addition to recovery of costs, we are allowed a rate of return.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addition to recovery or repayment of costs, we are allowed a return on a portion of this amount or a reduction in rate base.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Activity</w:t>
      </w:r>
    </w:p>
    <w:p>
      <w:pPr>
        <w:spacing w:after="0" w:line="26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Except as discussed below, there have been no other significant changes to our Regulatory Matters from those previously disclosed in Note 2 of the Notes to the Consolidated Financial Statements in our 2020 Annual Report on Form 10-K.</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Winter Storm Uri</w:t>
      </w:r>
    </w:p>
    <w:p>
      <w:pPr>
        <w:spacing w:after="0" w:line="264"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In February 2021, a prolonged period of historic cold temperatures across the central United States, which covered all of our Utilities’ service territories, caused a substantial increase in heating and energy demand and contributed to unforeseeable and unprecedented market prices for natural gas and electricity. As a result of Winter Storm Uri, we incurred significant incremental fuel, purchased power and natural gas costs.</w:t>
      </w:r>
    </w:p>
    <w:p>
      <w:pPr>
        <w:spacing w:after="0" w:line="22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the first quarter of 2021, $559 million of incremental costs from Winter Storm Uri were recorded to a regulatory asset. Our Utilities submitted cost recovery applications in our state jurisdictions seeking to recover $546 million in total of these incremental costs through separate tracking mechanisms over a weighted-average recovery period of 3.7 years. These incremental cost estimates are subject to adjustments as final decisions are issued by the respective utility commissions. As part of these applications, we seek approval to recover carrying costs. We are also seeking recovery of $13 million of previously disclosed Winter Storm Uri incremental costs through our existing regulatory mechanisms.</w:t>
      </w:r>
    </w:p>
    <w:p>
      <w:pPr>
        <w:spacing w:after="0" w:line="23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the second quarter of 2021, Nebraska Gas and South Dakota Electric received commission approval on their Winter Storm Uri cost recovery applications. Additionally, Arkansas Gas and Iowa Gas received approval for interim recovery subject to a final decision on carrying costs and recovery periods at a later date. For the three and six months ended June 30, 2021, our Utilities recovered $4.6 million of Winter Storm Uri incremental and carrying costs from customers.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TCJA</w:t>
      </w:r>
    </w:p>
    <w:p>
      <w:pPr>
        <w:spacing w:after="0" w:line="264"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On December 30, 2020, an administrative law judge approved a settlement of Colorado Electric’s plan to provide $9.3 million of TCJA-related bill credits to its customers. The bill credits, which represent a disposition of excess deferred income tax benefits resulting from the TCJA, were delivered to customers in February 2021. The settlement agreement further provided for Colorado Electric to deliver annual bill credits to customers, starting in April 2021, until remaining excess deferred income tax regulatory liabilities associated with the TCJA are fully amortized. In April 2021, Colorado Electric delivered $0.9 million of TCJA-related bill credits to customers.</w:t>
      </w:r>
    </w:p>
    <w:p>
      <w:pPr>
        <w:spacing w:after="0" w:line="230"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On January 26, 2021, the NPSC approved Nebraska Gas’s plan to provide $2.9 million of TCJA-related bill credits to its customers. The bill credits, which represent a disposition of excess deferred income tax benefits resulting from the TCJA, were delivered to customers in June 2021.</w:t>
      </w:r>
    </w:p>
    <w:p>
      <w:pPr>
        <w:spacing w:after="0" w:line="222"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These Colorado Electric and Nebraska Gas bill credits, which resulted in a reduction in revenue, were offset by a reduction in income tax expense and resulted in a minimal impact to Net income for the three and six months ended June 30, 2021.</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Colorado Gas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Rate Review</w:t>
      </w:r>
    </w:p>
    <w:p>
      <w:pPr>
        <w:spacing w:after="0" w:line="26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 xml:space="preserve">On June 1, 2021, Colorado Gas filed a rate review with the CPUC seeking recovery of significant infrastructure investments in its 7,000-mile natural gas pipeline system. The rate review requests $14.6 million in new annual revenue with a </w:t>
      </w:r>
      <w:r>
        <w:rPr>
          <w:rFonts w:ascii="Arial" w:cs="Arial" w:eastAsia="Arial" w:hAnsi="Arial"/>
          <w:sz w:val="16"/>
          <w:szCs w:val="16"/>
          <w:color w:val="242424"/>
        </w:rPr>
        <w:t>capital structure of 50% equity and 50% debt and a return on equity of</w:t>
      </w:r>
      <w:r>
        <w:rPr>
          <w:rFonts w:ascii="Arial" w:cs="Arial" w:eastAsia="Arial" w:hAnsi="Arial"/>
          <w:sz w:val="16"/>
          <w:szCs w:val="16"/>
          <w:color w:val="auto"/>
        </w:rPr>
        <w:t xml:space="preserve"> </w:t>
      </w:r>
      <w:r>
        <w:rPr>
          <w:rFonts w:ascii="Arial" w:cs="Arial" w:eastAsia="Arial" w:hAnsi="Arial"/>
          <w:sz w:val="16"/>
          <w:szCs w:val="16"/>
          <w:color w:val="242424"/>
        </w:rPr>
        <w:t>9.95%. The request seeks to implement new rates in the first quarter of 2022.</w:t>
      </w:r>
    </w:p>
    <w:p>
      <w:pPr>
        <w:spacing w:after="0" w:line="228"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On September 11, 2020, in accordance with the final Order from an earlier rate review filed February 1, 2019, Colorado Gas filed a SSIR proposal with the CPUC that would recover safety and integrity focused investments in its system for five years. On July 6, 2021, Colorado Gas received approval from the CPUC for its SSIR proposal that will recover safety and integrity focused investments in its system for three years. The return on SSIR investments will be the current weighted-average cost of long-term debt.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Iowa Gas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Rate Review</w:t>
      </w:r>
    </w:p>
    <w:p>
      <w:pPr>
        <w:spacing w:after="0" w:line="26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On June 1, 2021, Iowa Gas filed a rate review with the IUB seeking recovery of significant infrastructure investments in its 5,000-mile natural gas pipeline system. Additionally, Iowa Gas is seeking to implement a five year SSIR that would recover safety and integrity focused investments. The rate review requests shifting $2.2 million of rider revenue to base rates and $8.3 million in additional new annual revenue with a </w:t>
      </w:r>
      <w:r>
        <w:rPr>
          <w:rFonts w:ascii="Arial" w:cs="Arial" w:eastAsia="Arial" w:hAnsi="Arial"/>
          <w:sz w:val="16"/>
          <w:szCs w:val="16"/>
          <w:color w:val="242424"/>
        </w:rPr>
        <w:t>capital structure of 50% equity and 50%</w:t>
      </w:r>
      <w:r>
        <w:rPr>
          <w:rFonts w:ascii="Arial" w:cs="Arial" w:eastAsia="Arial" w:hAnsi="Arial"/>
          <w:sz w:val="16"/>
          <w:szCs w:val="16"/>
          <w:color w:val="auto"/>
        </w:rPr>
        <w:t xml:space="preserve"> </w:t>
      </w:r>
      <w:r>
        <w:rPr>
          <w:rFonts w:ascii="Arial" w:cs="Arial" w:eastAsia="Arial" w:hAnsi="Arial"/>
          <w:sz w:val="16"/>
          <w:szCs w:val="16"/>
          <w:color w:val="242424"/>
        </w:rPr>
        <w:t xml:space="preserve">debt and a return on equity of 10.15%. Iowa </w:t>
      </w:r>
      <w:r>
        <w:rPr>
          <w:rFonts w:ascii="Arial" w:cs="Arial" w:eastAsia="Arial" w:hAnsi="Arial"/>
          <w:sz w:val="16"/>
          <w:szCs w:val="16"/>
          <w:color w:val="000000"/>
        </w:rPr>
        <w:t>statute allows implementation of interim rates 10 days after filing a rate review and Iowa Gas implemented</w:t>
      </w:r>
      <w:r>
        <w:rPr>
          <w:rFonts w:ascii="Arial" w:cs="Arial" w:eastAsia="Arial" w:hAnsi="Arial"/>
          <w:sz w:val="16"/>
          <w:szCs w:val="16"/>
          <w:color w:val="242424"/>
        </w:rPr>
        <w:t xml:space="preserve"> </w:t>
      </w:r>
      <w:r>
        <w:rPr>
          <w:rFonts w:ascii="Arial" w:cs="Arial" w:eastAsia="Arial" w:hAnsi="Arial"/>
          <w:sz w:val="16"/>
          <w:szCs w:val="16"/>
          <w:color w:val="000000"/>
        </w:rPr>
        <w:t xml:space="preserve">interim rates effective on June 11, 2021. </w:t>
      </w:r>
      <w:r>
        <w:rPr>
          <w:rFonts w:ascii="Arial" w:cs="Arial" w:eastAsia="Arial" w:hAnsi="Arial"/>
          <w:sz w:val="16"/>
          <w:szCs w:val="16"/>
          <w:color w:val="242424"/>
        </w:rPr>
        <w:t>The request seeks to finalize rates in the first quarter of 2022.</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6" w:name="page17"/>
    <w:bookmarkEnd w:id="1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Kansas Gas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Rate Review</w:t>
      </w:r>
    </w:p>
    <w:p>
      <w:pPr>
        <w:spacing w:after="0" w:line="26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 xml:space="preserve">On May 7, 2021, Kansas Gas filed a rate review and rider renewal with the KCC seeking recovery of significant infrastructure investments in its 4,600-mile natural gas pipeline system. Additionally, Kansas Gas is seeking renewal of its SSIR. The rate review requests shifting $4.9 million of rider revenue to base rates and $5.3 million in new annual revenue with a </w:t>
      </w:r>
      <w:r>
        <w:rPr>
          <w:rFonts w:ascii="Arial" w:cs="Arial" w:eastAsia="Arial" w:hAnsi="Arial"/>
          <w:sz w:val="16"/>
          <w:szCs w:val="16"/>
          <w:color w:val="242424"/>
        </w:rPr>
        <w:t>capital structure of 50% equity and 50% debt and a return on equity of 10.15%. The request seeks to</w:t>
      </w:r>
      <w:r>
        <w:rPr>
          <w:rFonts w:ascii="Arial" w:cs="Arial" w:eastAsia="Arial" w:hAnsi="Arial"/>
          <w:sz w:val="16"/>
          <w:szCs w:val="16"/>
          <w:color w:val="auto"/>
        </w:rPr>
        <w:t xml:space="preserve"> </w:t>
      </w:r>
      <w:r>
        <w:rPr>
          <w:rFonts w:ascii="Arial" w:cs="Arial" w:eastAsia="Arial" w:hAnsi="Arial"/>
          <w:sz w:val="16"/>
          <w:szCs w:val="16"/>
          <w:color w:val="242424"/>
        </w:rPr>
        <w:t>implement new rates in the first quarter of 2022.</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Nebraska Gas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Jurisdictional Consolidation and Rate Review</w:t>
      </w:r>
    </w:p>
    <w:p>
      <w:pPr>
        <w:spacing w:after="0" w:line="26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On January 26, 2021, Nebraska Gas received approval from the NPSC to consolidate rate schedules into a new, single statewide structure and recover infrastructure investments in its 13,000-mile natural gas pipeline system. Final rates were enacted on March 1, 2021, which replaced interim rates effective September 1, 2020. The approval shifted $4.6 million of SSIR revenue to base rates and is expected to generate $6.5 million in new annual revenue with a capital structure of 50% equity and 50% debt and an authorized return on equity of 9.5%. The approval also includes an extension of the SSIR for five years and an expansion of this mechanism across the consolidated jurisdictions.</w:t>
      </w:r>
    </w:p>
    <w:p>
      <w:pPr>
        <w:spacing w:after="0" w:line="200" w:lineRule="exact"/>
        <w:rPr>
          <w:sz w:val="20"/>
          <w:szCs w:val="20"/>
          <w:color w:val="auto"/>
        </w:rPr>
      </w:pPr>
    </w:p>
    <w:p>
      <w:pPr>
        <w:spacing w:after="0" w:line="253"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Contingencies and Guarantees</w:t>
      </w:r>
    </w:p>
    <w:p>
      <w:pPr>
        <w:spacing w:after="0" w:line="268"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There have been no significant changes to commitments, contingencies and guarantees from those previously disclosed in Note 3 of our Notes to the Consolidated Financial Statements in our 2020 Annual Report on Form 10-K except for those described below.</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Power Purchase Agreement - Colorado Electric Renewable Advantage</w:t>
      </w:r>
    </w:p>
    <w:p>
      <w:pPr>
        <w:spacing w:after="0" w:line="24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On February 19, 2021, Colorado Electric entered into a PPA with TC Colorado Solar, LLC to purchase up to 200 MW of renewable energy upon construction of a new solar facility, to be owned by TC Colorado Solar, LLC, which is expected to be completed by the end of 2023. This agreement will expire 15 years after construction completion. The solar project represents Colorado Electric’s preferred bid in a competitive solicitation process completed in September 2020 through its Renewable Advantage plan.</w:t>
      </w:r>
    </w:p>
    <w:p>
      <w:pPr>
        <w:spacing w:after="0" w:line="200" w:lineRule="exact"/>
        <w:rPr>
          <w:sz w:val="20"/>
          <w:szCs w:val="20"/>
          <w:color w:val="auto"/>
        </w:rPr>
      </w:pPr>
    </w:p>
    <w:p>
      <w:pPr>
        <w:spacing w:after="0" w:line="252"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26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Our revenue contracts generally provide for performance obligations that are: fulfilled and transfer control to customers over time; represent a series of distinct services that are substantially the same; involve the same pattern of transfer to the customer; and provide a right to consideration from our customers in an amount that corresponds directly with the value to the customer for the performance completed to date. Therefore, we recognize revenue in the amount to which we have a right to invoice. The following tables depict the disaggregation of revenue, including intercompany revenue, from contracts with customers by customer type and timing of revenue recognition for each of the reportable segments for the three and six months ended June 30, 2021 and 2020. Sales tax and other similar taxes are excluded from revenues.</w:t>
      </w: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4"/>
        </w:trPr>
        <w:tc>
          <w:tcPr>
            <w:tcW w:w="4280" w:type="dxa"/>
            <w:vAlign w:val="bottom"/>
            <w:gridSpan w:val="4"/>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792"/>
        </w:trPr>
        <w:tc>
          <w:tcPr>
            <w:tcW w:w="2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Electric</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Power</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Inter-company</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Three Months Ended June 30, 2021</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Utilities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Gas Utilities</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Generation</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Mining</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Revenues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Total</w:t>
            </w:r>
          </w:p>
        </w:tc>
      </w:tr>
      <w:tr>
        <w:trPr>
          <w:trHeight w:val="193"/>
        </w:trPr>
        <w:tc>
          <w:tcPr>
            <w:tcW w:w="20" w:type="dxa"/>
            <w:vAlign w:val="bottom"/>
            <w:shd w:val="clear" w:color="auto" w:fill="CEFFE7"/>
          </w:tcPr>
          <w:p>
            <w:pPr>
              <w:spacing w:after="0"/>
              <w:rPr>
                <w:sz w:val="16"/>
                <w:szCs w:val="16"/>
                <w:color w:val="auto"/>
              </w:rPr>
            </w:pPr>
          </w:p>
        </w:tc>
        <w:tc>
          <w:tcPr>
            <w:tcW w:w="4260" w:type="dxa"/>
            <w:vAlign w:val="bottom"/>
            <w:gridSpan w:val="3"/>
            <w:shd w:val="clear" w:color="auto" w:fill="CEFFE7"/>
          </w:tcPr>
          <w:p>
            <w:pPr>
              <w:spacing w:after="0" w:line="172" w:lineRule="exact"/>
              <w:rPr>
                <w:sz w:val="20"/>
                <w:szCs w:val="20"/>
                <w:color w:val="auto"/>
              </w:rPr>
            </w:pPr>
            <w:r>
              <w:rPr>
                <w:rFonts w:ascii="Arial" w:cs="Arial" w:eastAsia="Arial" w:hAnsi="Arial"/>
                <w:sz w:val="16"/>
                <w:szCs w:val="16"/>
                <w:color w:val="auto"/>
              </w:rPr>
              <w:t>Customer types:</w:t>
            </w:r>
          </w:p>
        </w:tc>
        <w:tc>
          <w:tcPr>
            <w:tcW w:w="200" w:type="dxa"/>
            <w:vAlign w:val="bottom"/>
            <w:shd w:val="clear" w:color="auto" w:fill="CEFFE7"/>
          </w:tcPr>
          <w:p>
            <w:pPr>
              <w:spacing w:after="0"/>
              <w:rPr>
                <w:sz w:val="16"/>
                <w:szCs w:val="16"/>
                <w:color w:val="auto"/>
              </w:rPr>
            </w:pPr>
          </w:p>
        </w:tc>
        <w:tc>
          <w:tcPr>
            <w:tcW w:w="90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960" w:type="dxa"/>
            <w:vAlign w:val="bottom"/>
            <w:shd w:val="clear" w:color="auto" w:fill="CEFFE7"/>
          </w:tcPr>
          <w:p>
            <w:pPr>
              <w:spacing w:after="0"/>
              <w:rPr>
                <w:sz w:val="16"/>
                <w:szCs w:val="16"/>
                <w:color w:val="auto"/>
              </w:rPr>
            </w:pPr>
          </w:p>
        </w:tc>
        <w:tc>
          <w:tcPr>
            <w:tcW w:w="200" w:type="dxa"/>
            <w:vAlign w:val="bottom"/>
            <w:shd w:val="clear" w:color="auto" w:fill="CEFFE7"/>
          </w:tcPr>
          <w:p>
            <w:pPr>
              <w:spacing w:after="0"/>
              <w:rPr>
                <w:sz w:val="16"/>
                <w:szCs w:val="16"/>
                <w:color w:val="auto"/>
              </w:rPr>
            </w:pPr>
          </w:p>
        </w:tc>
        <w:tc>
          <w:tcPr>
            <w:tcW w:w="2220" w:type="dxa"/>
            <w:vAlign w:val="bottom"/>
            <w:gridSpan w:val="3"/>
            <w:shd w:val="clear" w:color="auto" w:fill="CEFFE7"/>
          </w:tcPr>
          <w:p>
            <w:pPr>
              <w:jc w:val="right"/>
              <w:ind w:right="579"/>
              <w:spacing w:after="0" w:line="172" w:lineRule="exact"/>
              <w:rPr>
                <w:sz w:val="20"/>
                <w:szCs w:val="20"/>
                <w:color w:val="auto"/>
              </w:rPr>
            </w:pPr>
            <w:r>
              <w:rPr>
                <w:rFonts w:ascii="Arial" w:cs="Arial" w:eastAsia="Arial" w:hAnsi="Arial"/>
                <w:sz w:val="16"/>
                <w:szCs w:val="16"/>
                <w:color w:val="auto"/>
              </w:rPr>
              <w:t>(in thousands)</w:t>
            </w:r>
          </w:p>
        </w:tc>
        <w:tc>
          <w:tcPr>
            <w:tcW w:w="180" w:type="dxa"/>
            <w:vAlign w:val="bottom"/>
            <w:shd w:val="clear" w:color="auto" w:fill="CEFFE7"/>
          </w:tcPr>
          <w:p>
            <w:pPr>
              <w:spacing w:after="0"/>
              <w:rPr>
                <w:sz w:val="16"/>
                <w:szCs w:val="16"/>
                <w:color w:val="auto"/>
              </w:rPr>
            </w:pPr>
          </w:p>
        </w:tc>
        <w:tc>
          <w:tcPr>
            <w:tcW w:w="980" w:type="dxa"/>
            <w:vAlign w:val="bottom"/>
            <w:shd w:val="clear" w:color="auto" w:fill="CEFFE7"/>
          </w:tcPr>
          <w:p>
            <w:pPr>
              <w:spacing w:after="0"/>
              <w:rPr>
                <w:sz w:val="16"/>
                <w:szCs w:val="16"/>
                <w:color w:val="auto"/>
              </w:rPr>
            </w:pPr>
          </w:p>
        </w:tc>
        <w:tc>
          <w:tcPr>
            <w:tcW w:w="260" w:type="dxa"/>
            <w:vAlign w:val="bottom"/>
            <w:shd w:val="clear" w:color="auto" w:fill="CEFFE7"/>
          </w:tcPr>
          <w:p>
            <w:pPr>
              <w:spacing w:after="0"/>
              <w:rPr>
                <w:sz w:val="16"/>
                <w:szCs w:val="16"/>
                <w:color w:val="auto"/>
              </w:rPr>
            </w:pPr>
          </w:p>
        </w:tc>
        <w:tc>
          <w:tcPr>
            <w:tcW w:w="880" w:type="dxa"/>
            <w:vAlign w:val="bottom"/>
            <w:shd w:val="clear" w:color="auto" w:fill="CEFFE7"/>
          </w:tcPr>
          <w:p>
            <w:pPr>
              <w:spacing w:after="0"/>
              <w:rPr>
                <w:sz w:val="16"/>
                <w:szCs w:val="16"/>
                <w:color w:val="auto"/>
              </w:rPr>
            </w:pPr>
          </w:p>
        </w:tc>
      </w:tr>
      <w:tr>
        <w:trPr>
          <w:trHeight w:val="213"/>
        </w:trPr>
        <w:tc>
          <w:tcPr>
            <w:tcW w:w="20" w:type="dxa"/>
            <w:vAlign w:val="bottom"/>
            <w:tcBorders>
              <w:top w:val="single" w:sz="8" w:color="CEFFE7"/>
            </w:tcBorders>
          </w:tcPr>
          <w:p>
            <w:pPr>
              <w:spacing w:after="0"/>
              <w:rPr>
                <w:sz w:val="18"/>
                <w:szCs w:val="18"/>
                <w:color w:val="auto"/>
              </w:rPr>
            </w:pPr>
          </w:p>
        </w:tc>
        <w:tc>
          <w:tcPr>
            <w:tcW w:w="11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Retail</w:t>
            </w:r>
          </w:p>
        </w:tc>
        <w:tc>
          <w:tcPr>
            <w:tcW w:w="3080" w:type="dxa"/>
            <w:vAlign w:val="bottom"/>
            <w:tcBorders>
              <w:top w:val="single" w:sz="8" w:color="CEFFE7"/>
            </w:tcBorders>
            <w:gridSpan w:val="2"/>
          </w:tcPr>
          <w:p>
            <w:pPr>
              <w:spacing w:after="0"/>
              <w:rPr>
                <w:sz w:val="18"/>
                <w:szCs w:val="18"/>
                <w:color w:val="auto"/>
              </w:rPr>
            </w:pPr>
          </w:p>
        </w:tc>
        <w:tc>
          <w:tcPr>
            <w:tcW w:w="200" w:type="dxa"/>
            <w:vAlign w:val="bottom"/>
            <w:tcBorders>
              <w:top w:val="single" w:sz="8" w:color="CEFFE7"/>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158,470</w:t>
            </w:r>
          </w:p>
        </w:tc>
        <w:tc>
          <w:tcPr>
            <w:tcW w:w="16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143,845</w:t>
            </w:r>
          </w:p>
        </w:tc>
        <w:tc>
          <w:tcPr>
            <w:tcW w:w="20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CEFFE7"/>
            </w:tcBorders>
            <w:gridSpan w:val="2"/>
          </w:tcPr>
          <w:p>
            <w:pPr>
              <w:jc w:val="right"/>
              <w:ind w:right="39"/>
              <w:spacing w:after="0"/>
              <w:rPr>
                <w:sz w:val="20"/>
                <w:szCs w:val="20"/>
                <w:color w:val="auto"/>
              </w:rPr>
            </w:pPr>
            <w:r>
              <w:rPr>
                <w:rFonts w:ascii="Arial" w:cs="Arial" w:eastAsia="Arial" w:hAnsi="Arial"/>
                <w:sz w:val="16"/>
                <w:szCs w:val="16"/>
                <w:color w:val="auto"/>
              </w:rPr>
              <w:t>— $</w:t>
            </w:r>
          </w:p>
        </w:tc>
        <w:tc>
          <w:tcPr>
            <w:tcW w:w="88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13,854</w:t>
            </w:r>
          </w:p>
        </w:tc>
        <w:tc>
          <w:tcPr>
            <w:tcW w:w="18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(7,140)</w:t>
            </w:r>
          </w:p>
        </w:tc>
        <w:tc>
          <w:tcPr>
            <w:tcW w:w="260" w:type="dxa"/>
            <w:vAlign w:val="bottom"/>
            <w:tcBorders>
              <w:top w:val="single" w:sz="8" w:color="CEFFE7"/>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309,029</w:t>
            </w:r>
          </w:p>
        </w:tc>
      </w:tr>
      <w:tr>
        <w:trPr>
          <w:trHeight w:val="219"/>
        </w:trPr>
        <w:tc>
          <w:tcPr>
            <w:tcW w:w="20" w:type="dxa"/>
            <w:vAlign w:val="bottom"/>
            <w:shd w:val="clear" w:color="auto" w:fill="CEFFE7"/>
          </w:tcPr>
          <w:p>
            <w:pPr>
              <w:spacing w:after="0"/>
              <w:rPr>
                <w:sz w:val="19"/>
                <w:szCs w:val="19"/>
                <w:color w:val="auto"/>
              </w:rPr>
            </w:pPr>
          </w:p>
        </w:tc>
        <w:tc>
          <w:tcPr>
            <w:tcW w:w="426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Transportation</w:t>
            </w:r>
          </w:p>
        </w:tc>
        <w:tc>
          <w:tcPr>
            <w:tcW w:w="20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31,649</w:t>
            </w:r>
          </w:p>
        </w:tc>
        <w:tc>
          <w:tcPr>
            <w:tcW w:w="200" w:type="dxa"/>
            <w:vAlign w:val="bottom"/>
            <w:shd w:val="clear" w:color="auto" w:fill="CEFFE7"/>
          </w:tcPr>
          <w:p>
            <w:pPr>
              <w:spacing w:after="0"/>
              <w:rPr>
                <w:sz w:val="19"/>
                <w:szCs w:val="19"/>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(109)</w:t>
            </w: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31,540</w:t>
            </w:r>
          </w:p>
        </w:tc>
      </w:tr>
      <w:tr>
        <w:trPr>
          <w:trHeight w:val="213"/>
        </w:trPr>
        <w:tc>
          <w:tcPr>
            <w:tcW w:w="20" w:type="dxa"/>
            <w:vAlign w:val="bottom"/>
          </w:tcPr>
          <w:p>
            <w:pPr>
              <w:spacing w:after="0"/>
              <w:rPr>
                <w:sz w:val="18"/>
                <w:szCs w:val="18"/>
                <w:color w:val="auto"/>
              </w:rPr>
            </w:pPr>
          </w:p>
        </w:tc>
        <w:tc>
          <w:tcPr>
            <w:tcW w:w="4260" w:type="dxa"/>
            <w:vAlign w:val="bottom"/>
            <w:gridSpan w:val="3"/>
          </w:tcPr>
          <w:p>
            <w:pPr>
              <w:ind w:left="120"/>
              <w:spacing w:after="0"/>
              <w:rPr>
                <w:sz w:val="20"/>
                <w:szCs w:val="20"/>
                <w:color w:val="auto"/>
              </w:rPr>
            </w:pPr>
            <w:r>
              <w:rPr>
                <w:rFonts w:ascii="Arial" w:cs="Arial" w:eastAsia="Arial" w:hAnsi="Arial"/>
                <w:sz w:val="16"/>
                <w:szCs w:val="16"/>
                <w:color w:val="auto"/>
              </w:rPr>
              <w:t>Wholesale</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3,010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24,912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(23,480)</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4,442</w:t>
            </w:r>
          </w:p>
        </w:tc>
      </w:tr>
      <w:tr>
        <w:trPr>
          <w:trHeight w:val="219"/>
        </w:trPr>
        <w:tc>
          <w:tcPr>
            <w:tcW w:w="20" w:type="dxa"/>
            <w:vAlign w:val="bottom"/>
            <w:shd w:val="clear" w:color="auto" w:fill="CEFFE7"/>
          </w:tcPr>
          <w:p>
            <w:pPr>
              <w:spacing w:after="0"/>
              <w:rPr>
                <w:sz w:val="19"/>
                <w:szCs w:val="19"/>
                <w:color w:val="auto"/>
              </w:rPr>
            </w:pPr>
          </w:p>
        </w:tc>
        <w:tc>
          <w:tcPr>
            <w:tcW w:w="426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Market - off-system sales</w:t>
            </w:r>
          </w:p>
        </w:tc>
        <w:tc>
          <w:tcPr>
            <w:tcW w:w="20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8,941</w:t>
            </w:r>
          </w:p>
        </w:tc>
        <w:tc>
          <w:tcPr>
            <w:tcW w:w="16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87</w:t>
            </w:r>
          </w:p>
        </w:tc>
        <w:tc>
          <w:tcPr>
            <w:tcW w:w="200" w:type="dxa"/>
            <w:vAlign w:val="bottom"/>
            <w:shd w:val="clear" w:color="auto" w:fill="CEFFE7"/>
          </w:tcPr>
          <w:p>
            <w:pPr>
              <w:spacing w:after="0"/>
              <w:rPr>
                <w:sz w:val="19"/>
                <w:szCs w:val="19"/>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(1,675)</w:t>
            </w: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7,353</w:t>
            </w:r>
          </w:p>
        </w:tc>
      </w:tr>
      <w:tr>
        <w:trPr>
          <w:trHeight w:val="213"/>
        </w:trPr>
        <w:tc>
          <w:tcPr>
            <w:tcW w:w="20" w:type="dxa"/>
            <w:vAlign w:val="bottom"/>
            <w:tcBorders>
              <w:bottom w:val="single" w:sz="8" w:color="CEFFE7"/>
            </w:tcBorders>
          </w:tcPr>
          <w:p>
            <w:pPr>
              <w:spacing w:after="0"/>
              <w:rPr>
                <w:sz w:val="18"/>
                <w:szCs w:val="18"/>
                <w:color w:val="auto"/>
              </w:rPr>
            </w:pPr>
          </w:p>
        </w:tc>
        <w:tc>
          <w:tcPr>
            <w:tcW w:w="4260" w:type="dxa"/>
            <w:vAlign w:val="bottom"/>
            <w:tcBorders>
              <w:bottom w:val="single" w:sz="8" w:color="CEFFE7"/>
            </w:tcBorders>
            <w:gridSpan w:val="3"/>
          </w:tcPr>
          <w:p>
            <w:pPr>
              <w:ind w:left="120"/>
              <w:spacing w:after="0"/>
              <w:rPr>
                <w:sz w:val="20"/>
                <w:szCs w:val="20"/>
                <w:color w:val="auto"/>
              </w:rPr>
            </w:pPr>
            <w:r>
              <w:rPr>
                <w:rFonts w:ascii="Arial" w:cs="Arial" w:eastAsia="Arial" w:hAnsi="Arial"/>
                <w:sz w:val="16"/>
                <w:szCs w:val="16"/>
                <w:color w:val="auto"/>
              </w:rPr>
              <w:t>Transmission/Other</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12,233</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9,125</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(5,299)</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16,059</w:t>
            </w:r>
          </w:p>
        </w:tc>
      </w:tr>
      <w:tr>
        <w:trPr>
          <w:trHeight w:val="213"/>
        </w:trPr>
        <w:tc>
          <w:tcPr>
            <w:tcW w:w="20" w:type="dxa"/>
            <w:vAlign w:val="bottom"/>
            <w:shd w:val="clear" w:color="auto" w:fill="CEFFE7"/>
          </w:tcPr>
          <w:p>
            <w:pPr>
              <w:spacing w:after="0"/>
              <w:rPr>
                <w:sz w:val="18"/>
                <w:szCs w:val="18"/>
                <w:color w:val="auto"/>
              </w:rPr>
            </w:pPr>
          </w:p>
        </w:tc>
        <w:tc>
          <w:tcPr>
            <w:tcW w:w="426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Revenue from contracts with customers</w:t>
            </w:r>
          </w:p>
        </w:tc>
        <w:tc>
          <w:tcPr>
            <w:tcW w:w="2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182,654</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184,706</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24,912</w:t>
            </w:r>
          </w:p>
        </w:tc>
        <w:tc>
          <w:tcPr>
            <w:tcW w:w="2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13,854</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(37,703)</w:t>
            </w:r>
          </w:p>
        </w:tc>
        <w:tc>
          <w:tcPr>
            <w:tcW w:w="26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368,423</w:t>
            </w:r>
          </w:p>
        </w:tc>
      </w:tr>
      <w:tr>
        <w:trPr>
          <w:trHeight w:val="213"/>
        </w:trPr>
        <w:tc>
          <w:tcPr>
            <w:tcW w:w="20" w:type="dxa"/>
            <w:vAlign w:val="bottom"/>
            <w:tcBorders>
              <w:bottom w:val="single" w:sz="8" w:color="CEFFE7"/>
            </w:tcBorders>
          </w:tcPr>
          <w:p>
            <w:pPr>
              <w:spacing w:after="0"/>
              <w:rPr>
                <w:sz w:val="18"/>
                <w:szCs w:val="18"/>
                <w:color w:val="auto"/>
              </w:rPr>
            </w:pPr>
          </w:p>
        </w:tc>
        <w:tc>
          <w:tcPr>
            <w:tcW w:w="4260" w:type="dxa"/>
            <w:vAlign w:val="bottom"/>
            <w:tcBorders>
              <w:bottom w:val="single" w:sz="8" w:color="CEFFE7"/>
            </w:tcBorders>
            <w:gridSpan w:val="3"/>
          </w:tcPr>
          <w:p>
            <w:pPr>
              <w:ind w:left="120"/>
              <w:spacing w:after="0"/>
              <w:rPr>
                <w:sz w:val="20"/>
                <w:szCs w:val="20"/>
                <w:color w:val="auto"/>
              </w:rPr>
            </w:pPr>
            <w:r>
              <w:rPr>
                <w:rFonts w:ascii="Arial" w:cs="Arial" w:eastAsia="Arial" w:hAnsi="Arial"/>
                <w:sz w:val="16"/>
                <w:szCs w:val="16"/>
                <w:color w:val="auto"/>
              </w:rPr>
              <w:t>Other revenues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2,279</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4,149</w:t>
            </w:r>
          </w:p>
        </w:tc>
      </w:tr>
      <w:tr>
        <w:trPr>
          <w:trHeight w:val="238"/>
        </w:trPr>
        <w:tc>
          <w:tcPr>
            <w:tcW w:w="20" w:type="dxa"/>
            <w:vAlign w:val="bottom"/>
            <w:tcBorders>
              <w:bottom w:val="single" w:sz="8" w:color="CEFFE7"/>
            </w:tcBorders>
            <w:shd w:val="clear" w:color="auto" w:fill="CEFFE7"/>
          </w:tcPr>
          <w:p>
            <w:pPr>
              <w:spacing w:after="0"/>
              <w:rPr>
                <w:sz w:val="20"/>
                <w:szCs w:val="20"/>
                <w:color w:val="auto"/>
              </w:rPr>
            </w:pPr>
          </w:p>
        </w:tc>
        <w:tc>
          <w:tcPr>
            <w:tcW w:w="4260" w:type="dxa"/>
            <w:vAlign w:val="bottom"/>
            <w:tcBorders>
              <w:bottom w:val="single" w:sz="8" w:color="CEFFE7"/>
            </w:tcBorders>
            <w:gridSpan w:val="3"/>
            <w:shd w:val="clear" w:color="auto" w:fill="CEFFE7"/>
          </w:tcPr>
          <w:p>
            <w:pPr>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184,933</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186,050</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25,348</w:t>
            </w:r>
          </w:p>
        </w:tc>
        <w:tc>
          <w:tcPr>
            <w:tcW w:w="2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14,429</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(38,188)</w:t>
            </w:r>
          </w:p>
        </w:tc>
        <w:tc>
          <w:tcPr>
            <w:tcW w:w="26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372,572</w:t>
            </w:r>
          </w:p>
        </w:tc>
      </w:tr>
      <w:tr>
        <w:trPr>
          <w:trHeight w:val="20"/>
        </w:trPr>
        <w:tc>
          <w:tcPr>
            <w:tcW w:w="20" w:type="dxa"/>
            <w:vAlign w:val="bottom"/>
            <w:tcBorders>
              <w:top w:val="single" w:sz="8" w:color="CEFFE7"/>
            </w:tcBorders>
          </w:tcPr>
          <w:p>
            <w:pPr>
              <w:spacing w:after="0" w:line="20" w:lineRule="exact"/>
              <w:rPr>
                <w:sz w:val="1"/>
                <w:szCs w:val="1"/>
                <w:color w:val="auto"/>
              </w:rPr>
            </w:pPr>
          </w:p>
        </w:tc>
        <w:tc>
          <w:tcPr>
            <w:tcW w:w="118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CEFFE7"/>
            </w:tcBorders>
          </w:tcPr>
          <w:p>
            <w:pPr>
              <w:spacing w:after="0" w:line="20" w:lineRule="exact"/>
              <w:rPr>
                <w:sz w:val="1"/>
                <w:szCs w:val="1"/>
                <w:color w:val="auto"/>
              </w:rPr>
            </w:pPr>
          </w:p>
        </w:tc>
        <w:tc>
          <w:tcPr>
            <w:tcW w:w="292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98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1517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Timing of revenue recognition: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Services transferred at a point in time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Services transferred over time</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99"/>
              <w:spacing w:after="0"/>
              <w:rPr>
                <w:sz w:val="20"/>
                <w:szCs w:val="20"/>
                <w:color w:val="auto"/>
              </w:rPr>
            </w:pPr>
            <w:r>
              <w:rPr>
                <w:rFonts w:ascii="Arial" w:cs="Arial" w:eastAsia="Arial" w:hAnsi="Arial"/>
                <w:sz w:val="16"/>
                <w:szCs w:val="16"/>
                <w:color w:val="auto"/>
              </w:rPr>
              <w:t>— $</w:t>
            </w:r>
          </w:p>
        </w:tc>
        <w:tc>
          <w:tcPr>
            <w:tcW w:w="1240" w:type="dxa"/>
            <w:vAlign w:val="bottom"/>
            <w:gridSpan w:val="2"/>
          </w:tcPr>
          <w:p>
            <w:pPr>
              <w:jc w:val="right"/>
              <w:ind w:right="219"/>
              <w:spacing w:after="0"/>
              <w:rPr>
                <w:sz w:val="20"/>
                <w:szCs w:val="20"/>
                <w:color w:val="auto"/>
              </w:rPr>
            </w:pPr>
            <w:r>
              <w:rPr>
                <w:rFonts w:ascii="Arial" w:cs="Arial" w:eastAsia="Arial" w:hAnsi="Arial"/>
                <w:sz w:val="16"/>
                <w:szCs w:val="16"/>
                <w:color w:val="auto"/>
              </w:rPr>
              <w:t>— $</w:t>
            </w:r>
          </w:p>
        </w:tc>
        <w:tc>
          <w:tcPr>
            <w:tcW w:w="1200" w:type="dxa"/>
            <w:vAlign w:val="bottom"/>
            <w:gridSpan w:val="2"/>
          </w:tcPr>
          <w:p>
            <w:pPr>
              <w:jc w:val="right"/>
              <w:ind w:right="139"/>
              <w:spacing w:after="0"/>
              <w:rPr>
                <w:sz w:val="20"/>
                <w:szCs w:val="20"/>
                <w:color w:val="auto"/>
              </w:rPr>
            </w:pPr>
            <w:r>
              <w:rPr>
                <w:rFonts w:ascii="Arial" w:cs="Arial" w:eastAsia="Arial" w:hAnsi="Arial"/>
                <w:sz w:val="16"/>
                <w:szCs w:val="16"/>
                <w:color w:val="auto"/>
              </w:rPr>
              <w:t>— $</w:t>
            </w:r>
          </w:p>
        </w:tc>
        <w:tc>
          <w:tcPr>
            <w:tcW w:w="780" w:type="dxa"/>
            <w:vAlign w:val="bottom"/>
          </w:tcPr>
          <w:p>
            <w:pPr>
              <w:jc w:val="right"/>
              <w:spacing w:after="0"/>
              <w:rPr>
                <w:sz w:val="20"/>
                <w:szCs w:val="20"/>
                <w:color w:val="auto"/>
              </w:rPr>
            </w:pPr>
            <w:r>
              <w:rPr>
                <w:rFonts w:ascii="Arial" w:cs="Arial" w:eastAsia="Arial" w:hAnsi="Arial"/>
                <w:sz w:val="16"/>
                <w:szCs w:val="16"/>
                <w:color w:val="auto"/>
              </w:rPr>
              <w:t>13,854</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(7,140)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6,714</w:t>
            </w:r>
          </w:p>
        </w:tc>
      </w:tr>
      <w:tr>
        <w:trPr>
          <w:trHeight w:val="219"/>
        </w:trPr>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182,654</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184,706</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24,912</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(30,563)</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361,709</w:t>
            </w:r>
          </w:p>
        </w:tc>
      </w:tr>
      <w:tr>
        <w:trPr>
          <w:trHeight w:val="210"/>
        </w:trPr>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182,654</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184,706</w:t>
            </w:r>
          </w:p>
        </w:tc>
        <w:tc>
          <w:tcPr>
            <w:tcW w:w="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24,912</w:t>
            </w: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13,854</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(37,703)</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368,423</w:t>
            </w:r>
          </w:p>
        </w:tc>
      </w:tr>
      <w:tr>
        <w:trPr>
          <w:trHeight w:val="23"/>
        </w:trPr>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-316230</wp:posOffset>
            </wp:positionV>
            <wp:extent cx="711517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6940"/>
          </w:cols>
          <w:pgMar w:left="320" w:top="118" w:right="359" w:bottom="1440" w:gutter="0" w:footer="0" w:header="0"/>
          <w:type w:val="continuous"/>
        </w:sectPr>
      </w:pP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Electric</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Power</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Inter-company</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8"/>
        </w:trPr>
        <w:tc>
          <w:tcPr>
            <w:tcW w:w="42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Three Months Ended June 30, 2020</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Utilities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Gas Utilities</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Generation</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Mining</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Revenues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Total</w:t>
            </w:r>
          </w:p>
        </w:tc>
      </w:tr>
      <w:tr>
        <w:trPr>
          <w:trHeight w:val="193"/>
        </w:trPr>
        <w:tc>
          <w:tcPr>
            <w:tcW w:w="4260" w:type="dxa"/>
            <w:vAlign w:val="bottom"/>
            <w:gridSpan w:val="3"/>
            <w:shd w:val="clear" w:color="auto" w:fill="CEFFE7"/>
          </w:tcPr>
          <w:p>
            <w:pPr>
              <w:ind w:left="20"/>
              <w:spacing w:after="0" w:line="172" w:lineRule="exact"/>
              <w:rPr>
                <w:sz w:val="20"/>
                <w:szCs w:val="20"/>
                <w:color w:val="auto"/>
              </w:rPr>
            </w:pPr>
            <w:r>
              <w:rPr>
                <w:rFonts w:ascii="Arial" w:cs="Arial" w:eastAsia="Arial" w:hAnsi="Arial"/>
                <w:sz w:val="16"/>
                <w:szCs w:val="16"/>
                <w:color w:val="auto"/>
              </w:rPr>
              <w:t>Customer Types:</w:t>
            </w:r>
          </w:p>
        </w:tc>
        <w:tc>
          <w:tcPr>
            <w:tcW w:w="220" w:type="dxa"/>
            <w:vAlign w:val="bottom"/>
            <w:shd w:val="clear" w:color="auto" w:fill="CEFFE7"/>
          </w:tcPr>
          <w:p>
            <w:pPr>
              <w:spacing w:after="0"/>
              <w:rPr>
                <w:sz w:val="16"/>
                <w:szCs w:val="16"/>
                <w:color w:val="auto"/>
              </w:rPr>
            </w:pPr>
          </w:p>
        </w:tc>
        <w:tc>
          <w:tcPr>
            <w:tcW w:w="900" w:type="dxa"/>
            <w:vAlign w:val="bottom"/>
            <w:shd w:val="clear" w:color="auto" w:fill="CEFFE7"/>
          </w:tcPr>
          <w:p>
            <w:pPr>
              <w:spacing w:after="0"/>
              <w:rPr>
                <w:sz w:val="16"/>
                <w:szCs w:val="16"/>
                <w:color w:val="auto"/>
              </w:rPr>
            </w:pPr>
          </w:p>
        </w:tc>
        <w:tc>
          <w:tcPr>
            <w:tcW w:w="160" w:type="dxa"/>
            <w:vAlign w:val="bottom"/>
            <w:shd w:val="clear" w:color="auto" w:fill="CEFFE7"/>
          </w:tcPr>
          <w:p>
            <w:pPr>
              <w:spacing w:after="0"/>
              <w:rPr>
                <w:sz w:val="16"/>
                <w:szCs w:val="16"/>
                <w:color w:val="auto"/>
              </w:rPr>
            </w:pPr>
          </w:p>
        </w:tc>
        <w:tc>
          <w:tcPr>
            <w:tcW w:w="960" w:type="dxa"/>
            <w:vAlign w:val="bottom"/>
            <w:shd w:val="clear" w:color="auto" w:fill="CEFFE7"/>
          </w:tcPr>
          <w:p>
            <w:pPr>
              <w:spacing w:after="0"/>
              <w:rPr>
                <w:sz w:val="16"/>
                <w:szCs w:val="16"/>
                <w:color w:val="auto"/>
              </w:rPr>
            </w:pPr>
          </w:p>
        </w:tc>
        <w:tc>
          <w:tcPr>
            <w:tcW w:w="200" w:type="dxa"/>
            <w:vAlign w:val="bottom"/>
            <w:shd w:val="clear" w:color="auto" w:fill="CEFFE7"/>
          </w:tcPr>
          <w:p>
            <w:pPr>
              <w:spacing w:after="0"/>
              <w:rPr>
                <w:sz w:val="16"/>
                <w:szCs w:val="16"/>
                <w:color w:val="auto"/>
              </w:rPr>
            </w:pPr>
          </w:p>
        </w:tc>
        <w:tc>
          <w:tcPr>
            <w:tcW w:w="2220" w:type="dxa"/>
            <w:vAlign w:val="bottom"/>
            <w:gridSpan w:val="3"/>
            <w:shd w:val="clear" w:color="auto" w:fill="CEFFE7"/>
          </w:tcPr>
          <w:p>
            <w:pPr>
              <w:jc w:val="right"/>
              <w:ind w:right="579"/>
              <w:spacing w:after="0" w:line="172" w:lineRule="exact"/>
              <w:rPr>
                <w:sz w:val="20"/>
                <w:szCs w:val="20"/>
                <w:color w:val="auto"/>
              </w:rPr>
            </w:pPr>
            <w:r>
              <w:rPr>
                <w:rFonts w:ascii="Arial" w:cs="Arial" w:eastAsia="Arial" w:hAnsi="Arial"/>
                <w:sz w:val="16"/>
                <w:szCs w:val="16"/>
                <w:color w:val="auto"/>
              </w:rPr>
              <w:t>(in thousands)</w:t>
            </w:r>
          </w:p>
        </w:tc>
        <w:tc>
          <w:tcPr>
            <w:tcW w:w="180" w:type="dxa"/>
            <w:vAlign w:val="bottom"/>
            <w:shd w:val="clear" w:color="auto" w:fill="CEFFE7"/>
          </w:tcPr>
          <w:p>
            <w:pPr>
              <w:spacing w:after="0"/>
              <w:rPr>
                <w:sz w:val="16"/>
                <w:szCs w:val="16"/>
                <w:color w:val="auto"/>
              </w:rPr>
            </w:pPr>
          </w:p>
        </w:tc>
        <w:tc>
          <w:tcPr>
            <w:tcW w:w="960" w:type="dxa"/>
            <w:vAlign w:val="bottom"/>
            <w:shd w:val="clear" w:color="auto" w:fill="CEFFE7"/>
          </w:tcPr>
          <w:p>
            <w:pPr>
              <w:spacing w:after="0"/>
              <w:rPr>
                <w:sz w:val="16"/>
                <w:szCs w:val="16"/>
                <w:color w:val="auto"/>
              </w:rPr>
            </w:pPr>
          </w:p>
        </w:tc>
        <w:tc>
          <w:tcPr>
            <w:tcW w:w="260" w:type="dxa"/>
            <w:vAlign w:val="bottom"/>
            <w:shd w:val="clear" w:color="auto" w:fill="CEFFE7"/>
          </w:tcPr>
          <w:p>
            <w:pPr>
              <w:spacing w:after="0"/>
              <w:rPr>
                <w:sz w:val="16"/>
                <w:szCs w:val="16"/>
                <w:color w:val="auto"/>
              </w:rPr>
            </w:pPr>
          </w:p>
        </w:tc>
        <w:tc>
          <w:tcPr>
            <w:tcW w:w="880" w:type="dxa"/>
            <w:vAlign w:val="bottom"/>
            <w:shd w:val="clear" w:color="auto" w:fill="CEFFE7"/>
          </w:tcPr>
          <w:p>
            <w:pPr>
              <w:spacing w:after="0"/>
              <w:rPr>
                <w:sz w:val="16"/>
                <w:szCs w:val="16"/>
                <w:color w:val="auto"/>
              </w:rPr>
            </w:pPr>
          </w:p>
        </w:tc>
      </w:tr>
      <w:tr>
        <w:trPr>
          <w:trHeight w:val="213"/>
        </w:trPr>
        <w:tc>
          <w:tcPr>
            <w:tcW w:w="20" w:type="dxa"/>
            <w:vAlign w:val="bottom"/>
            <w:tcBorders>
              <w:top w:val="single" w:sz="8" w:color="CEFFE7"/>
            </w:tcBorders>
          </w:tcPr>
          <w:p>
            <w:pPr>
              <w:spacing w:after="0"/>
              <w:rPr>
                <w:sz w:val="18"/>
                <w:szCs w:val="18"/>
                <w:color w:val="auto"/>
              </w:rPr>
            </w:pPr>
          </w:p>
        </w:tc>
        <w:tc>
          <w:tcPr>
            <w:tcW w:w="122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Retail</w:t>
            </w:r>
          </w:p>
        </w:tc>
        <w:tc>
          <w:tcPr>
            <w:tcW w:w="3020" w:type="dxa"/>
            <w:vAlign w:val="bottom"/>
            <w:tcBorders>
              <w:top w:val="single" w:sz="8" w:color="CEFFE7"/>
            </w:tcBorders>
          </w:tcPr>
          <w:p>
            <w:pPr>
              <w:spacing w:after="0"/>
              <w:rPr>
                <w:sz w:val="18"/>
                <w:szCs w:val="18"/>
                <w:color w:val="auto"/>
              </w:rPr>
            </w:pPr>
          </w:p>
        </w:tc>
        <w:tc>
          <w:tcPr>
            <w:tcW w:w="220" w:type="dxa"/>
            <w:vAlign w:val="bottom"/>
            <w:tcBorders>
              <w:top w:val="single" w:sz="8" w:color="CEFFE7"/>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141,804</w:t>
            </w:r>
          </w:p>
        </w:tc>
        <w:tc>
          <w:tcPr>
            <w:tcW w:w="16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120,594</w:t>
            </w:r>
          </w:p>
        </w:tc>
        <w:tc>
          <w:tcPr>
            <w:tcW w:w="20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CEFFE7"/>
            </w:tcBorders>
            <w:gridSpan w:val="2"/>
          </w:tcPr>
          <w:p>
            <w:pPr>
              <w:jc w:val="right"/>
              <w:ind w:right="39"/>
              <w:spacing w:after="0"/>
              <w:rPr>
                <w:sz w:val="20"/>
                <w:szCs w:val="20"/>
                <w:color w:val="auto"/>
              </w:rPr>
            </w:pPr>
            <w:r>
              <w:rPr>
                <w:rFonts w:ascii="Arial" w:cs="Arial" w:eastAsia="Arial" w:hAnsi="Arial"/>
                <w:sz w:val="16"/>
                <w:szCs w:val="16"/>
                <w:color w:val="auto"/>
              </w:rPr>
              <w:t>— $</w:t>
            </w:r>
          </w:p>
        </w:tc>
        <w:tc>
          <w:tcPr>
            <w:tcW w:w="88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14,846</w:t>
            </w:r>
          </w:p>
        </w:tc>
        <w:tc>
          <w:tcPr>
            <w:tcW w:w="18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(7,916)</w:t>
            </w:r>
          </w:p>
        </w:tc>
        <w:tc>
          <w:tcPr>
            <w:tcW w:w="260" w:type="dxa"/>
            <w:vAlign w:val="bottom"/>
            <w:tcBorders>
              <w:top w:val="single" w:sz="8" w:color="CEFFE7"/>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CEFFE7"/>
            </w:tcBorders>
          </w:tcPr>
          <w:p>
            <w:pPr>
              <w:jc w:val="right"/>
              <w:spacing w:after="0"/>
              <w:rPr>
                <w:sz w:val="20"/>
                <w:szCs w:val="20"/>
                <w:color w:val="auto"/>
              </w:rPr>
            </w:pPr>
            <w:r>
              <w:rPr>
                <w:rFonts w:ascii="Arial" w:cs="Arial" w:eastAsia="Arial" w:hAnsi="Arial"/>
                <w:sz w:val="16"/>
                <w:szCs w:val="16"/>
                <w:color w:val="auto"/>
              </w:rPr>
              <w:t>269,328</w:t>
            </w:r>
          </w:p>
        </w:tc>
      </w:tr>
      <w:tr>
        <w:trPr>
          <w:trHeight w:val="219"/>
        </w:trPr>
        <w:tc>
          <w:tcPr>
            <w:tcW w:w="20" w:type="dxa"/>
            <w:vAlign w:val="bottom"/>
            <w:shd w:val="clear" w:color="auto" w:fill="CEFFE7"/>
          </w:tcPr>
          <w:p>
            <w:pPr>
              <w:spacing w:after="0"/>
              <w:rPr>
                <w:sz w:val="19"/>
                <w:szCs w:val="19"/>
                <w:color w:val="auto"/>
              </w:rPr>
            </w:pPr>
          </w:p>
        </w:tc>
        <w:tc>
          <w:tcPr>
            <w:tcW w:w="424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Transportation</w:t>
            </w:r>
          </w:p>
        </w:tc>
        <w:tc>
          <w:tcPr>
            <w:tcW w:w="22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30,792</w:t>
            </w:r>
          </w:p>
        </w:tc>
        <w:tc>
          <w:tcPr>
            <w:tcW w:w="200" w:type="dxa"/>
            <w:vAlign w:val="bottom"/>
            <w:shd w:val="clear" w:color="auto" w:fill="CEFFE7"/>
          </w:tcPr>
          <w:p>
            <w:pPr>
              <w:spacing w:after="0"/>
              <w:rPr>
                <w:sz w:val="19"/>
                <w:szCs w:val="19"/>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(138)</w:t>
            </w: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30,654</w:t>
            </w:r>
          </w:p>
        </w:tc>
      </w:tr>
      <w:tr>
        <w:trPr>
          <w:trHeight w:val="213"/>
        </w:trPr>
        <w:tc>
          <w:tcPr>
            <w:tcW w:w="20" w:type="dxa"/>
            <w:vAlign w:val="bottom"/>
          </w:tcPr>
          <w:p>
            <w:pPr>
              <w:spacing w:after="0"/>
              <w:rPr>
                <w:sz w:val="18"/>
                <w:szCs w:val="18"/>
                <w:color w:val="auto"/>
              </w:rPr>
            </w:pPr>
          </w:p>
        </w:tc>
        <w:tc>
          <w:tcPr>
            <w:tcW w:w="4240" w:type="dxa"/>
            <w:vAlign w:val="bottom"/>
            <w:gridSpan w:val="2"/>
          </w:tcPr>
          <w:p>
            <w:pPr>
              <w:ind w:left="120"/>
              <w:spacing w:after="0"/>
              <w:rPr>
                <w:sz w:val="20"/>
                <w:szCs w:val="20"/>
                <w:color w:val="auto"/>
              </w:rPr>
            </w:pPr>
            <w:r>
              <w:rPr>
                <w:rFonts w:ascii="Arial" w:cs="Arial" w:eastAsia="Arial" w:hAnsi="Arial"/>
                <w:sz w:val="16"/>
                <w:szCs w:val="16"/>
                <w:color w:val="auto"/>
              </w:rPr>
              <w:t>Wholesale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3,470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25,718</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(24,476)</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4,712</w:t>
            </w:r>
          </w:p>
        </w:tc>
      </w:tr>
      <w:tr>
        <w:trPr>
          <w:trHeight w:val="219"/>
        </w:trPr>
        <w:tc>
          <w:tcPr>
            <w:tcW w:w="20" w:type="dxa"/>
            <w:vAlign w:val="bottom"/>
            <w:shd w:val="clear" w:color="auto" w:fill="CEFFE7"/>
          </w:tcPr>
          <w:p>
            <w:pPr>
              <w:spacing w:after="0"/>
              <w:rPr>
                <w:sz w:val="19"/>
                <w:szCs w:val="19"/>
                <w:color w:val="auto"/>
              </w:rPr>
            </w:pPr>
          </w:p>
        </w:tc>
        <w:tc>
          <w:tcPr>
            <w:tcW w:w="424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Market - off-system sales</w:t>
            </w:r>
          </w:p>
        </w:tc>
        <w:tc>
          <w:tcPr>
            <w:tcW w:w="22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3,538</w:t>
            </w:r>
          </w:p>
        </w:tc>
        <w:tc>
          <w:tcPr>
            <w:tcW w:w="16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w:t>
            </w:r>
          </w:p>
        </w:tc>
        <w:tc>
          <w:tcPr>
            <w:tcW w:w="200" w:type="dxa"/>
            <w:vAlign w:val="bottom"/>
            <w:shd w:val="clear" w:color="auto" w:fill="CEFFE7"/>
          </w:tcPr>
          <w:p>
            <w:pPr>
              <w:spacing w:after="0"/>
              <w:rPr>
                <w:sz w:val="19"/>
                <w:szCs w:val="19"/>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(1,580)</w:t>
            </w: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1,981</w:t>
            </w:r>
          </w:p>
        </w:tc>
      </w:tr>
      <w:tr>
        <w:trPr>
          <w:trHeight w:val="213"/>
        </w:trPr>
        <w:tc>
          <w:tcPr>
            <w:tcW w:w="20" w:type="dxa"/>
            <w:vAlign w:val="bottom"/>
            <w:tcBorders>
              <w:bottom w:val="single" w:sz="8" w:color="CEFFE7"/>
            </w:tcBorders>
          </w:tcPr>
          <w:p>
            <w:pPr>
              <w:spacing w:after="0"/>
              <w:rPr>
                <w:sz w:val="18"/>
                <w:szCs w:val="18"/>
                <w:color w:val="auto"/>
              </w:rPr>
            </w:pPr>
          </w:p>
        </w:tc>
        <w:tc>
          <w:tcPr>
            <w:tcW w:w="4240" w:type="dxa"/>
            <w:vAlign w:val="bottom"/>
            <w:tcBorders>
              <w:bottom w:val="single" w:sz="8" w:color="CEFFE7"/>
            </w:tcBorders>
            <w:gridSpan w:val="2"/>
          </w:tcPr>
          <w:p>
            <w:pPr>
              <w:ind w:left="120"/>
              <w:spacing w:after="0"/>
              <w:rPr>
                <w:sz w:val="20"/>
                <w:szCs w:val="20"/>
                <w:color w:val="auto"/>
              </w:rPr>
            </w:pPr>
            <w:r>
              <w:rPr>
                <w:rFonts w:ascii="Arial" w:cs="Arial" w:eastAsia="Arial" w:hAnsi="Arial"/>
                <w:sz w:val="16"/>
                <w:szCs w:val="16"/>
                <w:color w:val="auto"/>
              </w:rPr>
              <w:t>Transmission/Other</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12,761</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9,189</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(4,432)</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17,518</w:t>
            </w:r>
          </w:p>
        </w:tc>
      </w:tr>
      <w:tr>
        <w:trPr>
          <w:trHeight w:val="213"/>
        </w:trPr>
        <w:tc>
          <w:tcPr>
            <w:tcW w:w="20" w:type="dxa"/>
            <w:vAlign w:val="bottom"/>
            <w:shd w:val="clear" w:color="auto" w:fill="CEFFE7"/>
          </w:tcPr>
          <w:p>
            <w:pPr>
              <w:spacing w:after="0"/>
              <w:rPr>
                <w:sz w:val="18"/>
                <w:szCs w:val="18"/>
                <w:color w:val="auto"/>
              </w:rPr>
            </w:pPr>
          </w:p>
        </w:tc>
        <w:tc>
          <w:tcPr>
            <w:tcW w:w="424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Revenue from contracts with customers</w:t>
            </w:r>
          </w:p>
        </w:tc>
        <w:tc>
          <w:tcPr>
            <w:tcW w:w="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161,573</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160,598</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25,718</w:t>
            </w:r>
          </w:p>
        </w:tc>
        <w:tc>
          <w:tcPr>
            <w:tcW w:w="2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14,846</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(38,542)</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324,193</w:t>
            </w:r>
          </w:p>
        </w:tc>
      </w:tr>
      <w:tr>
        <w:trPr>
          <w:trHeight w:val="213"/>
        </w:trPr>
        <w:tc>
          <w:tcPr>
            <w:tcW w:w="20" w:type="dxa"/>
            <w:vAlign w:val="bottom"/>
            <w:tcBorders>
              <w:bottom w:val="single" w:sz="8" w:color="CEFFE7"/>
            </w:tcBorders>
          </w:tcPr>
          <w:p>
            <w:pPr>
              <w:spacing w:after="0"/>
              <w:rPr>
                <w:sz w:val="18"/>
                <w:szCs w:val="18"/>
                <w:color w:val="auto"/>
              </w:rPr>
            </w:pPr>
          </w:p>
        </w:tc>
        <w:tc>
          <w:tcPr>
            <w:tcW w:w="4240" w:type="dxa"/>
            <w:vAlign w:val="bottom"/>
            <w:tcBorders>
              <w:bottom w:val="single" w:sz="8" w:color="CEFFE7"/>
            </w:tcBorders>
            <w:gridSpan w:val="2"/>
          </w:tcPr>
          <w:p>
            <w:pPr>
              <w:ind w:left="120"/>
              <w:spacing w:after="0"/>
              <w:rPr>
                <w:sz w:val="20"/>
                <w:szCs w:val="20"/>
                <w:color w:val="auto"/>
              </w:rPr>
            </w:pPr>
            <w:r>
              <w:rPr>
                <w:rFonts w:ascii="Arial" w:cs="Arial" w:eastAsia="Arial" w:hAnsi="Arial"/>
                <w:sz w:val="16"/>
                <w:szCs w:val="16"/>
                <w:color w:val="auto"/>
              </w:rPr>
              <w:t>Other revenues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2,721</w:t>
            </w:r>
          </w:p>
        </w:tc>
      </w:tr>
      <w:tr>
        <w:trPr>
          <w:trHeight w:val="237"/>
        </w:trPr>
        <w:tc>
          <w:tcPr>
            <w:tcW w:w="4260" w:type="dxa"/>
            <w:vAlign w:val="bottom"/>
            <w:tcBorders>
              <w:bottom w:val="single" w:sz="8" w:color="CEFFE7"/>
            </w:tcBorders>
            <w:gridSpan w:val="3"/>
            <w:shd w:val="clear" w:color="auto" w:fill="CEFFE7"/>
          </w:tcPr>
          <w:p>
            <w:pPr>
              <w:ind w:left="20"/>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163,200</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161,110</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26,122</w:t>
            </w:r>
          </w:p>
        </w:tc>
        <w:tc>
          <w:tcPr>
            <w:tcW w:w="2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15,416</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(38,934)</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326,914</w:t>
            </w:r>
          </w:p>
        </w:tc>
      </w:tr>
      <w:tr>
        <w:trPr>
          <w:trHeight w:val="20"/>
        </w:trPr>
        <w:tc>
          <w:tcPr>
            <w:tcW w:w="20" w:type="dxa"/>
            <w:vAlign w:val="bottom"/>
            <w:tcBorders>
              <w:top w:val="single" w:sz="8" w:color="CEFFE7"/>
            </w:tcBorders>
          </w:tcPr>
          <w:p>
            <w:pPr>
              <w:spacing w:after="0" w:line="20" w:lineRule="exact"/>
              <w:rPr>
                <w:sz w:val="1"/>
                <w:szCs w:val="1"/>
                <w:color w:val="auto"/>
              </w:rPr>
            </w:pPr>
          </w:p>
        </w:tc>
        <w:tc>
          <w:tcPr>
            <w:tcW w:w="1220" w:type="dxa"/>
            <w:vAlign w:val="bottom"/>
            <w:tcBorders>
              <w:top w:val="single" w:sz="8" w:color="CEFFE7"/>
            </w:tcBorders>
          </w:tcPr>
          <w:p>
            <w:pPr>
              <w:spacing w:after="0" w:line="20" w:lineRule="exact"/>
              <w:rPr>
                <w:sz w:val="1"/>
                <w:szCs w:val="1"/>
                <w:color w:val="auto"/>
              </w:rPr>
            </w:pPr>
          </w:p>
        </w:tc>
        <w:tc>
          <w:tcPr>
            <w:tcW w:w="302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154305</wp:posOffset>
            </wp:positionV>
            <wp:extent cx="711517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p>
      <w:pPr>
        <w:spacing w:after="0" w:line="258" w:lineRule="exact"/>
        <w:rPr>
          <w:sz w:val="20"/>
          <w:szCs w:val="20"/>
          <w:color w:val="auto"/>
        </w:rPr>
      </w:pPr>
    </w:p>
    <w:p>
      <w:pPr>
        <w:ind w:left="160" w:right="720" w:hanging="121"/>
        <w:spacing w:after="0" w:line="288" w:lineRule="auto"/>
        <w:rPr>
          <w:sz w:val="20"/>
          <w:szCs w:val="20"/>
          <w:color w:val="auto"/>
        </w:rPr>
      </w:pPr>
      <w:r>
        <w:rPr>
          <w:rFonts w:ascii="Arial" w:cs="Arial" w:eastAsia="Arial" w:hAnsi="Arial"/>
          <w:sz w:val="16"/>
          <w:szCs w:val="16"/>
          <w:u w:val="single" w:color="auto"/>
          <w:color w:val="auto"/>
        </w:rPr>
        <w:t xml:space="preserve">Timing of Revenue Recognition: </w:t>
      </w:r>
      <w:r>
        <w:rPr>
          <w:rFonts w:ascii="Arial" w:cs="Arial" w:eastAsia="Arial" w:hAnsi="Arial"/>
          <w:sz w:val="16"/>
          <w:szCs w:val="16"/>
          <w:color w:val="auto"/>
        </w:rPr>
        <w:t>Services transferred at a point in time Services transferred over time</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99"/>
              <w:spacing w:after="0"/>
              <w:rPr>
                <w:sz w:val="20"/>
                <w:szCs w:val="20"/>
                <w:color w:val="auto"/>
              </w:rPr>
            </w:pPr>
            <w:r>
              <w:rPr>
                <w:rFonts w:ascii="Arial" w:cs="Arial" w:eastAsia="Arial" w:hAnsi="Arial"/>
                <w:sz w:val="16"/>
                <w:szCs w:val="16"/>
                <w:color w:val="auto"/>
              </w:rPr>
              <w:t>— $</w:t>
            </w:r>
          </w:p>
        </w:tc>
        <w:tc>
          <w:tcPr>
            <w:tcW w:w="1260" w:type="dxa"/>
            <w:vAlign w:val="bottom"/>
            <w:gridSpan w:val="2"/>
          </w:tcPr>
          <w:p>
            <w:pPr>
              <w:jc w:val="right"/>
              <w:ind w:right="219"/>
              <w:spacing w:after="0"/>
              <w:rPr>
                <w:sz w:val="20"/>
                <w:szCs w:val="20"/>
                <w:color w:val="auto"/>
              </w:rPr>
            </w:pPr>
            <w:r>
              <w:rPr>
                <w:rFonts w:ascii="Arial" w:cs="Arial" w:eastAsia="Arial" w:hAnsi="Arial"/>
                <w:sz w:val="16"/>
                <w:szCs w:val="16"/>
                <w:color w:val="auto"/>
              </w:rPr>
              <w:t>— $</w:t>
            </w:r>
          </w:p>
        </w:tc>
        <w:tc>
          <w:tcPr>
            <w:tcW w:w="1200" w:type="dxa"/>
            <w:vAlign w:val="bottom"/>
            <w:gridSpan w:val="2"/>
          </w:tcPr>
          <w:p>
            <w:pPr>
              <w:jc w:val="right"/>
              <w:ind w:right="139"/>
              <w:spacing w:after="0"/>
              <w:rPr>
                <w:sz w:val="20"/>
                <w:szCs w:val="20"/>
                <w:color w:val="auto"/>
              </w:rPr>
            </w:pPr>
            <w:r>
              <w:rPr>
                <w:rFonts w:ascii="Arial" w:cs="Arial" w:eastAsia="Arial" w:hAnsi="Arial"/>
                <w:sz w:val="16"/>
                <w:szCs w:val="16"/>
                <w:color w:val="auto"/>
              </w:rPr>
              <w:t>— $</w:t>
            </w:r>
          </w:p>
        </w:tc>
        <w:tc>
          <w:tcPr>
            <w:tcW w:w="780" w:type="dxa"/>
            <w:vAlign w:val="bottom"/>
          </w:tcPr>
          <w:p>
            <w:pPr>
              <w:jc w:val="right"/>
              <w:spacing w:after="0"/>
              <w:rPr>
                <w:sz w:val="20"/>
                <w:szCs w:val="20"/>
                <w:color w:val="auto"/>
              </w:rPr>
            </w:pPr>
            <w:r>
              <w:rPr>
                <w:rFonts w:ascii="Arial" w:cs="Arial" w:eastAsia="Arial" w:hAnsi="Arial"/>
                <w:sz w:val="16"/>
                <w:szCs w:val="16"/>
                <w:color w:val="auto"/>
              </w:rPr>
              <w:t>14,846</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(7,916)</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6,930</w:t>
            </w:r>
          </w:p>
        </w:tc>
      </w:tr>
      <w:tr>
        <w:trPr>
          <w:trHeight w:val="219"/>
        </w:trPr>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161,573</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160,598</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25,718</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(30,626)</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317,263</w:t>
            </w:r>
          </w:p>
        </w:tc>
      </w:tr>
      <w:tr>
        <w:trPr>
          <w:trHeight w:val="209"/>
        </w:trPr>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161,573</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160,598</w:t>
            </w:r>
          </w:p>
        </w:tc>
        <w:tc>
          <w:tcPr>
            <w:tcW w:w="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25,718</w:t>
            </w: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14,846</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(38,542)</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324,193</w:t>
            </w:r>
          </w:p>
        </w:tc>
      </w:tr>
      <w:tr>
        <w:trPr>
          <w:trHeight w:val="24"/>
        </w:trPr>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-2703830</wp:posOffset>
            </wp:positionH>
            <wp:positionV relativeFrom="paragraph">
              <wp:posOffset>-316865</wp:posOffset>
            </wp:positionV>
            <wp:extent cx="711517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6940"/>
          </w:cols>
          <w:pgMar w:left="320" w:top="118" w:right="359" w:bottom="1440" w:gutter="0" w:footer="0" w:header="0"/>
          <w:type w:val="continuous"/>
        </w:sect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4860" w:type="dxa"/>
            <w:vAlign w:val="bottom"/>
            <w:gridSpan w:val="4"/>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792"/>
        </w:trPr>
        <w:tc>
          <w:tcPr>
            <w:tcW w:w="2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color w:val="auto"/>
              </w:rPr>
              <w:t>Inter-</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Electric</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19"/>
              <w:spacing w:after="0" w:line="162" w:lineRule="exact"/>
              <w:rPr>
                <w:sz w:val="20"/>
                <w:szCs w:val="20"/>
                <w:color w:val="auto"/>
              </w:rPr>
            </w:pPr>
            <w:r>
              <w:rPr>
                <w:rFonts w:ascii="Arial" w:cs="Arial" w:eastAsia="Arial" w:hAnsi="Arial"/>
                <w:sz w:val="16"/>
                <w:szCs w:val="16"/>
                <w:color w:val="auto"/>
              </w:rPr>
              <w:t>Power</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39"/>
              <w:spacing w:after="0" w:line="162" w:lineRule="exact"/>
              <w:rPr>
                <w:sz w:val="20"/>
                <w:szCs w:val="20"/>
                <w:color w:val="auto"/>
              </w:rPr>
            </w:pPr>
            <w:r>
              <w:rPr>
                <w:rFonts w:ascii="Arial" w:cs="Arial" w:eastAsia="Arial" w:hAnsi="Arial"/>
                <w:sz w:val="16"/>
                <w:szCs w:val="16"/>
                <w:color w:val="auto"/>
              </w:rPr>
              <w:t>company</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48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Six Months Ended June 30, 2021</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Utilities</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Gas Utilities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Generation</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Mining</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Revenues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Total</w:t>
            </w:r>
          </w:p>
        </w:tc>
      </w:tr>
      <w:tr>
        <w:trPr>
          <w:trHeight w:val="172"/>
        </w:trPr>
        <w:tc>
          <w:tcPr>
            <w:tcW w:w="20" w:type="dxa"/>
            <w:vAlign w:val="bottom"/>
          </w:tcPr>
          <w:p>
            <w:pPr>
              <w:spacing w:after="0"/>
              <w:rPr>
                <w:sz w:val="14"/>
                <w:szCs w:val="14"/>
                <w:color w:val="auto"/>
              </w:rPr>
            </w:pPr>
          </w:p>
        </w:tc>
        <w:tc>
          <w:tcPr>
            <w:tcW w:w="4840" w:type="dxa"/>
            <w:vAlign w:val="bottom"/>
            <w:gridSpan w:val="3"/>
          </w:tcPr>
          <w:p>
            <w:pPr>
              <w:spacing w:after="0" w:line="172" w:lineRule="exact"/>
              <w:rPr>
                <w:sz w:val="20"/>
                <w:szCs w:val="20"/>
                <w:color w:val="auto"/>
              </w:rPr>
            </w:pPr>
            <w:r>
              <w:rPr>
                <w:rFonts w:ascii="Arial" w:cs="Arial" w:eastAsia="Arial" w:hAnsi="Arial"/>
                <w:sz w:val="16"/>
                <w:szCs w:val="16"/>
                <w:color w:val="auto"/>
              </w:rPr>
              <w:t>Customer types: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3"/>
          </w:tcPr>
          <w:p>
            <w:pPr>
              <w:jc w:val="right"/>
              <w:ind w:right="419"/>
              <w:spacing w:after="0" w:line="172" w:lineRule="exact"/>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6"/>
        </w:trPr>
        <w:tc>
          <w:tcPr>
            <w:tcW w:w="20" w:type="dxa"/>
            <w:vAlign w:val="bottom"/>
            <w:shd w:val="clear" w:color="auto" w:fill="CEFFE7"/>
          </w:tcPr>
          <w:p>
            <w:pPr>
              <w:spacing w:after="0"/>
              <w:rPr>
                <w:sz w:val="18"/>
                <w:szCs w:val="18"/>
                <w:color w:val="auto"/>
              </w:rPr>
            </w:pPr>
          </w:p>
        </w:tc>
        <w:tc>
          <w:tcPr>
            <w:tcW w:w="484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Retail</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356,970</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485,450</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 $</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27,937</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(14,247)</w:t>
            </w:r>
          </w:p>
        </w:tc>
        <w:tc>
          <w:tcPr>
            <w:tcW w:w="2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856,110</w:t>
            </w:r>
          </w:p>
        </w:tc>
      </w:tr>
      <w:tr>
        <w:trPr>
          <w:trHeight w:val="213"/>
        </w:trPr>
        <w:tc>
          <w:tcPr>
            <w:tcW w:w="20" w:type="dxa"/>
            <w:vAlign w:val="bottom"/>
          </w:tcPr>
          <w:p>
            <w:pPr>
              <w:spacing w:after="0"/>
              <w:rPr>
                <w:sz w:val="18"/>
                <w:szCs w:val="18"/>
                <w:color w:val="auto"/>
              </w:rPr>
            </w:pPr>
          </w:p>
        </w:tc>
        <w:tc>
          <w:tcPr>
            <w:tcW w:w="4840" w:type="dxa"/>
            <w:vAlign w:val="bottom"/>
            <w:gridSpan w:val="3"/>
          </w:tcPr>
          <w:p>
            <w:pPr>
              <w:ind w:left="120"/>
              <w:spacing w:after="0"/>
              <w:rPr>
                <w:sz w:val="20"/>
                <w:szCs w:val="20"/>
                <w:color w:val="auto"/>
              </w:rPr>
            </w:pPr>
            <w:r>
              <w:rPr>
                <w:rFonts w:ascii="Arial" w:cs="Arial" w:eastAsia="Arial" w:hAnsi="Arial"/>
                <w:sz w:val="16"/>
                <w:szCs w:val="16"/>
                <w:color w:val="auto"/>
              </w:rPr>
              <w:t>Transportation</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79,600</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(219)</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79,381</w:t>
            </w:r>
          </w:p>
        </w:tc>
      </w:tr>
      <w:tr>
        <w:trPr>
          <w:trHeight w:val="219"/>
        </w:trPr>
        <w:tc>
          <w:tcPr>
            <w:tcW w:w="20" w:type="dxa"/>
            <w:vAlign w:val="bottom"/>
            <w:shd w:val="clear" w:color="auto" w:fill="CEFFE7"/>
          </w:tcPr>
          <w:p>
            <w:pPr>
              <w:spacing w:after="0"/>
              <w:rPr>
                <w:sz w:val="19"/>
                <w:szCs w:val="19"/>
                <w:color w:val="auto"/>
              </w:rPr>
            </w:pPr>
          </w:p>
        </w:tc>
        <w:tc>
          <w:tcPr>
            <w:tcW w:w="484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Wholesale</w:t>
            </w:r>
          </w:p>
        </w:tc>
        <w:tc>
          <w:tcPr>
            <w:tcW w:w="180" w:type="dxa"/>
            <w:vAlign w:val="bottom"/>
            <w:shd w:val="clear" w:color="auto" w:fill="CEFFE7"/>
          </w:tcPr>
          <w:p>
            <w:pPr>
              <w:spacing w:after="0"/>
              <w:rPr>
                <w:sz w:val="19"/>
                <w:szCs w:val="19"/>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8,932</w:t>
            </w:r>
          </w:p>
        </w:tc>
        <w:tc>
          <w:tcPr>
            <w:tcW w:w="260" w:type="dxa"/>
            <w:vAlign w:val="bottom"/>
            <w:shd w:val="clear" w:color="auto" w:fill="CEFFE7"/>
          </w:tcPr>
          <w:p>
            <w:pPr>
              <w:spacing w:after="0"/>
              <w:rPr>
                <w:sz w:val="19"/>
                <w:szCs w:val="19"/>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53,604</w:t>
            </w:r>
          </w:p>
        </w:tc>
        <w:tc>
          <w:tcPr>
            <w:tcW w:w="240" w:type="dxa"/>
            <w:vAlign w:val="bottom"/>
            <w:shd w:val="clear" w:color="auto" w:fill="CEFFE7"/>
          </w:tcPr>
          <w:p>
            <w:pPr>
              <w:spacing w:after="0"/>
              <w:rPr>
                <w:sz w:val="19"/>
                <w:szCs w:val="19"/>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(47,931)</w:t>
            </w:r>
          </w:p>
        </w:tc>
        <w:tc>
          <w:tcPr>
            <w:tcW w:w="220" w:type="dxa"/>
            <w:vAlign w:val="bottom"/>
            <w:shd w:val="clear" w:color="auto" w:fill="CEFFE7"/>
          </w:tcPr>
          <w:p>
            <w:pPr>
              <w:spacing w:after="0"/>
              <w:rPr>
                <w:sz w:val="19"/>
                <w:szCs w:val="19"/>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14,605</w:t>
            </w:r>
          </w:p>
        </w:tc>
      </w:tr>
      <w:tr>
        <w:trPr>
          <w:trHeight w:val="213"/>
        </w:trPr>
        <w:tc>
          <w:tcPr>
            <w:tcW w:w="20" w:type="dxa"/>
            <w:vAlign w:val="bottom"/>
          </w:tcPr>
          <w:p>
            <w:pPr>
              <w:spacing w:after="0"/>
              <w:rPr>
                <w:sz w:val="18"/>
                <w:szCs w:val="18"/>
                <w:color w:val="auto"/>
              </w:rPr>
            </w:pPr>
          </w:p>
        </w:tc>
        <w:tc>
          <w:tcPr>
            <w:tcW w:w="4840" w:type="dxa"/>
            <w:vAlign w:val="bottom"/>
            <w:gridSpan w:val="3"/>
          </w:tcPr>
          <w:p>
            <w:pPr>
              <w:ind w:left="120"/>
              <w:spacing w:after="0"/>
              <w:rPr>
                <w:sz w:val="20"/>
                <w:szCs w:val="20"/>
                <w:color w:val="auto"/>
              </w:rPr>
            </w:pPr>
            <w:r>
              <w:rPr>
                <w:rFonts w:ascii="Arial" w:cs="Arial" w:eastAsia="Arial" w:hAnsi="Arial"/>
                <w:sz w:val="16"/>
                <w:szCs w:val="16"/>
                <w:color w:val="auto"/>
              </w:rPr>
              <w:t>Market - off-system sales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16,597</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160</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(4,559)</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12,198</w:t>
            </w:r>
          </w:p>
        </w:tc>
      </w:tr>
      <w:tr>
        <w:trPr>
          <w:trHeight w:val="216"/>
        </w:trPr>
        <w:tc>
          <w:tcPr>
            <w:tcW w:w="20" w:type="dxa"/>
            <w:vAlign w:val="bottom"/>
            <w:shd w:val="clear" w:color="auto" w:fill="CEFFE7"/>
          </w:tcPr>
          <w:p>
            <w:pPr>
              <w:spacing w:after="0"/>
              <w:rPr>
                <w:sz w:val="18"/>
                <w:szCs w:val="18"/>
                <w:color w:val="auto"/>
              </w:rPr>
            </w:pPr>
          </w:p>
        </w:tc>
        <w:tc>
          <w:tcPr>
            <w:tcW w:w="484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Transmission/Other</w:t>
            </w:r>
          </w:p>
        </w:tc>
        <w:tc>
          <w:tcPr>
            <w:tcW w:w="18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27,426</w:t>
            </w:r>
          </w:p>
        </w:tc>
        <w:tc>
          <w:tcPr>
            <w:tcW w:w="26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19,515</w:t>
            </w:r>
          </w:p>
        </w:tc>
        <w:tc>
          <w:tcPr>
            <w:tcW w:w="18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EFFE7"/>
          </w:tcPr>
          <w:p>
            <w:pPr>
              <w:spacing w:after="0"/>
              <w:rPr>
                <w:sz w:val="18"/>
                <w:szCs w:val="18"/>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(10,595)</w:t>
            </w:r>
          </w:p>
        </w:tc>
        <w:tc>
          <w:tcPr>
            <w:tcW w:w="22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36,346</w:t>
            </w:r>
          </w:p>
        </w:tc>
      </w:tr>
      <w:tr>
        <w:trPr>
          <w:trHeight w:val="209"/>
        </w:trPr>
        <w:tc>
          <w:tcPr>
            <w:tcW w:w="20" w:type="dxa"/>
            <w:vAlign w:val="bottom"/>
          </w:tcPr>
          <w:p>
            <w:pPr>
              <w:spacing w:after="0"/>
              <w:rPr>
                <w:sz w:val="18"/>
                <w:szCs w:val="18"/>
                <w:color w:val="auto"/>
              </w:rPr>
            </w:pPr>
          </w:p>
        </w:tc>
        <w:tc>
          <w:tcPr>
            <w:tcW w:w="4840" w:type="dxa"/>
            <w:vAlign w:val="bottom"/>
            <w:gridSpan w:val="3"/>
          </w:tcPr>
          <w:p>
            <w:pPr>
              <w:ind w:left="120"/>
              <w:spacing w:after="0"/>
              <w:rPr>
                <w:sz w:val="20"/>
                <w:szCs w:val="20"/>
                <w:color w:val="auto"/>
              </w:rPr>
            </w:pPr>
            <w:r>
              <w:rPr>
                <w:rFonts w:ascii="Arial" w:cs="Arial" w:eastAsia="Arial" w:hAnsi="Arial"/>
                <w:sz w:val="16"/>
                <w:szCs w:val="16"/>
                <w:color w:val="auto"/>
              </w:rPr>
              <w:t>Revenue from contracts with customers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409,925</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584,725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53,604</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27,937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(77,551)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998,640</w:t>
            </w:r>
          </w:p>
        </w:tc>
      </w:tr>
      <w:tr>
        <w:trPr>
          <w:trHeight w:val="216"/>
        </w:trPr>
        <w:tc>
          <w:tcPr>
            <w:tcW w:w="20" w:type="dxa"/>
            <w:vAlign w:val="bottom"/>
            <w:shd w:val="clear" w:color="auto" w:fill="CEFFE7"/>
          </w:tcPr>
          <w:p>
            <w:pPr>
              <w:spacing w:after="0"/>
              <w:rPr>
                <w:sz w:val="18"/>
                <w:szCs w:val="18"/>
                <w:color w:val="auto"/>
              </w:rPr>
            </w:pPr>
          </w:p>
        </w:tc>
        <w:tc>
          <w:tcPr>
            <w:tcW w:w="484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2,416</w:t>
            </w:r>
          </w:p>
        </w:tc>
        <w:tc>
          <w:tcPr>
            <w:tcW w:w="26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3,844</w:t>
            </w:r>
          </w:p>
        </w:tc>
        <w:tc>
          <w:tcPr>
            <w:tcW w:w="180" w:type="dxa"/>
            <w:vAlign w:val="bottom"/>
            <w:tcBorders>
              <w:bottom w:val="single" w:sz="8" w:color="auto"/>
            </w:tcBorders>
            <w:shd w:val="clear" w:color="auto" w:fill="CEFFE7"/>
          </w:tcPr>
          <w:p>
            <w:pPr>
              <w:spacing w:after="0"/>
              <w:rPr>
                <w:sz w:val="18"/>
                <w:szCs w:val="18"/>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907</w:t>
            </w:r>
          </w:p>
        </w:tc>
        <w:tc>
          <w:tcPr>
            <w:tcW w:w="240" w:type="dxa"/>
            <w:vAlign w:val="bottom"/>
            <w:tcBorders>
              <w:bottom w:val="single" w:sz="8" w:color="auto"/>
            </w:tcBorders>
            <w:shd w:val="clear" w:color="auto" w:fill="CEFFE7"/>
          </w:tcPr>
          <w:p>
            <w:pPr>
              <w:spacing w:after="0"/>
              <w:rPr>
                <w:sz w:val="18"/>
                <w:szCs w:val="18"/>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1,164</w:t>
            </w:r>
          </w:p>
        </w:tc>
        <w:tc>
          <w:tcPr>
            <w:tcW w:w="16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(967)</w:t>
            </w:r>
          </w:p>
        </w:tc>
        <w:tc>
          <w:tcPr>
            <w:tcW w:w="22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7,364</w:t>
            </w:r>
          </w:p>
        </w:tc>
      </w:tr>
      <w:tr>
        <w:trPr>
          <w:trHeight w:val="213"/>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412,341</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588,569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54,511</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29,101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(78,518)</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1,006,004</w:t>
            </w:r>
          </w:p>
        </w:tc>
      </w:tr>
      <w:tr>
        <w:trPr>
          <w:trHeight w:val="20"/>
        </w:trPr>
        <w:tc>
          <w:tcPr>
            <w:tcW w:w="20" w:type="dxa"/>
            <w:vAlign w:val="bottom"/>
            <w:tcBorders>
              <w:bottom w:val="single" w:sz="8" w:color="CEFFE7"/>
            </w:tcBorders>
          </w:tcPr>
          <w:p>
            <w:pPr>
              <w:spacing w:after="0" w:line="20" w:lineRule="exact"/>
              <w:rPr>
                <w:sz w:val="1"/>
                <w:szCs w:val="1"/>
                <w:color w:val="auto"/>
              </w:rPr>
            </w:pPr>
          </w:p>
        </w:tc>
        <w:tc>
          <w:tcPr>
            <w:tcW w:w="1180" w:type="dxa"/>
            <w:vAlign w:val="bottom"/>
            <w:tcBorders>
              <w:bottom w:val="single" w:sz="8" w:color="CEFFE7"/>
            </w:tcBorders>
          </w:tcPr>
          <w:p>
            <w:pPr>
              <w:spacing w:after="0" w:line="20" w:lineRule="exact"/>
              <w:rPr>
                <w:sz w:val="1"/>
                <w:szCs w:val="1"/>
                <w:color w:val="auto"/>
              </w:rPr>
            </w:pPr>
          </w:p>
        </w:tc>
        <w:tc>
          <w:tcPr>
            <w:tcW w:w="160" w:type="dxa"/>
            <w:vAlign w:val="bottom"/>
            <w:tcBorders>
              <w:bottom w:val="single" w:sz="8" w:color="CEFFE7"/>
            </w:tcBorders>
          </w:tcPr>
          <w:p>
            <w:pPr>
              <w:spacing w:after="0" w:line="20" w:lineRule="exact"/>
              <w:rPr>
                <w:sz w:val="1"/>
                <w:szCs w:val="1"/>
                <w:color w:val="auto"/>
              </w:rPr>
            </w:pPr>
          </w:p>
        </w:tc>
        <w:tc>
          <w:tcPr>
            <w:tcW w:w="3500" w:type="dxa"/>
            <w:vAlign w:val="bottom"/>
            <w:tcBorders>
              <w:bottom w:val="single" w:sz="8" w:color="CEFFE7"/>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shd w:val="clear" w:color="auto" w:fill="CEFFE7"/>
          </w:tcPr>
          <w:p>
            <w:pPr>
              <w:spacing w:after="0"/>
              <w:rPr>
                <w:sz w:val="10"/>
                <w:szCs w:val="10"/>
                <w:color w:val="auto"/>
              </w:rPr>
            </w:pPr>
          </w:p>
        </w:tc>
        <w:tc>
          <w:tcPr>
            <w:tcW w:w="1180" w:type="dxa"/>
            <w:vAlign w:val="bottom"/>
            <w:shd w:val="clear" w:color="auto" w:fill="CEFFE7"/>
          </w:tcPr>
          <w:p>
            <w:pPr>
              <w:spacing w:after="0"/>
              <w:rPr>
                <w:sz w:val="10"/>
                <w:szCs w:val="10"/>
                <w:color w:val="auto"/>
              </w:rPr>
            </w:pPr>
          </w:p>
        </w:tc>
        <w:tc>
          <w:tcPr>
            <w:tcW w:w="160" w:type="dxa"/>
            <w:vAlign w:val="bottom"/>
            <w:shd w:val="clear" w:color="auto" w:fill="CEFFE7"/>
          </w:tcPr>
          <w:p>
            <w:pPr>
              <w:spacing w:after="0"/>
              <w:rPr>
                <w:sz w:val="10"/>
                <w:szCs w:val="10"/>
                <w:color w:val="auto"/>
              </w:rPr>
            </w:pPr>
          </w:p>
        </w:tc>
        <w:tc>
          <w:tcPr>
            <w:tcW w:w="3500" w:type="dxa"/>
            <w:vAlign w:val="bottom"/>
            <w:shd w:val="clear" w:color="auto" w:fill="CEFFE7"/>
          </w:tcPr>
          <w:p>
            <w:pPr>
              <w:spacing w:after="0"/>
              <w:rPr>
                <w:sz w:val="10"/>
                <w:szCs w:val="10"/>
                <w:color w:val="auto"/>
              </w:rPr>
            </w:pPr>
          </w:p>
        </w:tc>
        <w:tc>
          <w:tcPr>
            <w:tcW w:w="180" w:type="dxa"/>
            <w:vAlign w:val="bottom"/>
            <w:shd w:val="clear" w:color="auto" w:fill="CEFFE7"/>
          </w:tcPr>
          <w:p>
            <w:pPr>
              <w:spacing w:after="0"/>
              <w:rPr>
                <w:sz w:val="10"/>
                <w:szCs w:val="10"/>
                <w:color w:val="auto"/>
              </w:rPr>
            </w:pPr>
          </w:p>
        </w:tc>
        <w:tc>
          <w:tcPr>
            <w:tcW w:w="820" w:type="dxa"/>
            <w:vAlign w:val="bottom"/>
            <w:shd w:val="clear" w:color="auto" w:fill="CEFFE7"/>
          </w:tcPr>
          <w:p>
            <w:pPr>
              <w:spacing w:after="0"/>
              <w:rPr>
                <w:sz w:val="10"/>
                <w:szCs w:val="10"/>
                <w:color w:val="auto"/>
              </w:rPr>
            </w:pPr>
          </w:p>
        </w:tc>
        <w:tc>
          <w:tcPr>
            <w:tcW w:w="260" w:type="dxa"/>
            <w:vAlign w:val="bottom"/>
            <w:shd w:val="clear" w:color="auto" w:fill="CEFFE7"/>
          </w:tcPr>
          <w:p>
            <w:pPr>
              <w:spacing w:after="0"/>
              <w:rPr>
                <w:sz w:val="10"/>
                <w:szCs w:val="10"/>
                <w:color w:val="auto"/>
              </w:rPr>
            </w:pPr>
          </w:p>
        </w:tc>
        <w:tc>
          <w:tcPr>
            <w:tcW w:w="760" w:type="dxa"/>
            <w:vAlign w:val="bottom"/>
            <w:shd w:val="clear" w:color="auto" w:fill="CEFFE7"/>
          </w:tcPr>
          <w:p>
            <w:pPr>
              <w:spacing w:after="0"/>
              <w:rPr>
                <w:sz w:val="10"/>
                <w:szCs w:val="10"/>
                <w:color w:val="auto"/>
              </w:rPr>
            </w:pPr>
          </w:p>
        </w:tc>
        <w:tc>
          <w:tcPr>
            <w:tcW w:w="180" w:type="dxa"/>
            <w:vAlign w:val="bottom"/>
            <w:shd w:val="clear" w:color="auto" w:fill="CEFFE7"/>
          </w:tcPr>
          <w:p>
            <w:pPr>
              <w:spacing w:after="0"/>
              <w:rPr>
                <w:sz w:val="10"/>
                <w:szCs w:val="10"/>
                <w:color w:val="auto"/>
              </w:rPr>
            </w:pPr>
          </w:p>
        </w:tc>
        <w:tc>
          <w:tcPr>
            <w:tcW w:w="980" w:type="dxa"/>
            <w:vAlign w:val="bottom"/>
            <w:shd w:val="clear" w:color="auto" w:fill="CEFFE7"/>
          </w:tcPr>
          <w:p>
            <w:pPr>
              <w:spacing w:after="0"/>
              <w:rPr>
                <w:sz w:val="10"/>
                <w:szCs w:val="10"/>
                <w:color w:val="auto"/>
              </w:rPr>
            </w:pPr>
          </w:p>
        </w:tc>
        <w:tc>
          <w:tcPr>
            <w:tcW w:w="240" w:type="dxa"/>
            <w:vAlign w:val="bottom"/>
            <w:shd w:val="clear" w:color="auto" w:fill="CEFFE7"/>
          </w:tcPr>
          <w:p>
            <w:pPr>
              <w:spacing w:after="0"/>
              <w:rPr>
                <w:sz w:val="10"/>
                <w:szCs w:val="10"/>
                <w:color w:val="auto"/>
              </w:rPr>
            </w:pPr>
          </w:p>
        </w:tc>
        <w:tc>
          <w:tcPr>
            <w:tcW w:w="780" w:type="dxa"/>
            <w:vAlign w:val="bottom"/>
            <w:shd w:val="clear" w:color="auto" w:fill="CEFFE7"/>
          </w:tcPr>
          <w:p>
            <w:pPr>
              <w:spacing w:after="0"/>
              <w:rPr>
                <w:sz w:val="10"/>
                <w:szCs w:val="10"/>
                <w:color w:val="auto"/>
              </w:rPr>
            </w:pPr>
          </w:p>
        </w:tc>
        <w:tc>
          <w:tcPr>
            <w:tcW w:w="160" w:type="dxa"/>
            <w:vAlign w:val="bottom"/>
            <w:shd w:val="clear" w:color="auto" w:fill="CEFFE7"/>
          </w:tcPr>
          <w:p>
            <w:pPr>
              <w:spacing w:after="0"/>
              <w:rPr>
                <w:sz w:val="10"/>
                <w:szCs w:val="10"/>
                <w:color w:val="auto"/>
              </w:rPr>
            </w:pPr>
          </w:p>
        </w:tc>
        <w:tc>
          <w:tcPr>
            <w:tcW w:w="900" w:type="dxa"/>
            <w:vAlign w:val="bottom"/>
            <w:shd w:val="clear" w:color="auto" w:fill="CEFFE7"/>
          </w:tcPr>
          <w:p>
            <w:pPr>
              <w:spacing w:after="0"/>
              <w:rPr>
                <w:sz w:val="10"/>
                <w:szCs w:val="10"/>
                <w:color w:val="auto"/>
              </w:rPr>
            </w:pPr>
          </w:p>
        </w:tc>
        <w:tc>
          <w:tcPr>
            <w:tcW w:w="220" w:type="dxa"/>
            <w:vAlign w:val="bottom"/>
            <w:shd w:val="clear" w:color="auto" w:fill="CEFFE7"/>
          </w:tcPr>
          <w:p>
            <w:pPr>
              <w:spacing w:after="0"/>
              <w:rPr>
                <w:sz w:val="10"/>
                <w:szCs w:val="10"/>
                <w:color w:val="auto"/>
              </w:rPr>
            </w:pPr>
          </w:p>
        </w:tc>
        <w:tc>
          <w:tcPr>
            <w:tcW w:w="900" w:type="dxa"/>
            <w:vAlign w:val="bottom"/>
            <w:shd w:val="clear" w:color="auto" w:fill="CEFFE7"/>
          </w:tcPr>
          <w:p>
            <w:pPr>
              <w:spacing w:after="0"/>
              <w:rPr>
                <w:sz w:val="10"/>
                <w:szCs w:val="10"/>
                <w:color w:val="auto"/>
              </w:rPr>
            </w:pPr>
          </w:p>
        </w:tc>
      </w:tr>
    </w:tbl>
    <w:p>
      <w:pPr>
        <w:spacing w:after="0" w:line="15"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0"/>
        <w:spacing w:after="0"/>
        <w:rPr>
          <w:sz w:val="20"/>
          <w:szCs w:val="20"/>
          <w:color w:val="auto"/>
        </w:rPr>
      </w:pPr>
      <w:r>
        <w:rPr>
          <w:rFonts w:ascii="Arial" w:cs="Arial" w:eastAsia="Arial" w:hAnsi="Arial"/>
          <w:sz w:val="16"/>
          <w:szCs w:val="16"/>
          <w:u w:val="single" w:color="auto"/>
          <w:color w:val="auto"/>
        </w:rPr>
        <w:t>Timing of revenue recognition: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Services transferred at a point in time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Services transferred over time</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59"/>
              <w:spacing w:after="0"/>
              <w:rPr>
                <w:sz w:val="20"/>
                <w:szCs w:val="20"/>
                <w:color w:val="auto"/>
              </w:rPr>
            </w:pPr>
            <w:r>
              <w:rPr>
                <w:rFonts w:ascii="Arial" w:cs="Arial" w:eastAsia="Arial" w:hAnsi="Arial"/>
                <w:sz w:val="16"/>
                <w:szCs w:val="16"/>
                <w:color w:val="auto"/>
              </w:rPr>
              <w:t>— $</w:t>
            </w:r>
          </w:p>
        </w:tc>
        <w:tc>
          <w:tcPr>
            <w:tcW w:w="1140" w:type="dxa"/>
            <w:vAlign w:val="bottom"/>
            <w:gridSpan w:val="2"/>
          </w:tcPr>
          <w:p>
            <w:pPr>
              <w:jc w:val="right"/>
              <w:ind w:right="159"/>
              <w:spacing w:after="0"/>
              <w:rPr>
                <w:sz w:val="20"/>
                <w:szCs w:val="20"/>
                <w:color w:val="auto"/>
              </w:rPr>
            </w:pPr>
            <w:r>
              <w:rPr>
                <w:rFonts w:ascii="Arial" w:cs="Arial" w:eastAsia="Arial" w:hAnsi="Arial"/>
                <w:sz w:val="16"/>
                <w:szCs w:val="16"/>
                <w:color w:val="auto"/>
              </w:rPr>
              <w:t>— $</w:t>
            </w:r>
          </w:p>
        </w:tc>
        <w:tc>
          <w:tcPr>
            <w:tcW w:w="1100" w:type="dxa"/>
            <w:vAlign w:val="bottom"/>
            <w:gridSpan w:val="2"/>
          </w:tcPr>
          <w:p>
            <w:pPr>
              <w:jc w:val="right"/>
              <w:ind w:right="99"/>
              <w:spacing w:after="0"/>
              <w:rPr>
                <w:sz w:val="20"/>
                <w:szCs w:val="20"/>
                <w:color w:val="auto"/>
              </w:rPr>
            </w:pPr>
            <w:r>
              <w:rPr>
                <w:rFonts w:ascii="Arial" w:cs="Arial" w:eastAsia="Arial" w:hAnsi="Arial"/>
                <w:sz w:val="16"/>
                <w:szCs w:val="16"/>
                <w:color w:val="auto"/>
              </w:rPr>
              <w:t>— $</w:t>
            </w:r>
          </w:p>
        </w:tc>
        <w:tc>
          <w:tcPr>
            <w:tcW w:w="700" w:type="dxa"/>
            <w:vAlign w:val="bottom"/>
          </w:tcPr>
          <w:p>
            <w:pPr>
              <w:jc w:val="right"/>
              <w:spacing w:after="0"/>
              <w:rPr>
                <w:sz w:val="20"/>
                <w:szCs w:val="20"/>
                <w:color w:val="auto"/>
              </w:rPr>
            </w:pPr>
            <w:r>
              <w:rPr>
                <w:rFonts w:ascii="Arial" w:cs="Arial" w:eastAsia="Arial" w:hAnsi="Arial"/>
                <w:sz w:val="16"/>
                <w:szCs w:val="16"/>
                <w:color w:val="auto"/>
              </w:rPr>
              <w:t>27,937</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(14,247)</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13,690</w:t>
            </w:r>
          </w:p>
        </w:tc>
      </w:tr>
      <w:tr>
        <w:trPr>
          <w:trHeight w:val="219"/>
        </w:trPr>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409,925</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584,725</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53,604</w:t>
            </w: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(63,304)</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984,950</w:t>
            </w:r>
          </w:p>
        </w:tc>
      </w:tr>
      <w:tr>
        <w:trPr>
          <w:trHeight w:val="209"/>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409,925</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584,725</w:t>
            </w:r>
          </w:p>
        </w:tc>
        <w:tc>
          <w:tcPr>
            <w:tcW w:w="3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53,604</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27,937</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(77,551)</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998,640</w:t>
            </w:r>
          </w:p>
        </w:tc>
      </w:tr>
      <w:tr>
        <w:trPr>
          <w:trHeight w:val="23"/>
        </w:trPr>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-454025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-179070</wp:posOffset>
            </wp:positionV>
            <wp:extent cx="713232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40" w:space="720"/>
            <w:col w:w="6380"/>
          </w:cols>
          <w:pgMar w:left="320" w:top="118" w:right="339" w:bottom="1440" w:gutter="0" w:footer="0" w:header="0"/>
          <w:type w:val="continuous"/>
        </w:sectPr>
      </w:pP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19"/>
              <w:spacing w:after="0"/>
              <w:rPr>
                <w:sz w:val="20"/>
                <w:szCs w:val="20"/>
                <w:color w:val="auto"/>
              </w:rPr>
            </w:pPr>
            <w:r>
              <w:rPr>
                <w:rFonts w:ascii="Arial" w:cs="Arial" w:eastAsia="Arial" w:hAnsi="Arial"/>
                <w:sz w:val="16"/>
                <w:szCs w:val="16"/>
                <w:color w:val="auto"/>
              </w:rPr>
              <w:t>Inter-</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99"/>
              <w:spacing w:after="0" w:line="162" w:lineRule="exact"/>
              <w:rPr>
                <w:sz w:val="20"/>
                <w:szCs w:val="20"/>
                <w:color w:val="auto"/>
              </w:rPr>
            </w:pPr>
            <w:r>
              <w:rPr>
                <w:rFonts w:ascii="Arial" w:cs="Arial" w:eastAsia="Arial" w:hAnsi="Arial"/>
                <w:sz w:val="16"/>
                <w:szCs w:val="16"/>
                <w:color w:val="auto"/>
              </w:rPr>
              <w:t>Electric</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219"/>
              <w:spacing w:after="0" w:line="162" w:lineRule="exact"/>
              <w:rPr>
                <w:sz w:val="20"/>
                <w:szCs w:val="20"/>
                <w:color w:val="auto"/>
              </w:rPr>
            </w:pPr>
            <w:r>
              <w:rPr>
                <w:rFonts w:ascii="Arial" w:cs="Arial" w:eastAsia="Arial" w:hAnsi="Arial"/>
                <w:sz w:val="16"/>
                <w:szCs w:val="16"/>
                <w:color w:val="auto"/>
              </w:rPr>
              <w:t>Power</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39"/>
              <w:spacing w:after="0" w:line="162" w:lineRule="exact"/>
              <w:rPr>
                <w:sz w:val="20"/>
                <w:szCs w:val="20"/>
                <w:color w:val="auto"/>
              </w:rPr>
            </w:pPr>
            <w:r>
              <w:rPr>
                <w:rFonts w:ascii="Arial" w:cs="Arial" w:eastAsia="Arial" w:hAnsi="Arial"/>
                <w:sz w:val="16"/>
                <w:szCs w:val="16"/>
                <w:color w:val="auto"/>
                <w:w w:val="98"/>
              </w:rPr>
              <w:t>company</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49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Six Months Ended June 30, 2020</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Utilities</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Gas Utilities</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Generation</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Mining</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99"/>
              </w:rPr>
              <w:t>Revenues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Total</w:t>
            </w:r>
          </w:p>
        </w:tc>
      </w:tr>
      <w:tr>
        <w:trPr>
          <w:trHeight w:val="172"/>
        </w:trPr>
        <w:tc>
          <w:tcPr>
            <w:tcW w:w="20" w:type="dxa"/>
            <w:vAlign w:val="bottom"/>
          </w:tcPr>
          <w:p>
            <w:pPr>
              <w:spacing w:after="0"/>
              <w:rPr>
                <w:sz w:val="14"/>
                <w:szCs w:val="14"/>
                <w:color w:val="auto"/>
              </w:rPr>
            </w:pPr>
          </w:p>
        </w:tc>
        <w:tc>
          <w:tcPr>
            <w:tcW w:w="4920" w:type="dxa"/>
            <w:vAlign w:val="bottom"/>
            <w:gridSpan w:val="3"/>
          </w:tcPr>
          <w:p>
            <w:pPr>
              <w:spacing w:after="0" w:line="172" w:lineRule="exact"/>
              <w:rPr>
                <w:sz w:val="20"/>
                <w:szCs w:val="20"/>
                <w:color w:val="auto"/>
              </w:rPr>
            </w:pPr>
            <w:r>
              <w:rPr>
                <w:rFonts w:ascii="Arial" w:cs="Arial" w:eastAsia="Arial" w:hAnsi="Arial"/>
                <w:sz w:val="16"/>
                <w:szCs w:val="16"/>
                <w:color w:val="auto"/>
              </w:rPr>
              <w:t>Customer Types: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3"/>
          </w:tcPr>
          <w:p>
            <w:pPr>
              <w:jc w:val="right"/>
              <w:ind w:right="479"/>
              <w:spacing w:after="0" w:line="172" w:lineRule="exact"/>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6"/>
        </w:trPr>
        <w:tc>
          <w:tcPr>
            <w:tcW w:w="20" w:type="dxa"/>
            <w:vAlign w:val="bottom"/>
            <w:shd w:val="clear" w:color="auto" w:fill="CEFFE7"/>
          </w:tcPr>
          <w:p>
            <w:pPr>
              <w:spacing w:after="0"/>
              <w:rPr>
                <w:sz w:val="18"/>
                <w:szCs w:val="18"/>
                <w:color w:val="auto"/>
              </w:rPr>
            </w:pPr>
          </w:p>
        </w:tc>
        <w:tc>
          <w:tcPr>
            <w:tcW w:w="49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Retail</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290,444</w:t>
            </w:r>
          </w:p>
        </w:tc>
        <w:tc>
          <w:tcPr>
            <w:tcW w:w="28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418,841</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 $</w:t>
            </w: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29,249</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(15,755)</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722,779</w:t>
            </w:r>
          </w:p>
        </w:tc>
      </w:tr>
      <w:tr>
        <w:trPr>
          <w:trHeight w:val="213"/>
        </w:trPr>
        <w:tc>
          <w:tcPr>
            <w:tcW w:w="20" w:type="dxa"/>
            <w:vAlign w:val="bottom"/>
          </w:tcPr>
          <w:p>
            <w:pPr>
              <w:spacing w:after="0"/>
              <w:rPr>
                <w:sz w:val="18"/>
                <w:szCs w:val="18"/>
                <w:color w:val="auto"/>
              </w:rPr>
            </w:pPr>
          </w:p>
        </w:tc>
        <w:tc>
          <w:tcPr>
            <w:tcW w:w="4920" w:type="dxa"/>
            <w:vAlign w:val="bottom"/>
            <w:gridSpan w:val="3"/>
          </w:tcPr>
          <w:p>
            <w:pPr>
              <w:ind w:left="120"/>
              <w:spacing w:after="0"/>
              <w:rPr>
                <w:sz w:val="20"/>
                <w:szCs w:val="20"/>
                <w:color w:val="auto"/>
              </w:rPr>
            </w:pPr>
            <w:r>
              <w:rPr>
                <w:rFonts w:ascii="Arial" w:cs="Arial" w:eastAsia="Arial" w:hAnsi="Arial"/>
                <w:sz w:val="16"/>
                <w:szCs w:val="16"/>
                <w:color w:val="auto"/>
              </w:rPr>
              <w:t>Transportation</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74,900</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(277)</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74,623</w:t>
            </w:r>
          </w:p>
        </w:tc>
      </w:tr>
      <w:tr>
        <w:trPr>
          <w:trHeight w:val="219"/>
        </w:trPr>
        <w:tc>
          <w:tcPr>
            <w:tcW w:w="20" w:type="dxa"/>
            <w:vAlign w:val="bottom"/>
            <w:shd w:val="clear" w:color="auto" w:fill="CEFFE7"/>
          </w:tcPr>
          <w:p>
            <w:pPr>
              <w:spacing w:after="0"/>
              <w:rPr>
                <w:sz w:val="19"/>
                <w:szCs w:val="19"/>
                <w:color w:val="auto"/>
              </w:rPr>
            </w:pPr>
          </w:p>
        </w:tc>
        <w:tc>
          <w:tcPr>
            <w:tcW w:w="49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Wholesale</w:t>
            </w:r>
          </w:p>
        </w:tc>
        <w:tc>
          <w:tcPr>
            <w:tcW w:w="180" w:type="dxa"/>
            <w:vAlign w:val="bottom"/>
            <w:shd w:val="clear" w:color="auto" w:fill="CEFFE7"/>
          </w:tcPr>
          <w:p>
            <w:pPr>
              <w:spacing w:after="0"/>
              <w:rPr>
                <w:sz w:val="19"/>
                <w:szCs w:val="19"/>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9,022</w:t>
            </w:r>
          </w:p>
        </w:tc>
        <w:tc>
          <w:tcPr>
            <w:tcW w:w="280" w:type="dxa"/>
            <w:vAlign w:val="bottom"/>
            <w:shd w:val="clear" w:color="auto" w:fill="CEFFE7"/>
          </w:tcPr>
          <w:p>
            <w:pPr>
              <w:spacing w:after="0"/>
              <w:rPr>
                <w:sz w:val="19"/>
                <w:szCs w:val="19"/>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spacing w:after="0"/>
              <w:rPr>
                <w:sz w:val="19"/>
                <w:szCs w:val="19"/>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51,185</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(48,088)</w:t>
            </w:r>
          </w:p>
        </w:tc>
        <w:tc>
          <w:tcPr>
            <w:tcW w:w="24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12,119</w:t>
            </w:r>
          </w:p>
        </w:tc>
      </w:tr>
      <w:tr>
        <w:trPr>
          <w:trHeight w:val="213"/>
        </w:trPr>
        <w:tc>
          <w:tcPr>
            <w:tcW w:w="20" w:type="dxa"/>
            <w:vAlign w:val="bottom"/>
          </w:tcPr>
          <w:p>
            <w:pPr>
              <w:spacing w:after="0"/>
              <w:rPr>
                <w:sz w:val="18"/>
                <w:szCs w:val="18"/>
                <w:color w:val="auto"/>
              </w:rPr>
            </w:pPr>
          </w:p>
        </w:tc>
        <w:tc>
          <w:tcPr>
            <w:tcW w:w="4920" w:type="dxa"/>
            <w:vAlign w:val="bottom"/>
            <w:gridSpan w:val="3"/>
          </w:tcPr>
          <w:p>
            <w:pPr>
              <w:ind w:left="120"/>
              <w:spacing w:after="0"/>
              <w:rPr>
                <w:sz w:val="20"/>
                <w:szCs w:val="20"/>
                <w:color w:val="auto"/>
              </w:rPr>
            </w:pPr>
            <w:r>
              <w:rPr>
                <w:rFonts w:ascii="Arial" w:cs="Arial" w:eastAsia="Arial" w:hAnsi="Arial"/>
                <w:sz w:val="16"/>
                <w:szCs w:val="16"/>
                <w:color w:val="auto"/>
              </w:rPr>
              <w:t>Market - off-system sales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8,405</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(4,219)</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4,347</w:t>
            </w:r>
          </w:p>
        </w:tc>
      </w:tr>
      <w:tr>
        <w:trPr>
          <w:trHeight w:val="216"/>
        </w:trPr>
        <w:tc>
          <w:tcPr>
            <w:tcW w:w="20" w:type="dxa"/>
            <w:vAlign w:val="bottom"/>
            <w:shd w:val="clear" w:color="auto" w:fill="CEFFE7"/>
          </w:tcPr>
          <w:p>
            <w:pPr>
              <w:spacing w:after="0"/>
              <w:rPr>
                <w:sz w:val="18"/>
                <w:szCs w:val="18"/>
                <w:color w:val="auto"/>
              </w:rPr>
            </w:pPr>
          </w:p>
        </w:tc>
        <w:tc>
          <w:tcPr>
            <w:tcW w:w="49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Transmission/Other</w:t>
            </w:r>
          </w:p>
        </w:tc>
        <w:tc>
          <w:tcPr>
            <w:tcW w:w="18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27,618</w:t>
            </w:r>
          </w:p>
        </w:tc>
        <w:tc>
          <w:tcPr>
            <w:tcW w:w="28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21,761</w:t>
            </w:r>
          </w:p>
        </w:tc>
        <w:tc>
          <w:tcPr>
            <w:tcW w:w="16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(8,845)</w:t>
            </w:r>
          </w:p>
        </w:tc>
        <w:tc>
          <w:tcPr>
            <w:tcW w:w="24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40,534</w:t>
            </w:r>
          </w:p>
        </w:tc>
      </w:tr>
      <w:tr>
        <w:trPr>
          <w:trHeight w:val="210"/>
        </w:trPr>
        <w:tc>
          <w:tcPr>
            <w:tcW w:w="20" w:type="dxa"/>
            <w:vAlign w:val="bottom"/>
          </w:tcPr>
          <w:p>
            <w:pPr>
              <w:spacing w:after="0"/>
              <w:rPr>
                <w:sz w:val="18"/>
                <w:szCs w:val="18"/>
                <w:color w:val="auto"/>
              </w:rPr>
            </w:pPr>
          </w:p>
        </w:tc>
        <w:tc>
          <w:tcPr>
            <w:tcW w:w="4920" w:type="dxa"/>
            <w:vAlign w:val="bottom"/>
            <w:gridSpan w:val="3"/>
          </w:tcPr>
          <w:p>
            <w:pPr>
              <w:ind w:left="120"/>
              <w:spacing w:after="0"/>
              <w:rPr>
                <w:sz w:val="20"/>
                <w:szCs w:val="20"/>
                <w:color w:val="auto"/>
              </w:rPr>
            </w:pPr>
            <w:r>
              <w:rPr>
                <w:rFonts w:ascii="Arial" w:cs="Arial" w:eastAsia="Arial" w:hAnsi="Arial"/>
                <w:sz w:val="16"/>
                <w:szCs w:val="16"/>
                <w:color w:val="auto"/>
              </w:rPr>
              <w:t>Revenue from contracts with customers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335,489</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515,663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51,185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29,249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(77,184)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854,402</w:t>
            </w:r>
          </w:p>
        </w:tc>
      </w:tr>
      <w:tr>
        <w:trPr>
          <w:trHeight w:val="216"/>
        </w:trPr>
        <w:tc>
          <w:tcPr>
            <w:tcW w:w="20" w:type="dxa"/>
            <w:vAlign w:val="bottom"/>
            <w:shd w:val="clear" w:color="auto" w:fill="CEFFE7"/>
          </w:tcPr>
          <w:p>
            <w:pPr>
              <w:spacing w:after="0"/>
              <w:rPr>
                <w:sz w:val="18"/>
                <w:szCs w:val="18"/>
                <w:color w:val="auto"/>
              </w:rPr>
            </w:pPr>
          </w:p>
        </w:tc>
        <w:tc>
          <w:tcPr>
            <w:tcW w:w="49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1,850</w:t>
            </w:r>
          </w:p>
        </w:tc>
        <w:tc>
          <w:tcPr>
            <w:tcW w:w="280" w:type="dxa"/>
            <w:vAlign w:val="bottom"/>
            <w:tcBorders>
              <w:bottom w:val="single" w:sz="8" w:color="auto"/>
            </w:tcBorders>
            <w:shd w:val="clear" w:color="auto" w:fill="CEFFE7"/>
          </w:tcPr>
          <w:p>
            <w:pPr>
              <w:spacing w:after="0"/>
              <w:rPr>
                <w:sz w:val="18"/>
                <w:szCs w:val="18"/>
                <w:color w:val="auto"/>
              </w:rPr>
            </w:pP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6,220</w:t>
            </w:r>
          </w:p>
        </w:tc>
        <w:tc>
          <w:tcPr>
            <w:tcW w:w="16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903</w:t>
            </w:r>
          </w:p>
        </w:tc>
        <w:tc>
          <w:tcPr>
            <w:tcW w:w="22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1,372</w:t>
            </w:r>
          </w:p>
        </w:tc>
        <w:tc>
          <w:tcPr>
            <w:tcW w:w="160" w:type="dxa"/>
            <w:vAlign w:val="bottom"/>
            <w:tcBorders>
              <w:bottom w:val="single" w:sz="8" w:color="auto"/>
            </w:tcBorders>
            <w:shd w:val="clear" w:color="auto" w:fill="CEFFE7"/>
          </w:tcPr>
          <w:p>
            <w:pPr>
              <w:spacing w:after="0"/>
              <w:rPr>
                <w:sz w:val="18"/>
                <w:szCs w:val="18"/>
                <w:color w:val="auto"/>
              </w:rPr>
            </w:pP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(783)</w:t>
            </w:r>
          </w:p>
        </w:tc>
        <w:tc>
          <w:tcPr>
            <w:tcW w:w="24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9,562</w:t>
            </w:r>
          </w:p>
        </w:tc>
      </w:tr>
      <w:tr>
        <w:trPr>
          <w:trHeight w:val="213"/>
        </w:trPr>
        <w:tc>
          <w:tcPr>
            <w:tcW w:w="2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337,339</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521,883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52,088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(77,967)</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863,964</w:t>
            </w:r>
          </w:p>
        </w:tc>
      </w:tr>
      <w:tr>
        <w:trPr>
          <w:trHeight w:val="20"/>
        </w:trPr>
        <w:tc>
          <w:tcPr>
            <w:tcW w:w="20" w:type="dxa"/>
            <w:vAlign w:val="bottom"/>
            <w:tcBorders>
              <w:bottom w:val="single" w:sz="8" w:color="CEFFE7"/>
            </w:tcBorders>
          </w:tcPr>
          <w:p>
            <w:pPr>
              <w:spacing w:after="0" w:line="20" w:lineRule="exact"/>
              <w:rPr>
                <w:sz w:val="1"/>
                <w:szCs w:val="1"/>
                <w:color w:val="auto"/>
              </w:rPr>
            </w:pPr>
          </w:p>
        </w:tc>
        <w:tc>
          <w:tcPr>
            <w:tcW w:w="1240" w:type="dxa"/>
            <w:vAlign w:val="bottom"/>
            <w:tcBorders>
              <w:bottom w:val="single" w:sz="8" w:color="CEFFE7"/>
            </w:tcBorders>
          </w:tcPr>
          <w:p>
            <w:pPr>
              <w:spacing w:after="0" w:line="20" w:lineRule="exact"/>
              <w:rPr>
                <w:sz w:val="1"/>
                <w:szCs w:val="1"/>
                <w:color w:val="auto"/>
              </w:rPr>
            </w:pPr>
          </w:p>
        </w:tc>
        <w:tc>
          <w:tcPr>
            <w:tcW w:w="1060" w:type="dxa"/>
            <w:vAlign w:val="bottom"/>
            <w:tcBorders>
              <w:bottom w:val="single" w:sz="8" w:color="CEFFE7"/>
            </w:tcBorders>
          </w:tcPr>
          <w:p>
            <w:pPr>
              <w:spacing w:after="0" w:line="20" w:lineRule="exact"/>
              <w:rPr>
                <w:sz w:val="1"/>
                <w:szCs w:val="1"/>
                <w:color w:val="auto"/>
              </w:rPr>
            </w:pPr>
          </w:p>
        </w:tc>
        <w:tc>
          <w:tcPr>
            <w:tcW w:w="2620" w:type="dxa"/>
            <w:vAlign w:val="bottom"/>
            <w:tcBorders>
              <w:bottom w:val="single" w:sz="8" w:color="CEFFE7"/>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15"/>
        </w:trPr>
        <w:tc>
          <w:tcPr>
            <w:tcW w:w="20" w:type="dxa"/>
            <w:vAlign w:val="bottom"/>
            <w:shd w:val="clear" w:color="auto" w:fill="CEFFE7"/>
          </w:tcPr>
          <w:p>
            <w:pPr>
              <w:spacing w:after="0"/>
              <w:rPr>
                <w:sz w:val="10"/>
                <w:szCs w:val="10"/>
                <w:color w:val="auto"/>
              </w:rPr>
            </w:pPr>
          </w:p>
        </w:tc>
        <w:tc>
          <w:tcPr>
            <w:tcW w:w="1240" w:type="dxa"/>
            <w:vAlign w:val="bottom"/>
            <w:shd w:val="clear" w:color="auto" w:fill="CEFFE7"/>
          </w:tcPr>
          <w:p>
            <w:pPr>
              <w:spacing w:after="0"/>
              <w:rPr>
                <w:sz w:val="10"/>
                <w:szCs w:val="10"/>
                <w:color w:val="auto"/>
              </w:rPr>
            </w:pPr>
          </w:p>
        </w:tc>
        <w:tc>
          <w:tcPr>
            <w:tcW w:w="1060" w:type="dxa"/>
            <w:vAlign w:val="bottom"/>
            <w:shd w:val="clear" w:color="auto" w:fill="CEFFE7"/>
          </w:tcPr>
          <w:p>
            <w:pPr>
              <w:spacing w:after="0"/>
              <w:rPr>
                <w:sz w:val="10"/>
                <w:szCs w:val="10"/>
                <w:color w:val="auto"/>
              </w:rPr>
            </w:pPr>
          </w:p>
        </w:tc>
        <w:tc>
          <w:tcPr>
            <w:tcW w:w="2620" w:type="dxa"/>
            <w:vAlign w:val="bottom"/>
            <w:shd w:val="clear" w:color="auto" w:fill="CEFFE7"/>
          </w:tcPr>
          <w:p>
            <w:pPr>
              <w:spacing w:after="0"/>
              <w:rPr>
                <w:sz w:val="10"/>
                <w:szCs w:val="10"/>
                <w:color w:val="auto"/>
              </w:rPr>
            </w:pPr>
          </w:p>
        </w:tc>
        <w:tc>
          <w:tcPr>
            <w:tcW w:w="180" w:type="dxa"/>
            <w:vAlign w:val="bottom"/>
            <w:shd w:val="clear" w:color="auto" w:fill="CEFFE7"/>
          </w:tcPr>
          <w:p>
            <w:pPr>
              <w:spacing w:after="0"/>
              <w:rPr>
                <w:sz w:val="10"/>
                <w:szCs w:val="10"/>
                <w:color w:val="auto"/>
              </w:rPr>
            </w:pPr>
          </w:p>
        </w:tc>
        <w:tc>
          <w:tcPr>
            <w:tcW w:w="820" w:type="dxa"/>
            <w:vAlign w:val="bottom"/>
            <w:shd w:val="clear" w:color="auto" w:fill="CEFFE7"/>
          </w:tcPr>
          <w:p>
            <w:pPr>
              <w:spacing w:after="0"/>
              <w:rPr>
                <w:sz w:val="10"/>
                <w:szCs w:val="10"/>
                <w:color w:val="auto"/>
              </w:rPr>
            </w:pPr>
          </w:p>
        </w:tc>
        <w:tc>
          <w:tcPr>
            <w:tcW w:w="280" w:type="dxa"/>
            <w:vAlign w:val="bottom"/>
            <w:shd w:val="clear" w:color="auto" w:fill="CEFFE7"/>
          </w:tcPr>
          <w:p>
            <w:pPr>
              <w:spacing w:after="0"/>
              <w:rPr>
                <w:sz w:val="10"/>
                <w:szCs w:val="10"/>
                <w:color w:val="auto"/>
              </w:rPr>
            </w:pPr>
          </w:p>
        </w:tc>
        <w:tc>
          <w:tcPr>
            <w:tcW w:w="760" w:type="dxa"/>
            <w:vAlign w:val="bottom"/>
            <w:shd w:val="clear" w:color="auto" w:fill="CEFFE7"/>
          </w:tcPr>
          <w:p>
            <w:pPr>
              <w:spacing w:after="0"/>
              <w:rPr>
                <w:sz w:val="10"/>
                <w:szCs w:val="10"/>
                <w:color w:val="auto"/>
              </w:rPr>
            </w:pPr>
          </w:p>
        </w:tc>
        <w:tc>
          <w:tcPr>
            <w:tcW w:w="160" w:type="dxa"/>
            <w:vAlign w:val="bottom"/>
            <w:shd w:val="clear" w:color="auto" w:fill="CEFFE7"/>
          </w:tcPr>
          <w:p>
            <w:pPr>
              <w:spacing w:after="0"/>
              <w:rPr>
                <w:sz w:val="10"/>
                <w:szCs w:val="10"/>
                <w:color w:val="auto"/>
              </w:rPr>
            </w:pPr>
          </w:p>
        </w:tc>
        <w:tc>
          <w:tcPr>
            <w:tcW w:w="1000" w:type="dxa"/>
            <w:vAlign w:val="bottom"/>
            <w:shd w:val="clear" w:color="auto" w:fill="CEFFE7"/>
          </w:tcPr>
          <w:p>
            <w:pPr>
              <w:spacing w:after="0"/>
              <w:rPr>
                <w:sz w:val="10"/>
                <w:szCs w:val="10"/>
                <w:color w:val="auto"/>
              </w:rPr>
            </w:pPr>
          </w:p>
        </w:tc>
        <w:tc>
          <w:tcPr>
            <w:tcW w:w="220" w:type="dxa"/>
            <w:vAlign w:val="bottom"/>
            <w:shd w:val="clear" w:color="auto" w:fill="CEFFE7"/>
          </w:tcPr>
          <w:p>
            <w:pPr>
              <w:spacing w:after="0"/>
              <w:rPr>
                <w:sz w:val="10"/>
                <w:szCs w:val="10"/>
                <w:color w:val="auto"/>
              </w:rPr>
            </w:pPr>
          </w:p>
        </w:tc>
        <w:tc>
          <w:tcPr>
            <w:tcW w:w="800" w:type="dxa"/>
            <w:vAlign w:val="bottom"/>
            <w:shd w:val="clear" w:color="auto" w:fill="CEFFE7"/>
          </w:tcPr>
          <w:p>
            <w:pPr>
              <w:spacing w:after="0"/>
              <w:rPr>
                <w:sz w:val="10"/>
                <w:szCs w:val="10"/>
                <w:color w:val="auto"/>
              </w:rPr>
            </w:pPr>
          </w:p>
        </w:tc>
        <w:tc>
          <w:tcPr>
            <w:tcW w:w="160" w:type="dxa"/>
            <w:vAlign w:val="bottom"/>
            <w:shd w:val="clear" w:color="auto" w:fill="CEFFE7"/>
          </w:tcPr>
          <w:p>
            <w:pPr>
              <w:spacing w:after="0"/>
              <w:rPr>
                <w:sz w:val="10"/>
                <w:szCs w:val="10"/>
                <w:color w:val="auto"/>
              </w:rPr>
            </w:pPr>
          </w:p>
        </w:tc>
        <w:tc>
          <w:tcPr>
            <w:tcW w:w="880" w:type="dxa"/>
            <w:vAlign w:val="bottom"/>
            <w:shd w:val="clear" w:color="auto" w:fill="CEFFE7"/>
          </w:tcPr>
          <w:p>
            <w:pPr>
              <w:spacing w:after="0"/>
              <w:rPr>
                <w:sz w:val="10"/>
                <w:szCs w:val="10"/>
                <w:color w:val="auto"/>
              </w:rPr>
            </w:pPr>
          </w:p>
        </w:tc>
        <w:tc>
          <w:tcPr>
            <w:tcW w:w="240" w:type="dxa"/>
            <w:vAlign w:val="bottom"/>
            <w:shd w:val="clear" w:color="auto" w:fill="CEFFE7"/>
          </w:tcPr>
          <w:p>
            <w:pPr>
              <w:spacing w:after="0"/>
              <w:rPr>
                <w:sz w:val="10"/>
                <w:szCs w:val="10"/>
                <w:color w:val="auto"/>
              </w:rPr>
            </w:pPr>
          </w:p>
        </w:tc>
        <w:tc>
          <w:tcPr>
            <w:tcW w:w="800" w:type="dxa"/>
            <w:vAlign w:val="bottom"/>
            <w:shd w:val="clear" w:color="auto" w:fill="CEFFE7"/>
          </w:tcPr>
          <w:p>
            <w:pPr>
              <w:spacing w:after="0"/>
              <w:rPr>
                <w:sz w:val="10"/>
                <w:szCs w:val="10"/>
                <w:color w:val="auto"/>
              </w:rPr>
            </w:pPr>
          </w:p>
        </w:tc>
      </w:tr>
      <w:tr>
        <w:trPr>
          <w:trHeight w:val="175"/>
        </w:trPr>
        <w:tc>
          <w:tcPr>
            <w:tcW w:w="20" w:type="dxa"/>
            <w:vAlign w:val="bottom"/>
          </w:tcPr>
          <w:p>
            <w:pPr>
              <w:spacing w:after="0"/>
              <w:rPr>
                <w:sz w:val="15"/>
                <w:szCs w:val="15"/>
                <w:color w:val="auto"/>
              </w:rPr>
            </w:pPr>
          </w:p>
        </w:tc>
        <w:tc>
          <w:tcPr>
            <w:tcW w:w="4920" w:type="dxa"/>
            <w:vAlign w:val="bottom"/>
            <w:gridSpan w:val="3"/>
          </w:tcPr>
          <w:p>
            <w:pPr>
              <w:spacing w:after="0" w:line="175" w:lineRule="exact"/>
              <w:rPr>
                <w:sz w:val="20"/>
                <w:szCs w:val="20"/>
                <w:color w:val="auto"/>
              </w:rPr>
            </w:pPr>
            <w:r>
              <w:rPr>
                <w:rFonts w:ascii="Arial" w:cs="Arial" w:eastAsia="Arial" w:hAnsi="Arial"/>
                <w:sz w:val="16"/>
                <w:szCs w:val="16"/>
                <w:color w:val="auto"/>
              </w:rPr>
              <w:t>Timing of Revenue Recognition:</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6"/>
        </w:trPr>
        <w:tc>
          <w:tcPr>
            <w:tcW w:w="20" w:type="dxa"/>
            <w:vAlign w:val="bottom"/>
            <w:shd w:val="clear" w:color="auto" w:fill="CEFFE7"/>
          </w:tcPr>
          <w:p>
            <w:pPr>
              <w:spacing w:after="0"/>
              <w:rPr>
                <w:sz w:val="18"/>
                <w:szCs w:val="18"/>
                <w:color w:val="auto"/>
              </w:rPr>
            </w:pPr>
          </w:p>
        </w:tc>
        <w:tc>
          <w:tcPr>
            <w:tcW w:w="4920" w:type="dxa"/>
            <w:vAlign w:val="bottom"/>
            <w:gridSpan w:val="3"/>
            <w:shd w:val="clear" w:color="auto" w:fill="CEFFE7"/>
          </w:tcPr>
          <w:p>
            <w:pPr>
              <w:ind w:left="120"/>
              <w:spacing w:after="0"/>
              <w:rPr>
                <w:sz w:val="20"/>
                <w:szCs w:val="20"/>
                <w:color w:val="auto"/>
              </w:rPr>
            </w:pPr>
            <w:r>
              <w:rPr>
                <w:rFonts w:ascii="Arial" w:cs="Arial" w:eastAsia="Arial" w:hAnsi="Arial"/>
                <w:sz w:val="16"/>
                <w:szCs w:val="16"/>
                <w:color w:val="auto"/>
              </w:rPr>
              <w:t>Services transferred at a point in time</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29,249</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(15,755)</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13,494</w:t>
            </w:r>
          </w:p>
        </w:tc>
      </w:tr>
      <w:tr>
        <w:trPr>
          <w:trHeight w:val="213"/>
        </w:trPr>
        <w:tc>
          <w:tcPr>
            <w:tcW w:w="20" w:type="dxa"/>
            <w:vAlign w:val="bottom"/>
            <w:tcBorders>
              <w:bottom w:val="single" w:sz="8" w:color="CEFFE7"/>
            </w:tcBorders>
          </w:tcPr>
          <w:p>
            <w:pPr>
              <w:spacing w:after="0"/>
              <w:rPr>
                <w:sz w:val="18"/>
                <w:szCs w:val="18"/>
                <w:color w:val="auto"/>
              </w:rPr>
            </w:pPr>
          </w:p>
        </w:tc>
        <w:tc>
          <w:tcPr>
            <w:tcW w:w="4920" w:type="dxa"/>
            <w:vAlign w:val="bottom"/>
            <w:tcBorders>
              <w:bottom w:val="single" w:sz="8" w:color="CEFFE7"/>
            </w:tcBorders>
            <w:gridSpan w:val="3"/>
          </w:tcPr>
          <w:p>
            <w:pPr>
              <w:ind w:left="120"/>
              <w:spacing w:after="0"/>
              <w:rPr>
                <w:sz w:val="20"/>
                <w:szCs w:val="20"/>
                <w:color w:val="auto"/>
              </w:rPr>
            </w:pPr>
            <w:r>
              <w:rPr>
                <w:rFonts w:ascii="Arial" w:cs="Arial" w:eastAsia="Arial" w:hAnsi="Arial"/>
                <w:sz w:val="16"/>
                <w:szCs w:val="16"/>
                <w:color w:val="auto"/>
              </w:rPr>
              <w:t>Services transferred over time</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335,489</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515,663</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51,185</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(61,429)</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840,908</w:t>
            </w:r>
          </w:p>
        </w:tc>
      </w:tr>
      <w:tr>
        <w:trPr>
          <w:trHeight w:val="238"/>
        </w:trPr>
        <w:tc>
          <w:tcPr>
            <w:tcW w:w="20" w:type="dxa"/>
            <w:vAlign w:val="bottom"/>
            <w:tcBorders>
              <w:bottom w:val="single" w:sz="8" w:color="CEFFE7"/>
            </w:tcBorders>
            <w:shd w:val="clear" w:color="auto" w:fill="CEFFE7"/>
          </w:tcPr>
          <w:p>
            <w:pPr>
              <w:spacing w:after="0"/>
              <w:rPr>
                <w:sz w:val="20"/>
                <w:szCs w:val="20"/>
                <w:color w:val="auto"/>
              </w:rPr>
            </w:pPr>
          </w:p>
        </w:tc>
        <w:tc>
          <w:tcPr>
            <w:tcW w:w="4920" w:type="dxa"/>
            <w:vAlign w:val="bottom"/>
            <w:tcBorders>
              <w:bottom w:val="single" w:sz="8" w:color="CEFFE7"/>
            </w:tcBorders>
            <w:gridSpan w:val="3"/>
            <w:shd w:val="clear" w:color="auto" w:fill="CEFFE7"/>
          </w:tcPr>
          <w:p>
            <w:pPr>
              <w:ind w:left="120"/>
              <w:spacing w:after="0"/>
              <w:rPr>
                <w:sz w:val="20"/>
                <w:szCs w:val="20"/>
                <w:color w:val="auto"/>
              </w:rPr>
            </w:pPr>
            <w:r>
              <w:rPr>
                <w:rFonts w:ascii="Arial" w:cs="Arial" w:eastAsia="Arial" w:hAnsi="Arial"/>
                <w:sz w:val="16"/>
                <w:szCs w:val="16"/>
                <w:color w:val="auto"/>
              </w:rPr>
              <w:t>Revenue from contracts with customers</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335,489</w:t>
            </w:r>
          </w:p>
        </w:tc>
        <w:tc>
          <w:tcPr>
            <w:tcW w:w="28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515,663</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51,185</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29,249</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(77,184)</w:t>
            </w:r>
          </w:p>
        </w:tc>
        <w:tc>
          <w:tcPr>
            <w:tcW w:w="2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854,402</w:t>
            </w:r>
          </w:p>
        </w:tc>
      </w:tr>
      <w:tr>
        <w:trPr>
          <w:trHeight w:val="20"/>
        </w:trPr>
        <w:tc>
          <w:tcPr>
            <w:tcW w:w="20" w:type="dxa"/>
            <w:vAlign w:val="bottom"/>
            <w:tcBorders>
              <w:top w:val="single" w:sz="8" w:color="CEFFE7"/>
            </w:tcBorders>
          </w:tcPr>
          <w:p>
            <w:pPr>
              <w:spacing w:after="0" w:line="20" w:lineRule="exact"/>
              <w:rPr>
                <w:sz w:val="1"/>
                <w:szCs w:val="1"/>
                <w:color w:val="auto"/>
              </w:rPr>
            </w:pPr>
          </w:p>
        </w:tc>
        <w:tc>
          <w:tcPr>
            <w:tcW w:w="1240" w:type="dxa"/>
            <w:vAlign w:val="bottom"/>
            <w:tcBorders>
              <w:top w:val="single" w:sz="8" w:color="CEFFE7"/>
            </w:tcBorders>
          </w:tcPr>
          <w:p>
            <w:pPr>
              <w:spacing w:after="0" w:line="20" w:lineRule="exact"/>
              <w:rPr>
                <w:sz w:val="1"/>
                <w:szCs w:val="1"/>
                <w:color w:val="auto"/>
              </w:rPr>
            </w:pPr>
          </w:p>
        </w:tc>
        <w:tc>
          <w:tcPr>
            <w:tcW w:w="1060" w:type="dxa"/>
            <w:vAlign w:val="bottom"/>
            <w:tcBorders>
              <w:top w:val="single" w:sz="8" w:color="CEFFE7"/>
            </w:tcBorders>
          </w:tcPr>
          <w:p>
            <w:pPr>
              <w:spacing w:after="0" w:line="20" w:lineRule="exact"/>
              <w:rPr>
                <w:sz w:val="1"/>
                <w:szCs w:val="1"/>
                <w:color w:val="auto"/>
              </w:rPr>
            </w:pPr>
          </w:p>
        </w:tc>
        <w:tc>
          <w:tcPr>
            <w:tcW w:w="262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CEFFE7"/>
              <w:bottom w:val="single" w:sz="8" w:color="auto"/>
            </w:tcBorders>
          </w:tcPr>
          <w:p>
            <w:pPr>
              <w:spacing w:after="0" w:line="20" w:lineRule="exact"/>
              <w:rPr>
                <w:sz w:val="1"/>
                <w:szCs w:val="1"/>
                <w:color w:val="auto"/>
              </w:rPr>
            </w:pPr>
          </w:p>
        </w:tc>
        <w:tc>
          <w:tcPr>
            <w:tcW w:w="82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76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00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88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 Balances</w:t>
      </w:r>
    </w:p>
    <w:p>
      <w:pPr>
        <w:spacing w:after="0" w:line="264" w:lineRule="exact"/>
        <w:rPr>
          <w:sz w:val="20"/>
          <w:szCs w:val="20"/>
          <w:color w:val="auto"/>
        </w:rPr>
      </w:pPr>
    </w:p>
    <w:p>
      <w:pPr>
        <w:ind w:right="4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The nature of our primary revenue contracts provides an unconditional right to consideration upon service delivery; therefore, no customer contract assets or liabilities exist. The unconditional right to consideration is represented by the balance in our Accounts Receivable further discussed in </w:t>
      </w:r>
      <w:hyperlink w:anchor="page31">
        <w:r>
          <w:rPr>
            <w:rFonts w:ascii="Arial" w:cs="Arial" w:eastAsia="Arial" w:hAnsi="Arial"/>
            <w:sz w:val="16"/>
            <w:szCs w:val="16"/>
            <w:u w:val="single" w:color="auto"/>
            <w:color w:val="0000FF"/>
          </w:rPr>
          <w:t>Note 13</w:t>
        </w:r>
      </w:hyperlink>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ind w:right="10020" w:firstLine="8"/>
        <w:spacing w:after="0" w:line="567" w:lineRule="auto"/>
        <w:tabs>
          <w:tab w:leader="none" w:pos="378"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Financing Short-term debt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We had the following Notes payable outstanding in the accompanying Condensed Consolidated Balance Sheets (in thousands) as of:</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June 30, 2021</w:t>
            </w: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December 31, 2020</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319"/>
              <w:spacing w:after="0" w:line="174" w:lineRule="exact"/>
              <w:rPr>
                <w:sz w:val="20"/>
                <w:szCs w:val="20"/>
                <w:color w:val="auto"/>
              </w:rPr>
            </w:pPr>
            <w:r>
              <w:rPr>
                <w:rFonts w:ascii="Arial" w:cs="Arial" w:eastAsia="Arial" w:hAnsi="Arial"/>
                <w:sz w:val="16"/>
                <w:szCs w:val="16"/>
                <w:color w:val="auto"/>
              </w:rPr>
              <w:t>Balance</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p>
        </w:tc>
        <w:tc>
          <w:tcPr>
            <w:tcW w:w="200" w:type="dxa"/>
            <w:vAlign w:val="bottom"/>
          </w:tcPr>
          <w:p>
            <w:pPr>
              <w:spacing w:after="0"/>
              <w:rPr>
                <w:sz w:val="15"/>
                <w:szCs w:val="15"/>
                <w:color w:val="auto"/>
              </w:rPr>
            </w:pPr>
          </w:p>
        </w:tc>
        <w:tc>
          <w:tcPr>
            <w:tcW w:w="1220" w:type="dxa"/>
            <w:vAlign w:val="bottom"/>
          </w:tcPr>
          <w:p>
            <w:pPr>
              <w:jc w:val="right"/>
              <w:ind w:right="319"/>
              <w:spacing w:after="0" w:line="174" w:lineRule="exact"/>
              <w:rPr>
                <w:sz w:val="20"/>
                <w:szCs w:val="20"/>
                <w:color w:val="auto"/>
              </w:rPr>
            </w:pPr>
            <w:r>
              <w:rPr>
                <w:rFonts w:ascii="Arial" w:cs="Arial" w:eastAsia="Arial" w:hAnsi="Arial"/>
                <w:sz w:val="16"/>
                <w:szCs w:val="16"/>
                <w:color w:val="auto"/>
              </w:rPr>
              <w:t>Balance</w:t>
            </w:r>
          </w:p>
        </w:tc>
        <w:tc>
          <w:tcPr>
            <w:tcW w:w="1480" w:type="dxa"/>
            <w:vAlign w:val="bottom"/>
            <w:gridSpan w:val="2"/>
            <w:vMerge w:val="restart"/>
          </w:tcPr>
          <w:p>
            <w:pPr>
              <w:jc w:val="right"/>
              <w:spacing w:after="0"/>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p>
        </w:tc>
        <w:tc>
          <w:tcPr>
            <w:tcW w:w="0" w:type="dxa"/>
            <w:vAlign w:val="bottom"/>
          </w:tcPr>
          <w:p>
            <w:pPr>
              <w:spacing w:after="0"/>
              <w:rPr>
                <w:sz w:val="1"/>
                <w:szCs w:val="1"/>
                <w:color w:val="auto"/>
              </w:rPr>
            </w:pPr>
          </w:p>
        </w:tc>
      </w:tr>
      <w:tr>
        <w:trPr>
          <w:trHeight w:val="201"/>
        </w:trPr>
        <w:tc>
          <w:tcPr>
            <w:tcW w:w="5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Outstanding</w:t>
            </w:r>
          </w:p>
        </w:tc>
        <w:tc>
          <w:tcPr>
            <w:tcW w:w="14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59"/>
              <w:spacing w:after="0"/>
              <w:rPr>
                <w:sz w:val="20"/>
                <w:szCs w:val="20"/>
                <w:color w:val="auto"/>
              </w:rPr>
            </w:pPr>
            <w:r>
              <w:rPr>
                <w:rFonts w:ascii="Arial" w:cs="Arial" w:eastAsia="Arial" w:hAnsi="Arial"/>
                <w:sz w:val="16"/>
                <w:szCs w:val="16"/>
                <w:color w:val="auto"/>
              </w:rPr>
              <w:t>Outstanding</w:t>
            </w: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Term Loan</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600,000</w:t>
            </w:r>
          </w:p>
        </w:tc>
        <w:tc>
          <w:tcPr>
            <w:tcW w:w="720" w:type="dxa"/>
            <w:vAlign w:val="bottom"/>
            <w:shd w:val="clear" w:color="auto" w:fill="CEFFE7"/>
          </w:tcPr>
          <w:p>
            <w:pPr>
              <w:jc w:val="right"/>
              <w:ind w:right="49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 $</w:t>
            </w:r>
          </w:p>
        </w:tc>
        <w:tc>
          <w:tcPr>
            <w:tcW w:w="2040" w:type="dxa"/>
            <w:vAlign w:val="bottom"/>
            <w:gridSpan w:val="2"/>
            <w:shd w:val="clear" w:color="auto" w:fill="CEFFE7"/>
          </w:tcPr>
          <w:p>
            <w:pPr>
              <w:jc w:val="right"/>
              <w:ind w:right="599"/>
              <w:spacing w:after="0"/>
              <w:rPr>
                <w:sz w:val="20"/>
                <w:szCs w:val="20"/>
                <w:color w:val="auto"/>
              </w:rPr>
            </w:pPr>
            <w:r>
              <w:rPr>
                <w:rFonts w:ascii="Arial" w:cs="Arial" w:eastAsia="Arial" w:hAnsi="Arial"/>
                <w:sz w:val="16"/>
                <w:szCs w:val="16"/>
                <w:color w:val="auto"/>
              </w:rPr>
              <w:t>— $</w:t>
            </w:r>
          </w:p>
        </w:tc>
        <w:tc>
          <w:tcPr>
            <w:tcW w:w="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46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13,049</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24,730</w:t>
            </w:r>
          </w:p>
        </w:tc>
        <w:tc>
          <w:tcPr>
            <w:tcW w:w="0" w:type="dxa"/>
            <w:vAlign w:val="bottom"/>
          </w:tcPr>
          <w:p>
            <w:pPr>
              <w:spacing w:after="0"/>
              <w:rPr>
                <w:sz w:val="1"/>
                <w:szCs w:val="1"/>
                <w:color w:val="auto"/>
              </w:rPr>
            </w:pPr>
          </w:p>
        </w:tc>
      </w:tr>
      <w:tr>
        <w:trPr>
          <w:trHeight w:val="216"/>
        </w:trPr>
        <w:tc>
          <w:tcPr>
            <w:tcW w:w="5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CP Program</w:t>
            </w:r>
          </w:p>
        </w:tc>
        <w:tc>
          <w:tcPr>
            <w:tcW w:w="200" w:type="dxa"/>
            <w:vAlign w:val="bottom"/>
            <w:tcBorders>
              <w:bottom w:val="single" w:sz="8" w:color="auto"/>
            </w:tcBorders>
            <w:shd w:val="clear" w:color="auto" w:fill="CEFFE7"/>
          </w:tcPr>
          <w:p>
            <w:pPr>
              <w:spacing w:after="0"/>
              <w:rPr>
                <w:sz w:val="18"/>
                <w:szCs w:val="18"/>
                <w:color w:val="auto"/>
              </w:rPr>
            </w:pP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229,850</w:t>
            </w:r>
          </w:p>
        </w:tc>
        <w:tc>
          <w:tcPr>
            <w:tcW w:w="720" w:type="dxa"/>
            <w:vAlign w:val="bottom"/>
            <w:tcBorders>
              <w:bottom w:val="single" w:sz="8" w:color="auto"/>
            </w:tcBorders>
            <w:shd w:val="clear" w:color="auto" w:fill="CEFFE7"/>
          </w:tcPr>
          <w:p>
            <w:pPr>
              <w:spacing w:after="0"/>
              <w:rPr>
                <w:sz w:val="18"/>
                <w:szCs w:val="18"/>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EFFE7"/>
          </w:tcPr>
          <w:p>
            <w:pPr>
              <w:spacing w:after="0"/>
              <w:rPr>
                <w:sz w:val="18"/>
                <w:szCs w:val="18"/>
                <w:color w:val="auto"/>
              </w:rPr>
            </w:pPr>
          </w:p>
        </w:tc>
        <w:tc>
          <w:tcPr>
            <w:tcW w:w="1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234,040</w:t>
            </w:r>
          </w:p>
        </w:tc>
        <w:tc>
          <w:tcPr>
            <w:tcW w:w="820" w:type="dxa"/>
            <w:vAlign w:val="bottom"/>
            <w:tcBorders>
              <w:bottom w:val="single" w:sz="8" w:color="auto"/>
            </w:tcBorders>
            <w:shd w:val="clear" w:color="auto" w:fill="CEFFE7"/>
          </w:tcPr>
          <w:p>
            <w:pPr>
              <w:spacing w:after="0"/>
              <w:rPr>
                <w:sz w:val="18"/>
                <w:szCs w:val="18"/>
                <w:color w:val="auto"/>
              </w:rPr>
            </w:pPr>
          </w:p>
        </w:tc>
        <w:tc>
          <w:tcPr>
            <w:tcW w:w="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460" w:type="dxa"/>
            <w:vAlign w:val="bottom"/>
          </w:tcPr>
          <w:p>
            <w:pPr>
              <w:ind w:left="140"/>
              <w:spacing w:after="0"/>
              <w:rPr>
                <w:sz w:val="20"/>
                <w:szCs w:val="20"/>
                <w:color w:val="auto"/>
              </w:rPr>
            </w:pPr>
            <w:r>
              <w:rPr>
                <w:rFonts w:ascii="Arial" w:cs="Arial" w:eastAsia="Arial" w:hAnsi="Arial"/>
                <w:sz w:val="16"/>
                <w:szCs w:val="16"/>
                <w:color w:val="auto"/>
              </w:rPr>
              <w:t>Total Notes payable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829,850</w:t>
            </w:r>
          </w:p>
        </w:tc>
        <w:tc>
          <w:tcPr>
            <w:tcW w:w="7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13,049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234,040</w:t>
            </w:r>
          </w:p>
        </w:tc>
        <w:tc>
          <w:tcPr>
            <w:tcW w:w="8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24,730</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(a) Letters of credit are off-balance sheet commitments that reduce the borrowing capacity available on our corporate Revolving Credit Facility.</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Term Loan</w:t>
      </w:r>
    </w:p>
    <w:p>
      <w:pPr>
        <w:spacing w:after="0" w:line="24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On February 24, 2021, we entered into a nine-month, $800 million unsecured term loan to provide additional liquidity and meet our cash needs related to the incremental fuel, purchased power and natural gas costs from Winter Storm Uri. The term loan, which matures on November 24, 2021, has an interest rate based on LIBOR plus 75 basis points, carries no prepayment penalty and is subject to the same covenant requirements as our Revolving Credit Facility. We repaid $200 million of this term loan in the first quarter of 2021. The interest rate on term loan borrowings on June 30, 2021 was 0.85%.</w:t>
      </w:r>
    </w:p>
    <w:p>
      <w:pPr>
        <w:spacing w:after="0" w:line="229"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We expect to refinance a portion of the term loan with longer-term debt prior to maturity. In the event we are unable to refinance the remaining obligation, we believe it is probable that our current plans to manage liquidity would be sufficient to meet our obligations.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 and CP Program</w:t>
      </w:r>
    </w:p>
    <w:p>
      <w:pPr>
        <w:spacing w:after="0" w:line="248"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On July 19, 2021, we amended and restated our corporate Revolving Credit Facility, maintaining total commitments of $750 million and extending the term through July 19, 2026 with two one year extension options (subject to consent from lenders). This facility is similar to the former revolving credit facility, which includes an accordion feature that allows us, with the consent of the administrative agent, the issuing agents and each bank increasing or providing a new commitment, to increase total commitments up to $1.0 billion. Borrowings continue to be available under a base rate or various Eurodollar rate options. Based on our current credit ratings, the margins for base rate borrowings, Eurodollar borrowings and letters of credit will be 0.125%, 1.125% and 1.125%, respectively, and a 0.175% commitment fee will be charged on unused amounts.</w:t>
      </w:r>
    </w:p>
    <w:p>
      <w:pPr>
        <w:spacing w:after="0" w:line="23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Our net short-term borrowings related to our Revolving Credit Facility and CP Program during the six months ended June 30, 2021 decreased by $4.2 million. The weighted average interest rate on short-term borrowings related to our Revolving Credit Facility and CP Program at June 30, 2021 was 0.19%.</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Covenants</w:t>
      </w:r>
    </w:p>
    <w:p>
      <w:pPr>
        <w:spacing w:after="0" w:line="268"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Under our Revolving Credit Facility and term loan agreements, we are required to maintain a Consolidated Indebtedness to Capitalization Ratio not to exceed 0.65 to 1.00. Our Consolidated Indebtedness to Capitalization Ratio was calculated by dividing (i) consolidated indebtedness, which includes letters of credit and certain guarantees issued, by (ii) capital, which includes consolidated indebtedness plus consolidated net worth, which excludes noncontrolling interest in subsidiaries. Subject to applicable cure periods, a violation of any of these covenants would constitute an event of default that entitles the lenders to terminate their remaining commitments and accelerate all principal and interest outstanding.</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Our Revolving Credit Facility and term loans require compliance with the following financial covenant, which we were in compliance with at June 30,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560" w:type="dxa"/>
            <w:vAlign w:val="bottom"/>
            <w:tcBorders>
              <w:bottom w:val="single" w:sz="8" w:color="CEFFE7"/>
            </w:tcBorders>
          </w:tcPr>
          <w:p>
            <w:pPr>
              <w:spacing w:after="0"/>
              <w:rPr>
                <w:sz w:val="17"/>
                <w:szCs w:val="17"/>
                <w:color w:val="auto"/>
              </w:rPr>
            </w:pPr>
          </w:p>
        </w:tc>
        <w:tc>
          <w:tcPr>
            <w:tcW w:w="1600" w:type="dxa"/>
            <w:vAlign w:val="bottom"/>
            <w:tcBorders>
              <w:bottom w:val="single" w:sz="8" w:color="CEFFE7"/>
            </w:tcBorders>
          </w:tcPr>
          <w:p>
            <w:pPr>
              <w:spacing w:after="0"/>
              <w:rPr>
                <w:sz w:val="17"/>
                <w:szCs w:val="17"/>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As of June 30, 2021</w:t>
            </w:r>
          </w:p>
        </w:tc>
        <w:tc>
          <w:tcPr>
            <w:tcW w:w="252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color w:val="auto"/>
              </w:rPr>
              <w:t>Covenant Requirement</w:t>
            </w: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Consolidated Indebtedness to Capitalization Ratio</w:t>
            </w:r>
          </w:p>
        </w:tc>
        <w:tc>
          <w:tcPr>
            <w:tcW w:w="4120" w:type="dxa"/>
            <w:vAlign w:val="bottom"/>
            <w:gridSpan w:val="2"/>
            <w:shd w:val="clear" w:color="auto" w:fill="CEFFE7"/>
          </w:tcPr>
          <w:p>
            <w:pPr>
              <w:jc w:val="right"/>
              <w:ind w:right="939"/>
              <w:spacing w:after="0"/>
              <w:rPr>
                <w:sz w:val="20"/>
                <w:szCs w:val="20"/>
                <w:color w:val="auto"/>
              </w:rPr>
            </w:pPr>
            <w:r>
              <w:rPr>
                <w:rFonts w:ascii="Arial" w:cs="Arial" w:eastAsia="Arial" w:hAnsi="Arial"/>
                <w:sz w:val="16"/>
                <w:szCs w:val="16"/>
                <w:color w:val="auto"/>
              </w:rPr>
              <w:t>62.3%</w:t>
            </w:r>
          </w:p>
        </w:tc>
        <w:tc>
          <w:tcPr>
            <w:tcW w:w="1500" w:type="dxa"/>
            <w:vAlign w:val="bottom"/>
            <w:shd w:val="clear" w:color="auto" w:fill="CEFFE7"/>
          </w:tcPr>
          <w:p>
            <w:pPr>
              <w:ind w:left="560"/>
              <w:spacing w:after="0"/>
              <w:rPr>
                <w:sz w:val="20"/>
                <w:szCs w:val="20"/>
                <w:color w:val="auto"/>
              </w:rPr>
            </w:pPr>
            <w:r>
              <w:rPr>
                <w:rFonts w:ascii="Arial" w:cs="Arial" w:eastAsia="Arial" w:hAnsi="Arial"/>
                <w:sz w:val="16"/>
                <w:szCs w:val="16"/>
                <w:color w:val="auto"/>
              </w:rPr>
              <w:t>Less than</w:t>
            </w:r>
          </w:p>
        </w:tc>
        <w:tc>
          <w:tcPr>
            <w:tcW w:w="1020" w:type="dxa"/>
            <w:vAlign w:val="bottom"/>
            <w:shd w:val="clear" w:color="auto" w:fill="CEFFE7"/>
          </w:tcPr>
          <w:p>
            <w:pPr>
              <w:jc w:val="right"/>
              <w:ind w:right="379"/>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18"/>
                <w:szCs w:val="18"/>
                <w:color w:val="auto"/>
              </w:rPr>
            </w:pPr>
          </w:p>
        </w:tc>
      </w:tr>
      <w:tr>
        <w:trPr>
          <w:trHeight w:val="87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600" w:type="dxa"/>
            <w:vAlign w:val="bottom"/>
          </w:tcPr>
          <w:p>
            <w:pPr>
              <w:jc w:val="right"/>
              <w:ind w:right="379"/>
              <w:spacing w:after="0"/>
              <w:rPr>
                <w:sz w:val="20"/>
                <w:szCs w:val="20"/>
                <w:color w:val="auto"/>
              </w:rPr>
            </w:pPr>
            <w:r>
              <w:rPr>
                <w:rFonts w:ascii="Arial" w:cs="Arial" w:eastAsia="Arial" w:hAnsi="Arial"/>
                <w:sz w:val="16"/>
                <w:szCs w:val="16"/>
                <w:color w:val="auto"/>
              </w:rPr>
              <w:t>20</w:t>
            </w:r>
          </w:p>
        </w:tc>
        <w:tc>
          <w:tcPr>
            <w:tcW w:w="2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0"/>
        </w:trPr>
        <w:tc>
          <w:tcPr>
            <w:tcW w:w="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At-the-Market Equity Offering Program</w:t>
      </w:r>
    </w:p>
    <w:p>
      <w:pPr>
        <w:spacing w:after="0" w:line="248"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During the three and six months ended June 30, 2021, we issued a total of 0.6 million shares of common stock under the ATM for proceeds of $40 million, net of $0.4 million in issuance costs.</w:t>
      </w:r>
    </w:p>
    <w:p>
      <w:pPr>
        <w:spacing w:after="0" w:line="200" w:lineRule="exact"/>
        <w:rPr>
          <w:sz w:val="20"/>
          <w:szCs w:val="20"/>
          <w:color w:val="auto"/>
        </w:rPr>
      </w:pPr>
    </w:p>
    <w:p>
      <w:pPr>
        <w:spacing w:after="0" w:line="232"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Share</w:t>
      </w:r>
    </w:p>
    <w:p>
      <w:pPr>
        <w:spacing w:after="0" w:line="25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A reconciliation of share amounts used to compute earnings per share in the accompanying Condensed Consolidated Statements of Income was as follows (in thousands, except per share amounts):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40" w:type="dxa"/>
            <w:vAlign w:val="bottom"/>
          </w:tcPr>
          <w:p>
            <w:pPr>
              <w:spacing w:after="0"/>
              <w:rPr>
                <w:sz w:val="16"/>
                <w:szCs w:val="16"/>
                <w:color w:val="auto"/>
              </w:rPr>
            </w:pPr>
          </w:p>
        </w:tc>
        <w:tc>
          <w:tcPr>
            <w:tcW w:w="3220" w:type="dxa"/>
            <w:vAlign w:val="bottom"/>
            <w:gridSpan w:val="5"/>
          </w:tcPr>
          <w:p>
            <w:pPr>
              <w:ind w:left="460"/>
              <w:spacing w:after="0"/>
              <w:rPr>
                <w:sz w:val="20"/>
                <w:szCs w:val="20"/>
                <w:color w:val="auto"/>
              </w:rPr>
            </w:pPr>
            <w:r>
              <w:rPr>
                <w:rFonts w:ascii="Arial" w:cs="Arial" w:eastAsia="Arial" w:hAnsi="Arial"/>
                <w:sz w:val="16"/>
                <w:szCs w:val="16"/>
                <w:color w:val="auto"/>
              </w:rPr>
              <w:t>Three Months Ended June 30,</w:t>
            </w:r>
          </w:p>
        </w:tc>
        <w:tc>
          <w:tcPr>
            <w:tcW w:w="340" w:type="dxa"/>
            <w:vAlign w:val="bottom"/>
          </w:tcPr>
          <w:p>
            <w:pPr>
              <w:spacing w:after="0"/>
              <w:rPr>
                <w:sz w:val="16"/>
                <w:szCs w:val="16"/>
                <w:color w:val="auto"/>
              </w:rPr>
            </w:pPr>
          </w:p>
        </w:tc>
        <w:tc>
          <w:tcPr>
            <w:tcW w:w="2740" w:type="dxa"/>
            <w:vAlign w:val="bottom"/>
            <w:gridSpan w:val="3"/>
          </w:tcPr>
          <w:p>
            <w:pPr>
              <w:jc w:val="right"/>
              <w:ind w:right="459"/>
              <w:spacing w:after="0"/>
              <w:rPr>
                <w:sz w:val="20"/>
                <w:szCs w:val="20"/>
                <w:color w:val="auto"/>
              </w:rPr>
            </w:pPr>
            <w:r>
              <w:rPr>
                <w:rFonts w:ascii="Arial" w:cs="Arial" w:eastAsia="Arial" w:hAnsi="Arial"/>
                <w:sz w:val="16"/>
                <w:szCs w:val="16"/>
                <w:color w:val="auto"/>
              </w:rPr>
              <w:t>Six Months Ended June 30,</w:t>
            </w:r>
          </w:p>
        </w:tc>
      </w:tr>
      <w:tr>
        <w:trPr>
          <w:trHeight w:val="219"/>
        </w:trPr>
        <w:tc>
          <w:tcPr>
            <w:tcW w:w="49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5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2020</w:t>
            </w: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2020</w:t>
            </w:r>
          </w:p>
        </w:tc>
      </w:tr>
      <w:tr>
        <w:trPr>
          <w:trHeight w:val="253"/>
        </w:trPr>
        <w:tc>
          <w:tcPr>
            <w:tcW w:w="49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41"/>
        </w:trPr>
        <w:tc>
          <w:tcPr>
            <w:tcW w:w="49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Net income available for common stock</w:t>
            </w:r>
          </w:p>
        </w:tc>
        <w:tc>
          <w:tcPr>
            <w:tcW w:w="960" w:type="dxa"/>
            <w:vAlign w:val="bottom"/>
            <w:tcBorders>
              <w:bottom w:val="single" w:sz="8" w:color="auto"/>
            </w:tcBorders>
            <w:shd w:val="clear" w:color="auto" w:fill="CEFFE7"/>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25,161</w:t>
            </w:r>
          </w:p>
        </w:tc>
        <w:tc>
          <w:tcPr>
            <w:tcW w:w="38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20,966</w:t>
            </w:r>
          </w:p>
        </w:tc>
        <w:tc>
          <w:tcPr>
            <w:tcW w:w="140" w:type="dxa"/>
            <w:vAlign w:val="bottom"/>
            <w:tcBorders>
              <w:bottom w:val="single" w:sz="8" w:color="CEFFE7"/>
            </w:tcBorders>
            <w:shd w:val="clear" w:color="auto" w:fill="CEFFE7"/>
          </w:tcPr>
          <w:p>
            <w:pPr>
              <w:spacing w:after="0"/>
              <w:rPr>
                <w:sz w:val="20"/>
                <w:szCs w:val="20"/>
                <w:color w:val="auto"/>
              </w:rPr>
            </w:pP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121,477</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114,140</w:t>
            </w:r>
          </w:p>
        </w:tc>
      </w:tr>
      <w:tr>
        <w:trPr>
          <w:trHeight w:val="20"/>
        </w:trPr>
        <w:tc>
          <w:tcPr>
            <w:tcW w:w="4940" w:type="dxa"/>
            <w:vAlign w:val="bottom"/>
            <w:tcBorders>
              <w:top w:val="single" w:sz="8" w:color="CEFFE7"/>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560" w:type="dxa"/>
            <w:vAlign w:val="bottom"/>
            <w:tcBorders>
              <w:top w:val="single" w:sz="8" w:color="CEFFE7"/>
              <w:bottom w:val="single" w:sz="8" w:color="auto"/>
            </w:tcBorders>
          </w:tcPr>
          <w:p>
            <w:pPr>
              <w:spacing w:after="0" w:line="20" w:lineRule="exact"/>
              <w:rPr>
                <w:sz w:val="1"/>
                <w:szCs w:val="1"/>
                <w:color w:val="auto"/>
              </w:rPr>
            </w:pPr>
          </w:p>
        </w:tc>
        <w:tc>
          <w:tcPr>
            <w:tcW w:w="380" w:type="dxa"/>
            <w:vAlign w:val="bottom"/>
            <w:tcBorders>
              <w:top w:val="single" w:sz="8" w:color="CEFFE7"/>
              <w:bottom w:val="single" w:sz="8" w:color="auto"/>
            </w:tcBorders>
          </w:tcPr>
          <w:p>
            <w:pPr>
              <w:spacing w:after="0" w:line="20" w:lineRule="exact"/>
              <w:rPr>
                <w:sz w:val="1"/>
                <w:szCs w:val="1"/>
                <w:color w:val="auto"/>
              </w:rPr>
            </w:pPr>
          </w:p>
        </w:tc>
        <w:tc>
          <w:tcPr>
            <w:tcW w:w="118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18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1200" w:type="dxa"/>
            <w:vAlign w:val="bottom"/>
            <w:tcBorders>
              <w:top w:val="single" w:sz="8" w:color="CEFFE7"/>
              <w:bottom w:val="single" w:sz="8" w:color="auto"/>
            </w:tcBorders>
          </w:tcPr>
          <w:p>
            <w:pPr>
              <w:spacing w:after="0" w:line="20" w:lineRule="exact"/>
              <w:rPr>
                <w:sz w:val="1"/>
                <w:szCs w:val="1"/>
                <w:color w:val="auto"/>
              </w:rPr>
            </w:pPr>
          </w:p>
        </w:tc>
      </w:tr>
      <w:tr>
        <w:trPr>
          <w:trHeight w:val="217"/>
        </w:trPr>
        <w:tc>
          <w:tcPr>
            <w:tcW w:w="4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940" w:type="dxa"/>
            <w:vAlign w:val="bottom"/>
            <w:shd w:val="clear" w:color="auto" w:fill="CEFFE7"/>
          </w:tcPr>
          <w:p>
            <w:pPr>
              <w:ind w:left="20"/>
              <w:spacing w:after="0"/>
              <w:rPr>
                <w:sz w:val="20"/>
                <w:szCs w:val="20"/>
                <w:color w:val="auto"/>
              </w:rPr>
            </w:pPr>
            <w:r>
              <w:rPr>
                <w:rFonts w:ascii="Arial" w:cs="Arial" w:eastAsia="Arial" w:hAnsi="Arial"/>
                <w:sz w:val="16"/>
                <w:szCs w:val="16"/>
                <w:color w:val="auto"/>
              </w:rPr>
              <w:t>Weighted average shares - basic</w:t>
            </w:r>
          </w:p>
        </w:tc>
        <w:tc>
          <w:tcPr>
            <w:tcW w:w="960" w:type="dxa"/>
            <w:vAlign w:val="bottom"/>
            <w:shd w:val="clear" w:color="auto" w:fill="CEFFE7"/>
          </w:tcPr>
          <w:p>
            <w:pPr>
              <w:spacing w:after="0"/>
              <w:rPr>
                <w:sz w:val="18"/>
                <w:szCs w:val="18"/>
                <w:color w:val="auto"/>
              </w:rPr>
            </w:pPr>
          </w:p>
        </w:tc>
        <w:tc>
          <w:tcPr>
            <w:tcW w:w="5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62,867</w:t>
            </w:r>
          </w:p>
        </w:tc>
        <w:tc>
          <w:tcPr>
            <w:tcW w:w="380" w:type="dxa"/>
            <w:vAlign w:val="bottom"/>
            <w:shd w:val="clear" w:color="auto" w:fill="CEFFE7"/>
          </w:tcPr>
          <w:p>
            <w:pPr>
              <w:spacing w:after="0"/>
              <w:rPr>
                <w:sz w:val="18"/>
                <w:szCs w:val="18"/>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62,573</w:t>
            </w:r>
          </w:p>
        </w:tc>
        <w:tc>
          <w:tcPr>
            <w:tcW w:w="14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62,751</w:t>
            </w:r>
          </w:p>
        </w:tc>
        <w:tc>
          <w:tcPr>
            <w:tcW w:w="360" w:type="dxa"/>
            <w:vAlign w:val="bottom"/>
            <w:shd w:val="clear" w:color="auto" w:fill="CEFFE7"/>
          </w:tcPr>
          <w:p>
            <w:pPr>
              <w:spacing w:after="0"/>
              <w:rPr>
                <w:sz w:val="18"/>
                <w:szCs w:val="18"/>
                <w:color w:val="auto"/>
              </w:rPr>
            </w:pP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62,175</w:t>
            </w: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Dilutive effect of:</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940" w:type="dxa"/>
            <w:vAlign w:val="bottom"/>
            <w:shd w:val="clear" w:color="auto" w:fill="CEFFE7"/>
          </w:tcPr>
          <w:p>
            <w:pPr>
              <w:ind w:left="220"/>
              <w:spacing w:after="0"/>
              <w:rPr>
                <w:sz w:val="20"/>
                <w:szCs w:val="20"/>
                <w:color w:val="auto"/>
              </w:rPr>
            </w:pPr>
            <w:r>
              <w:rPr>
                <w:rFonts w:ascii="Arial" w:cs="Arial" w:eastAsia="Arial" w:hAnsi="Arial"/>
                <w:sz w:val="16"/>
                <w:szCs w:val="16"/>
                <w:color w:val="auto"/>
              </w:rPr>
              <w:t>Equity compensation</w:t>
            </w:r>
          </w:p>
        </w:tc>
        <w:tc>
          <w:tcPr>
            <w:tcW w:w="960" w:type="dxa"/>
            <w:vAlign w:val="bottom"/>
            <w:tcBorders>
              <w:bottom w:val="single" w:sz="8" w:color="auto"/>
            </w:tcBorders>
            <w:shd w:val="clear" w:color="auto" w:fill="CEFFE7"/>
          </w:tcPr>
          <w:p>
            <w:pPr>
              <w:spacing w:after="0"/>
              <w:rPr>
                <w:sz w:val="18"/>
                <w:szCs w:val="18"/>
                <w:color w:val="auto"/>
              </w:rPr>
            </w:pPr>
          </w:p>
        </w:tc>
        <w:tc>
          <w:tcPr>
            <w:tcW w:w="5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51</w:t>
            </w:r>
          </w:p>
        </w:tc>
        <w:tc>
          <w:tcPr>
            <w:tcW w:w="38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44</w:t>
            </w:r>
          </w:p>
        </w:tc>
        <w:tc>
          <w:tcPr>
            <w:tcW w:w="140" w:type="dxa"/>
            <w:vAlign w:val="bottom"/>
            <w:shd w:val="clear" w:color="auto" w:fill="CEFFE7"/>
          </w:tcPr>
          <w:p>
            <w:pPr>
              <w:spacing w:after="0"/>
              <w:rPr>
                <w:sz w:val="18"/>
                <w:szCs w:val="18"/>
                <w:color w:val="auto"/>
              </w:rPr>
            </w:pPr>
          </w:p>
        </w:tc>
        <w:tc>
          <w:tcPr>
            <w:tcW w:w="34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66</w:t>
            </w:r>
          </w:p>
        </w:tc>
        <w:tc>
          <w:tcPr>
            <w:tcW w:w="360" w:type="dxa"/>
            <w:vAlign w:val="bottom"/>
            <w:tcBorders>
              <w:bottom w:val="single" w:sz="8" w:color="auto"/>
            </w:tcBorders>
            <w:shd w:val="clear" w:color="auto" w:fill="CEFFE7"/>
          </w:tcPr>
          <w:p>
            <w:pPr>
              <w:spacing w:after="0"/>
              <w:rPr>
                <w:sz w:val="18"/>
                <w:szCs w:val="18"/>
                <w:color w:val="auto"/>
              </w:rPr>
            </w:pP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Weighted average shares - diluted</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62,918</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62,617</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62,817</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62,230</w:t>
            </w:r>
          </w:p>
        </w:tc>
      </w:tr>
      <w:tr>
        <w:trPr>
          <w:trHeight w:val="20"/>
        </w:trPr>
        <w:tc>
          <w:tcPr>
            <w:tcW w:w="4940" w:type="dxa"/>
            <w:vAlign w:val="bottom"/>
            <w:tcBorders>
              <w:bottom w:val="single" w:sz="8" w:color="CEFFE7"/>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EFFE7"/>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940" w:type="dxa"/>
            <w:vAlign w:val="bottom"/>
            <w:shd w:val="clear" w:color="auto" w:fill="CEFFE7"/>
          </w:tcPr>
          <w:p>
            <w:pPr>
              <w:spacing w:after="0"/>
              <w:rPr>
                <w:sz w:val="20"/>
                <w:szCs w:val="20"/>
                <w:color w:val="auto"/>
              </w:rPr>
            </w:pPr>
          </w:p>
        </w:tc>
        <w:tc>
          <w:tcPr>
            <w:tcW w:w="960" w:type="dxa"/>
            <w:vAlign w:val="bottom"/>
            <w:shd w:val="clear" w:color="auto" w:fill="CEFFE7"/>
          </w:tcPr>
          <w:p>
            <w:pPr>
              <w:spacing w:after="0"/>
              <w:rPr>
                <w:sz w:val="20"/>
                <w:szCs w:val="20"/>
                <w:color w:val="auto"/>
              </w:rPr>
            </w:pPr>
          </w:p>
        </w:tc>
        <w:tc>
          <w:tcPr>
            <w:tcW w:w="560" w:type="dxa"/>
            <w:vAlign w:val="bottom"/>
            <w:shd w:val="clear" w:color="auto" w:fill="CEFFE7"/>
          </w:tcPr>
          <w:p>
            <w:pPr>
              <w:spacing w:after="0"/>
              <w:rPr>
                <w:sz w:val="20"/>
                <w:szCs w:val="20"/>
                <w:color w:val="auto"/>
              </w:rPr>
            </w:pPr>
          </w:p>
        </w:tc>
        <w:tc>
          <w:tcPr>
            <w:tcW w:w="380" w:type="dxa"/>
            <w:vAlign w:val="bottom"/>
            <w:shd w:val="clear" w:color="auto" w:fill="CEFFE7"/>
          </w:tcPr>
          <w:p>
            <w:pPr>
              <w:spacing w:after="0"/>
              <w:rPr>
                <w:sz w:val="20"/>
                <w:szCs w:val="20"/>
                <w:color w:val="auto"/>
              </w:rPr>
            </w:pPr>
          </w:p>
        </w:tc>
        <w:tc>
          <w:tcPr>
            <w:tcW w:w="1180" w:type="dxa"/>
            <w:vAlign w:val="bottom"/>
            <w:shd w:val="clear" w:color="auto" w:fill="CEFFE7"/>
          </w:tcPr>
          <w:p>
            <w:pPr>
              <w:spacing w:after="0"/>
              <w:rPr>
                <w:sz w:val="20"/>
                <w:szCs w:val="20"/>
                <w:color w:val="auto"/>
              </w:rPr>
            </w:pPr>
          </w:p>
        </w:tc>
        <w:tc>
          <w:tcPr>
            <w:tcW w:w="140" w:type="dxa"/>
            <w:vAlign w:val="bottom"/>
            <w:shd w:val="clear" w:color="auto" w:fill="CEFFE7"/>
          </w:tcPr>
          <w:p>
            <w:pPr>
              <w:spacing w:after="0"/>
              <w:rPr>
                <w:sz w:val="20"/>
                <w:szCs w:val="20"/>
                <w:color w:val="auto"/>
              </w:rPr>
            </w:pPr>
          </w:p>
        </w:tc>
        <w:tc>
          <w:tcPr>
            <w:tcW w:w="340" w:type="dxa"/>
            <w:vAlign w:val="bottom"/>
            <w:shd w:val="clear" w:color="auto" w:fill="CEFFE7"/>
          </w:tcPr>
          <w:p>
            <w:pPr>
              <w:spacing w:after="0"/>
              <w:rPr>
                <w:sz w:val="20"/>
                <w:szCs w:val="20"/>
                <w:color w:val="auto"/>
              </w:rPr>
            </w:pPr>
          </w:p>
        </w:tc>
        <w:tc>
          <w:tcPr>
            <w:tcW w:w="1180" w:type="dxa"/>
            <w:vAlign w:val="bottom"/>
            <w:shd w:val="clear" w:color="auto" w:fill="CEFFE7"/>
          </w:tcPr>
          <w:p>
            <w:pPr>
              <w:spacing w:after="0"/>
              <w:rPr>
                <w:sz w:val="20"/>
                <w:szCs w:val="20"/>
                <w:color w:val="auto"/>
              </w:rPr>
            </w:pPr>
          </w:p>
        </w:tc>
        <w:tc>
          <w:tcPr>
            <w:tcW w:w="360" w:type="dxa"/>
            <w:vAlign w:val="bottom"/>
            <w:shd w:val="clear" w:color="auto" w:fill="CEFFE7"/>
          </w:tcPr>
          <w:p>
            <w:pPr>
              <w:spacing w:after="0"/>
              <w:rPr>
                <w:sz w:val="20"/>
                <w:szCs w:val="20"/>
                <w:color w:val="auto"/>
              </w:rPr>
            </w:pPr>
          </w:p>
        </w:tc>
        <w:tc>
          <w:tcPr>
            <w:tcW w:w="1200" w:type="dxa"/>
            <w:vAlign w:val="bottom"/>
            <w:shd w:val="clear" w:color="auto" w:fill="CEFFE7"/>
          </w:tcPr>
          <w:p>
            <w:pPr>
              <w:spacing w:after="0"/>
              <w:rPr>
                <w:sz w:val="20"/>
                <w:szCs w:val="20"/>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Earnings per share of common stock:</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4940" w:type="dxa"/>
            <w:vAlign w:val="bottom"/>
            <w:shd w:val="clear" w:color="auto" w:fill="CEFFE7"/>
          </w:tcPr>
          <w:p>
            <w:pPr>
              <w:ind w:left="140"/>
              <w:spacing w:after="0"/>
              <w:rPr>
                <w:sz w:val="20"/>
                <w:szCs w:val="20"/>
                <w:color w:val="auto"/>
              </w:rPr>
            </w:pPr>
            <w:r>
              <w:rPr>
                <w:rFonts w:ascii="Arial" w:cs="Arial" w:eastAsia="Arial" w:hAnsi="Arial"/>
                <w:sz w:val="16"/>
                <w:szCs w:val="16"/>
                <w:color w:val="auto"/>
              </w:rPr>
              <w:t>Earnings per share, Basic</w:t>
            </w:r>
          </w:p>
        </w:tc>
        <w:tc>
          <w:tcPr>
            <w:tcW w:w="960" w:type="dxa"/>
            <w:vAlign w:val="bottom"/>
            <w:shd w:val="clear" w:color="auto" w:fill="CEFFE7"/>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0.40</w:t>
            </w:r>
          </w:p>
        </w:tc>
        <w:tc>
          <w:tcPr>
            <w:tcW w:w="38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0.34</w:t>
            </w:r>
          </w:p>
        </w:tc>
        <w:tc>
          <w:tcPr>
            <w:tcW w:w="140" w:type="dxa"/>
            <w:vAlign w:val="bottom"/>
            <w:shd w:val="clear" w:color="auto" w:fill="CEFFE7"/>
          </w:tcPr>
          <w:p>
            <w:pPr>
              <w:spacing w:after="0"/>
              <w:rPr>
                <w:sz w:val="19"/>
                <w:szCs w:val="19"/>
                <w:color w:val="auto"/>
              </w:rPr>
            </w:pPr>
          </w:p>
        </w:tc>
        <w:tc>
          <w:tcPr>
            <w:tcW w:w="3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1.94</w:t>
            </w:r>
          </w:p>
        </w:tc>
        <w:tc>
          <w:tcPr>
            <w:tcW w:w="36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1.84</w:t>
            </w:r>
          </w:p>
        </w:tc>
      </w:tr>
      <w:tr>
        <w:trPr>
          <w:trHeight w:val="210"/>
        </w:trPr>
        <w:tc>
          <w:tcPr>
            <w:tcW w:w="4940" w:type="dxa"/>
            <w:vAlign w:val="bottom"/>
          </w:tcPr>
          <w:p>
            <w:pPr>
              <w:ind w:left="140"/>
              <w:spacing w:after="0"/>
              <w:rPr>
                <w:sz w:val="20"/>
                <w:szCs w:val="20"/>
                <w:color w:val="auto"/>
              </w:rPr>
            </w:pPr>
            <w:r>
              <w:rPr>
                <w:rFonts w:ascii="Arial" w:cs="Arial" w:eastAsia="Arial" w:hAnsi="Arial"/>
                <w:sz w:val="16"/>
                <w:szCs w:val="16"/>
                <w:color w:val="auto"/>
              </w:rPr>
              <w:t>Earnings per share, Diluted</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0.40</w:t>
            </w:r>
          </w:p>
        </w:tc>
        <w:tc>
          <w:tcPr>
            <w:tcW w:w="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0.33</w:t>
            </w:r>
          </w:p>
        </w:tc>
        <w:tc>
          <w:tcPr>
            <w:tcW w:w="14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1.93</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1.83</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securities were excluded from the diluted earnings per share computation because of their anti-dilutive nature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tcPr>
          <w:p>
            <w:pPr>
              <w:spacing w:after="0"/>
              <w:rPr>
                <w:sz w:val="16"/>
                <w:szCs w:val="16"/>
                <w:color w:val="auto"/>
              </w:rPr>
            </w:pPr>
          </w:p>
        </w:tc>
        <w:tc>
          <w:tcPr>
            <w:tcW w:w="2920" w:type="dxa"/>
            <w:vAlign w:val="bottom"/>
            <w:gridSpan w:val="4"/>
          </w:tcPr>
          <w:p>
            <w:pPr>
              <w:ind w:left="320"/>
              <w:spacing w:after="0"/>
              <w:rPr>
                <w:sz w:val="20"/>
                <w:szCs w:val="20"/>
                <w:color w:val="auto"/>
              </w:rPr>
            </w:pPr>
            <w:r>
              <w:rPr>
                <w:rFonts w:ascii="Arial" w:cs="Arial" w:eastAsia="Arial" w:hAnsi="Arial"/>
                <w:sz w:val="16"/>
                <w:szCs w:val="16"/>
                <w:color w:val="auto"/>
              </w:rPr>
              <w:t>Three Months Ended June 30,</w:t>
            </w:r>
          </w:p>
        </w:tc>
        <w:tc>
          <w:tcPr>
            <w:tcW w:w="2800" w:type="dxa"/>
            <w:vAlign w:val="bottom"/>
            <w:gridSpan w:val="2"/>
          </w:tcPr>
          <w:p>
            <w:pPr>
              <w:jc w:val="right"/>
              <w:ind w:right="339"/>
              <w:spacing w:after="0"/>
              <w:rPr>
                <w:sz w:val="20"/>
                <w:szCs w:val="20"/>
                <w:color w:val="auto"/>
              </w:rPr>
            </w:pPr>
            <w:r>
              <w:rPr>
                <w:rFonts w:ascii="Arial" w:cs="Arial" w:eastAsia="Arial" w:hAnsi="Arial"/>
                <w:sz w:val="16"/>
                <w:szCs w:val="16"/>
                <w:color w:val="auto"/>
              </w:rPr>
              <w:t>Six Months Ended June 30,</w:t>
            </w:r>
          </w:p>
        </w:tc>
      </w:tr>
      <w:tr>
        <w:trPr>
          <w:trHeight w:val="219"/>
        </w:trPr>
        <w:tc>
          <w:tcPr>
            <w:tcW w:w="6540" w:type="dxa"/>
            <w:vAlign w:val="bottom"/>
            <w:gridSpan w:val="2"/>
          </w:tcPr>
          <w:p>
            <w:pPr>
              <w:jc w:val="right"/>
              <w:ind w:right="59"/>
              <w:spacing w:after="0"/>
              <w:rPr>
                <w:sz w:val="20"/>
                <w:szCs w:val="20"/>
                <w:color w:val="auto"/>
              </w:rPr>
            </w:pPr>
            <w:r>
              <w:rPr>
                <w:rFonts w:ascii="Arial" w:cs="Arial" w:eastAsia="Arial" w:hAnsi="Arial"/>
                <w:sz w:val="16"/>
                <w:szCs w:val="16"/>
                <w:color w:val="auto"/>
              </w:rPr>
              <w:t>2021</w:t>
            </w:r>
          </w:p>
        </w:tc>
        <w:tc>
          <w:tcPr>
            <w:tcW w:w="600" w:type="dxa"/>
            <w:vAlign w:val="bottom"/>
          </w:tcPr>
          <w:p>
            <w:pPr>
              <w:spacing w:after="0"/>
              <w:rPr>
                <w:sz w:val="19"/>
                <w:szCs w:val="19"/>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9"/>
                <w:szCs w:val="19"/>
                <w:color w:val="auto"/>
              </w:rPr>
            </w:pPr>
          </w:p>
        </w:tc>
        <w:tc>
          <w:tcPr>
            <w:tcW w:w="1620" w:type="dxa"/>
            <w:vAlign w:val="bottom"/>
          </w:tcPr>
          <w:p>
            <w:pPr>
              <w:jc w:val="right"/>
              <w:ind w:right="659"/>
              <w:spacing w:after="0"/>
              <w:rPr>
                <w:sz w:val="20"/>
                <w:szCs w:val="20"/>
                <w:color w:val="auto"/>
              </w:rPr>
            </w:pPr>
            <w:r>
              <w:rPr>
                <w:rFonts w:ascii="Arial" w:cs="Arial" w:eastAsia="Arial" w:hAnsi="Arial"/>
                <w:sz w:val="16"/>
                <w:szCs w:val="16"/>
                <w:color w:val="auto"/>
              </w:rPr>
              <w:t>2021</w:t>
            </w:r>
          </w:p>
        </w:tc>
        <w:tc>
          <w:tcPr>
            <w:tcW w:w="1180" w:type="dxa"/>
            <w:vAlign w:val="bottom"/>
          </w:tcPr>
          <w:p>
            <w:pPr>
              <w:jc w:val="right"/>
              <w:ind w:right="439"/>
              <w:spacing w:after="0"/>
              <w:rPr>
                <w:sz w:val="20"/>
                <w:szCs w:val="20"/>
                <w:color w:val="auto"/>
              </w:rPr>
            </w:pPr>
            <w:r>
              <w:rPr>
                <w:rFonts w:ascii="Arial" w:cs="Arial" w:eastAsia="Arial" w:hAnsi="Arial"/>
                <w:sz w:val="16"/>
                <w:szCs w:val="16"/>
                <w:color w:val="auto"/>
              </w:rPr>
              <w:t>2020</w:t>
            </w:r>
          </w:p>
        </w:tc>
      </w:tr>
      <w:tr>
        <w:trPr>
          <w:trHeight w:val="253"/>
        </w:trPr>
        <w:tc>
          <w:tcPr>
            <w:tcW w:w="55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16"/>
        </w:trPr>
        <w:tc>
          <w:tcPr>
            <w:tcW w:w="654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Equity compensation</w:t>
            </w:r>
          </w:p>
        </w:tc>
        <w:tc>
          <w:tcPr>
            <w:tcW w:w="60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13</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EFFE7"/>
          </w:tcPr>
          <w:p>
            <w:pPr>
              <w:spacing w:after="0"/>
              <w:rPr>
                <w:sz w:val="18"/>
                <w:szCs w:val="18"/>
                <w:color w:val="auto"/>
              </w:rPr>
            </w:pPr>
          </w:p>
        </w:tc>
        <w:tc>
          <w:tcPr>
            <w:tcW w:w="162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12</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55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Restricted stock</w:t>
            </w: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EFFE7"/>
            </w:tcBorders>
          </w:tcPr>
          <w:p>
            <w:pPr>
              <w:spacing w:after="0"/>
              <w:rPr>
                <w:sz w:val="18"/>
                <w:szCs w:val="18"/>
                <w:color w:val="auto"/>
              </w:rPr>
            </w:pPr>
          </w:p>
        </w:tc>
        <w:tc>
          <w:tcPr>
            <w:tcW w:w="16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33"/>
        </w:trPr>
        <w:tc>
          <w:tcPr>
            <w:tcW w:w="654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Anti-dilutive shares</w:t>
            </w:r>
          </w:p>
        </w:tc>
        <w:tc>
          <w:tcPr>
            <w:tcW w:w="60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13</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EFFE7"/>
          </w:tcPr>
          <w:p>
            <w:pPr>
              <w:spacing w:after="0"/>
              <w:rPr>
                <w:sz w:val="20"/>
                <w:szCs w:val="20"/>
                <w:color w:val="auto"/>
              </w:rPr>
            </w:pPr>
          </w:p>
        </w:tc>
        <w:tc>
          <w:tcPr>
            <w:tcW w:w="162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13</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w:t>
            </w:r>
          </w:p>
        </w:tc>
      </w:tr>
      <w:tr>
        <w:trPr>
          <w:trHeight w:val="20"/>
        </w:trPr>
        <w:tc>
          <w:tcPr>
            <w:tcW w:w="5520" w:type="dxa"/>
            <w:vAlign w:val="bottom"/>
            <w:tcBorders>
              <w:top w:val="single" w:sz="8" w:color="CEFFE7"/>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right="8240" w:firstLine="8"/>
        <w:spacing w:after="0" w:line="576" w:lineRule="auto"/>
        <w:tabs>
          <w:tab w:leader="none" w:pos="378"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Risk Management and Derivatives Market and Credit Risk Disclosures</w:t>
      </w:r>
    </w:p>
    <w:p>
      <w:pPr>
        <w:spacing w:after="0" w:line="1"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Our activities in the regulated and non-regulated energy sectors expose us to a number of risks in the normal operations of our businesses. Depending on the activity, we are exposed to varying degrees of market risk and credit risk.</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Market Risk</w:t>
      </w:r>
    </w:p>
    <w:p>
      <w:pPr>
        <w:spacing w:after="0" w:line="248"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Market risk is the potential loss that may occur as a result of an adverse change in market price, rate or supply. We are exposed to the following market risks, including, but not limited to:</w:t>
      </w:r>
    </w:p>
    <w:p>
      <w:pPr>
        <w:spacing w:after="0" w:line="222" w:lineRule="exact"/>
        <w:rPr>
          <w:sz w:val="20"/>
          <w:szCs w:val="20"/>
          <w:color w:val="auto"/>
        </w:rPr>
      </w:pPr>
    </w:p>
    <w:p>
      <w:pPr>
        <w:ind w:left="500" w:right="100" w:hanging="330"/>
        <w:spacing w:after="0" w:line="253" w:lineRule="auto"/>
        <w:tabs>
          <w:tab w:leader="none" w:pos="489"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Commodity price risk associated with our retail natural gas and wholesale electric power marketing activities, as well as our fuel procurement for several of our gas-fired generation assets, which include market fluctuations due to unpredictable factors such as weather (Winter Storm Uri), market speculation, pipeline constraints, and other factors that may impact natural gas and electric energy supply and demand; and</w:t>
      </w:r>
    </w:p>
    <w:p>
      <w:pPr>
        <w:spacing w:after="0" w:line="228" w:lineRule="exact"/>
        <w:rPr>
          <w:rFonts w:ascii="Arial" w:cs="Arial" w:eastAsia="Arial" w:hAnsi="Arial"/>
          <w:sz w:val="16"/>
          <w:szCs w:val="16"/>
          <w:color w:val="auto"/>
        </w:rPr>
      </w:pPr>
    </w:p>
    <w:p>
      <w:pPr>
        <w:ind w:left="500" w:right="400" w:hanging="330"/>
        <w:spacing w:after="0" w:line="260" w:lineRule="auto"/>
        <w:tabs>
          <w:tab w:leader="none" w:pos="489"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Interest rate risk associated with future debt, including reduced access to liquidity during periods of extreme capital markets volatility, such as the 2008 financial crisis and the COVID-19 pandemic.</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Credit Risk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Credit risk is the risk of financial loss resulting from non-performance of contractual obligations by a counterparty.</w:t>
      </w:r>
    </w:p>
    <w:p>
      <w:pPr>
        <w:spacing w:after="0" w:line="248"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22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perform ongoing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 Activity</w:t>
      </w:r>
    </w:p>
    <w:p>
      <w:pPr>
        <w:spacing w:after="0" w:line="268" w:lineRule="exact"/>
        <w:rPr>
          <w:sz w:val="20"/>
          <w:szCs w:val="20"/>
          <w:color w:val="auto"/>
        </w:rPr>
      </w:pPr>
    </w:p>
    <w:p>
      <w:pPr>
        <w:ind w:right="40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Our derivative and hedging activities included in the accompanying Condensed Consolidated Balance Sheets, Condensed Consolidated Statements of Income and Condensed Consolidated Statements of Comprehensive Income are detailed below and in </w:t>
      </w:r>
      <w:hyperlink w:anchor="page25">
        <w:r>
          <w:rPr>
            <w:rFonts w:ascii="Arial" w:cs="Arial" w:eastAsia="Arial" w:hAnsi="Arial"/>
            <w:sz w:val="16"/>
            <w:szCs w:val="16"/>
            <w:u w:val="single" w:color="auto"/>
            <w:color w:val="0000FF"/>
          </w:rPr>
          <w:t>Note 8</w:t>
        </w:r>
      </w:hyperlink>
      <w:r>
        <w:rPr>
          <w:rFonts w:ascii="Arial" w:cs="Arial" w:eastAsia="Arial" w:hAnsi="Arial"/>
          <w:sz w:val="16"/>
          <w:szCs w:val="16"/>
          <w:color w:val="auto"/>
        </w:rPr>
        <w:t>.</w:t>
      </w:r>
    </w:p>
    <w:p>
      <w:pPr>
        <w:spacing w:after="0" w:line="222"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generating facilities or those facilities under PPAs where our Electric Utilities must provide the generation fuel (tolling agreements), expose our utility customers to natural gas price volatility. Therefore, as allowed or required by state regulatory commissions, we have entered into commission-approved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Condensed Consolidated Balance Sheets, net of balance sheet offsetting as permitted by GAAP.</w:t>
      </w:r>
    </w:p>
    <w:p>
      <w:pPr>
        <w:spacing w:after="0" w:line="23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Condensed Consolidated Balance Sheets in accordance with the state regulatory commission guidelines. When the related costs are recovered through our rates, the hedging activity is recognized in the Condensed Consolidated Statements of Income.</w:t>
      </w:r>
    </w:p>
    <w:p>
      <w:pPr>
        <w:spacing w:after="0" w:line="229"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We periodically use wholesale power purchase and sale contracts to manage purchased power costs and load requirements associated with serving our electric customers that are considered derivative instruments due to not qualifying for the normal purchases and normal sales exception to derivative accounting. Changes in the fair value of these commodity derivatives are recognized in the Condensed Consolidated Statements of Income.</w:t>
      </w:r>
    </w:p>
    <w:p>
      <w:pPr>
        <w:spacing w:after="0" w:line="228"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We buy, sell and deliver natural gas at competitive prices by managing commodity price risk. As a result of these activities, this area of our business is exposed to risks associated with changes in the market price of natural gas. We manage our exposure to such risk using over-the-counter and exchange traded options and swaps with counterparties in anticipation of forecasted purchases and sales during time frames ranging from July 2021 through August 2023. A portion of our over-the-counter swaps have been designated as cash flow hedges to mitigate the commodity price risk associated with deliveries under fixed price forward contracts to deliver gas to our Choice Gas Program customers. The gain or loss on these designated derivatives is reported in AOCI in the accompanying Condensed Consolidated Balance Sheets and reclassified into earnings in the same period that the underlying hedged item is recognized in earnings. Effectiveness of our hedging position is evaluated at least quarterly.</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contract or notional amounts and terms of the electric and natural gas derivative commodity instruments held at our Utilities are composed of both long and short positions. We had the following net long positions as of:</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color w:val="auto"/>
              </w:rPr>
              <w:t>June 30, 2021</w:t>
            </w:r>
          </w:p>
        </w:tc>
        <w:tc>
          <w:tcPr>
            <w:tcW w:w="100" w:type="dxa"/>
            <w:vAlign w:val="bottom"/>
          </w:tcPr>
          <w:p>
            <w:pPr>
              <w:spacing w:after="0"/>
              <w:rPr>
                <w:sz w:val="17"/>
                <w:szCs w:val="17"/>
                <w:color w:val="auto"/>
              </w:rPr>
            </w:pPr>
          </w:p>
        </w:tc>
        <w:tc>
          <w:tcPr>
            <w:tcW w:w="252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color w:val="auto"/>
              </w:rPr>
              <w:t>December 31, 2020</w:t>
            </w:r>
          </w:p>
        </w:tc>
      </w:tr>
      <w:tr>
        <w:trPr>
          <w:trHeight w:val="174"/>
        </w:trPr>
        <w:tc>
          <w:tcPr>
            <w:tcW w:w="4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100"/>
              <w:spacing w:after="0" w:line="174" w:lineRule="exact"/>
              <w:rPr>
                <w:sz w:val="20"/>
                <w:szCs w:val="20"/>
                <w:color w:val="auto"/>
              </w:rPr>
            </w:pPr>
            <w:r>
              <w:rPr>
                <w:rFonts w:ascii="Arial" w:cs="Arial" w:eastAsia="Arial" w:hAnsi="Arial"/>
                <w:sz w:val="16"/>
                <w:szCs w:val="16"/>
                <w:color w:val="auto"/>
              </w:rPr>
              <w:t>Maximum</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spacing w:after="0" w:line="174" w:lineRule="exact"/>
              <w:rPr>
                <w:sz w:val="20"/>
                <w:szCs w:val="20"/>
                <w:color w:val="auto"/>
              </w:rPr>
            </w:pPr>
            <w:r>
              <w:rPr>
                <w:rFonts w:ascii="Arial" w:cs="Arial" w:eastAsia="Arial" w:hAnsi="Arial"/>
                <w:sz w:val="16"/>
                <w:szCs w:val="16"/>
                <w:color w:val="auto"/>
              </w:rPr>
              <w:t>Maximum</w:t>
            </w:r>
          </w:p>
        </w:tc>
      </w:tr>
      <w:tr>
        <w:trPr>
          <w:trHeight w:val="147"/>
        </w:trPr>
        <w:tc>
          <w:tcPr>
            <w:tcW w:w="4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40" w:type="dxa"/>
            <w:vAlign w:val="bottom"/>
            <w:gridSpan w:val="2"/>
          </w:tcPr>
          <w:p>
            <w:pPr>
              <w:ind w:left="320"/>
              <w:spacing w:after="0" w:line="147" w:lineRule="exact"/>
              <w:rPr>
                <w:sz w:val="20"/>
                <w:szCs w:val="20"/>
                <w:color w:val="auto"/>
              </w:rPr>
            </w:pPr>
            <w:r>
              <w:rPr>
                <w:rFonts w:ascii="Arial" w:cs="Arial" w:eastAsia="Arial" w:hAnsi="Arial"/>
                <w:sz w:val="16"/>
                <w:szCs w:val="16"/>
                <w:color w:val="auto"/>
              </w:rPr>
              <w:t>Notional</w:t>
            </w:r>
          </w:p>
        </w:tc>
        <w:tc>
          <w:tcPr>
            <w:tcW w:w="1300" w:type="dxa"/>
            <w:vAlign w:val="bottom"/>
            <w:gridSpan w:val="2"/>
          </w:tcPr>
          <w:p>
            <w:pPr>
              <w:jc w:val="center"/>
              <w:ind w:right="100"/>
              <w:spacing w:after="0" w:line="147" w:lineRule="exact"/>
              <w:rPr>
                <w:sz w:val="20"/>
                <w:szCs w:val="20"/>
                <w:color w:val="auto"/>
              </w:rPr>
            </w:pPr>
            <w:r>
              <w:rPr>
                <w:rFonts w:ascii="Arial" w:cs="Arial" w:eastAsia="Arial" w:hAnsi="Arial"/>
                <w:sz w:val="16"/>
                <w:szCs w:val="16"/>
                <w:color w:val="auto"/>
                <w:w w:val="96"/>
              </w:rPr>
              <w:t>Term</w:t>
            </w:r>
          </w:p>
        </w:tc>
        <w:tc>
          <w:tcPr>
            <w:tcW w:w="1320" w:type="dxa"/>
            <w:vAlign w:val="bottom"/>
            <w:gridSpan w:val="2"/>
          </w:tcPr>
          <w:p>
            <w:pPr>
              <w:ind w:left="300"/>
              <w:spacing w:after="0" w:line="147" w:lineRule="exact"/>
              <w:rPr>
                <w:sz w:val="20"/>
                <w:szCs w:val="20"/>
                <w:color w:val="auto"/>
              </w:rPr>
            </w:pPr>
            <w:r>
              <w:rPr>
                <w:rFonts w:ascii="Arial" w:cs="Arial" w:eastAsia="Arial" w:hAnsi="Arial"/>
                <w:sz w:val="16"/>
                <w:szCs w:val="16"/>
                <w:color w:val="auto"/>
              </w:rPr>
              <w:t>Notional</w:t>
            </w:r>
          </w:p>
        </w:tc>
        <w:tc>
          <w:tcPr>
            <w:tcW w:w="1200" w:type="dxa"/>
            <w:vAlign w:val="bottom"/>
          </w:tcPr>
          <w:p>
            <w:pPr>
              <w:jc w:val="center"/>
              <w:spacing w:after="0" w:line="147" w:lineRule="exact"/>
              <w:rPr>
                <w:sz w:val="20"/>
                <w:szCs w:val="20"/>
                <w:color w:val="auto"/>
              </w:rPr>
            </w:pPr>
            <w:r>
              <w:rPr>
                <w:rFonts w:ascii="Arial" w:cs="Arial" w:eastAsia="Arial" w:hAnsi="Arial"/>
                <w:sz w:val="16"/>
                <w:szCs w:val="16"/>
                <w:color w:val="auto"/>
                <w:w w:val="96"/>
              </w:rPr>
              <w:t>Term</w:t>
            </w:r>
          </w:p>
        </w:tc>
      </w:tr>
      <w:tr>
        <w:trPr>
          <w:trHeight w:val="216"/>
        </w:trPr>
        <w:tc>
          <w:tcPr>
            <w:tcW w:w="48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Units</w:t>
            </w:r>
          </w:p>
        </w:tc>
        <w:tc>
          <w:tcPr>
            <w:tcW w:w="1340" w:type="dxa"/>
            <w:vAlign w:val="bottom"/>
            <w:gridSpan w:val="2"/>
          </w:tcPr>
          <w:p>
            <w:pPr>
              <w:ind w:left="320"/>
              <w:spacing w:after="0"/>
              <w:rPr>
                <w:sz w:val="20"/>
                <w:szCs w:val="20"/>
                <w:color w:val="auto"/>
              </w:rPr>
            </w:pPr>
            <w:r>
              <w:rPr>
                <w:rFonts w:ascii="Arial" w:cs="Arial" w:eastAsia="Arial" w:hAnsi="Arial"/>
                <w:sz w:val="16"/>
                <w:szCs w:val="16"/>
                <w:color w:val="auto"/>
              </w:rPr>
              <w:t>Amounts</w:t>
            </w:r>
          </w:p>
        </w:tc>
        <w:tc>
          <w:tcPr>
            <w:tcW w:w="1300" w:type="dxa"/>
            <w:vAlign w:val="bottom"/>
            <w:gridSpan w:val="2"/>
          </w:tcPr>
          <w:p>
            <w:pPr>
              <w:jc w:val="center"/>
              <w:ind w:right="100"/>
              <w:spacing w:after="0" w:line="216" w:lineRule="exact"/>
              <w:rPr>
                <w:sz w:val="20"/>
                <w:szCs w:val="20"/>
                <w:color w:val="auto"/>
              </w:rPr>
            </w:pPr>
            <w:r>
              <w:rPr>
                <w:rFonts w:ascii="Arial" w:cs="Arial" w:eastAsia="Arial" w:hAnsi="Arial"/>
                <w:sz w:val="16"/>
                <w:szCs w:val="16"/>
                <w:color w:val="auto"/>
                <w:w w:val="94"/>
              </w:rPr>
              <w:t xml:space="preserve">(months) </w:t>
            </w:r>
            <w:r>
              <w:rPr>
                <w:rFonts w:ascii="Arial" w:cs="Arial" w:eastAsia="Arial" w:hAnsi="Arial"/>
                <w:sz w:val="21"/>
                <w:szCs w:val="21"/>
                <w:color w:val="auto"/>
                <w:w w:val="94"/>
                <w:vertAlign w:val="superscript"/>
              </w:rPr>
              <w:t>(a)</w:t>
            </w:r>
          </w:p>
        </w:tc>
        <w:tc>
          <w:tcPr>
            <w:tcW w:w="1320" w:type="dxa"/>
            <w:vAlign w:val="bottom"/>
            <w:gridSpan w:val="2"/>
          </w:tcPr>
          <w:p>
            <w:pPr>
              <w:ind w:left="300"/>
              <w:spacing w:after="0"/>
              <w:rPr>
                <w:sz w:val="20"/>
                <w:szCs w:val="20"/>
                <w:color w:val="auto"/>
              </w:rPr>
            </w:pPr>
            <w:r>
              <w:rPr>
                <w:rFonts w:ascii="Arial" w:cs="Arial" w:eastAsia="Arial" w:hAnsi="Arial"/>
                <w:sz w:val="16"/>
                <w:szCs w:val="16"/>
                <w:color w:val="auto"/>
              </w:rPr>
              <w:t>Amounts</w:t>
            </w:r>
          </w:p>
        </w:tc>
        <w:tc>
          <w:tcPr>
            <w:tcW w:w="1200" w:type="dxa"/>
            <w:vAlign w:val="bottom"/>
          </w:tcPr>
          <w:p>
            <w:pPr>
              <w:jc w:val="center"/>
              <w:spacing w:after="0" w:line="216" w:lineRule="exact"/>
              <w:rPr>
                <w:sz w:val="20"/>
                <w:szCs w:val="20"/>
                <w:color w:val="auto"/>
              </w:rPr>
            </w:pPr>
            <w:r>
              <w:rPr>
                <w:rFonts w:ascii="Arial" w:cs="Arial" w:eastAsia="Arial" w:hAnsi="Arial"/>
                <w:sz w:val="16"/>
                <w:szCs w:val="16"/>
                <w:color w:val="auto"/>
                <w:w w:val="94"/>
              </w:rPr>
              <w:t xml:space="preserve">(months) </w:t>
            </w:r>
            <w:r>
              <w:rPr>
                <w:rFonts w:ascii="Arial" w:cs="Arial" w:eastAsia="Arial" w:hAnsi="Arial"/>
                <w:sz w:val="21"/>
                <w:szCs w:val="21"/>
                <w:color w:val="auto"/>
                <w:w w:val="94"/>
                <w:vertAlign w:val="superscript"/>
              </w:rPr>
              <w:t>(a)</w:t>
            </w:r>
          </w:p>
        </w:tc>
      </w:tr>
      <w:tr>
        <w:trPr>
          <w:trHeight w:val="209"/>
        </w:trPr>
        <w:tc>
          <w:tcPr>
            <w:tcW w:w="4800" w:type="dxa"/>
            <w:vAlign w:val="bottom"/>
            <w:tcBorders>
              <w:top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Natural gas futures purchased</w:t>
            </w:r>
          </w:p>
        </w:tc>
        <w:tc>
          <w:tcPr>
            <w:tcW w:w="1280" w:type="dxa"/>
            <w:vAlign w:val="bottom"/>
            <w:tcBorders>
              <w:top w:val="single" w:sz="8" w:color="auto"/>
            </w:tcBorders>
            <w:shd w:val="clear" w:color="auto" w:fill="CEFFE7"/>
          </w:tcPr>
          <w:p>
            <w:pPr>
              <w:jc w:val="center"/>
              <w:spacing w:after="0"/>
              <w:rPr>
                <w:sz w:val="20"/>
                <w:szCs w:val="20"/>
                <w:color w:val="auto"/>
              </w:rPr>
            </w:pPr>
            <w:r>
              <w:rPr>
                <w:rFonts w:ascii="Arial" w:cs="Arial" w:eastAsia="Arial" w:hAnsi="Arial"/>
                <w:sz w:val="16"/>
                <w:szCs w:val="16"/>
                <w:color w:val="auto"/>
              </w:rPr>
              <w:t>MMBtus</w:t>
            </w:r>
          </w:p>
        </w:tc>
        <w:tc>
          <w:tcPr>
            <w:tcW w:w="124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Borders>
              <w:top w:val="single" w:sz="8" w:color="CEFFE7"/>
            </w:tcBorders>
            <w:shd w:val="clear" w:color="auto" w:fill="CEFFE7"/>
          </w:tcPr>
          <w:p>
            <w:pPr>
              <w:spacing w:after="0"/>
              <w:rPr>
                <w:sz w:val="18"/>
                <w:szCs w:val="18"/>
                <w:color w:val="auto"/>
              </w:rPr>
            </w:pPr>
          </w:p>
        </w:tc>
        <w:tc>
          <w:tcPr>
            <w:tcW w:w="1200" w:type="dxa"/>
            <w:vAlign w:val="bottom"/>
            <w:tcBorders>
              <w:top w:val="single" w:sz="8" w:color="auto"/>
            </w:tcBorders>
            <w:shd w:val="clear" w:color="auto" w:fill="CEFFE7"/>
          </w:tcPr>
          <w:p>
            <w:pPr>
              <w:jc w:val="center"/>
              <w:spacing w:after="0"/>
              <w:rPr>
                <w:sz w:val="20"/>
                <w:szCs w:val="20"/>
                <w:color w:val="auto"/>
              </w:rPr>
            </w:pPr>
            <w:r>
              <w:rPr>
                <w:rFonts w:ascii="Arial" w:cs="Arial" w:eastAsia="Arial" w:hAnsi="Arial"/>
                <w:sz w:val="16"/>
                <w:szCs w:val="16"/>
                <w:color w:val="auto"/>
                <w:w w:val="89"/>
              </w:rPr>
              <w:t>9</w:t>
            </w:r>
          </w:p>
        </w:tc>
        <w:tc>
          <w:tcPr>
            <w:tcW w:w="100" w:type="dxa"/>
            <w:vAlign w:val="bottom"/>
            <w:tcBorders>
              <w:top w:val="single" w:sz="8" w:color="CEFFE7"/>
            </w:tcBorders>
            <w:shd w:val="clear" w:color="auto" w:fill="CEFFE7"/>
          </w:tcPr>
          <w:p>
            <w:pPr>
              <w:spacing w:after="0"/>
              <w:rPr>
                <w:sz w:val="18"/>
                <w:szCs w:val="18"/>
                <w:color w:val="auto"/>
              </w:rPr>
            </w:pPr>
          </w:p>
        </w:tc>
        <w:tc>
          <w:tcPr>
            <w:tcW w:w="122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620,000</w:t>
            </w:r>
          </w:p>
        </w:tc>
        <w:tc>
          <w:tcPr>
            <w:tcW w:w="100" w:type="dxa"/>
            <w:vAlign w:val="bottom"/>
            <w:tcBorders>
              <w:top w:val="single" w:sz="8" w:color="CEFFE7"/>
            </w:tcBorders>
            <w:shd w:val="clear" w:color="auto" w:fill="CEFFE7"/>
          </w:tcPr>
          <w:p>
            <w:pPr>
              <w:spacing w:after="0"/>
              <w:rPr>
                <w:sz w:val="18"/>
                <w:szCs w:val="18"/>
                <w:color w:val="auto"/>
              </w:rPr>
            </w:pPr>
          </w:p>
        </w:tc>
        <w:tc>
          <w:tcPr>
            <w:tcW w:w="1200" w:type="dxa"/>
            <w:vAlign w:val="bottom"/>
            <w:tcBorders>
              <w:top w:val="single" w:sz="8" w:color="auto"/>
            </w:tcBorders>
            <w:shd w:val="clear" w:color="auto" w:fill="CEFFE7"/>
          </w:tcPr>
          <w:p>
            <w:pPr>
              <w:jc w:val="center"/>
              <w:spacing w:after="0"/>
              <w:rPr>
                <w:sz w:val="20"/>
                <w:szCs w:val="20"/>
                <w:color w:val="auto"/>
              </w:rPr>
            </w:pPr>
            <w:r>
              <w:rPr>
                <w:rFonts w:ascii="Arial" w:cs="Arial" w:eastAsia="Arial" w:hAnsi="Arial"/>
                <w:sz w:val="16"/>
                <w:szCs w:val="16"/>
                <w:color w:val="auto"/>
                <w:w w:val="89"/>
              </w:rPr>
              <w:t>3</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Natural gas options purchased, net</w:t>
            </w:r>
          </w:p>
        </w:tc>
        <w:tc>
          <w:tcPr>
            <w:tcW w:w="1280" w:type="dxa"/>
            <w:vAlign w:val="bottom"/>
          </w:tcPr>
          <w:p>
            <w:pPr>
              <w:jc w:val="center"/>
              <w:spacing w:after="0"/>
              <w:rPr>
                <w:sz w:val="20"/>
                <w:szCs w:val="20"/>
                <w:color w:val="auto"/>
              </w:rPr>
            </w:pPr>
            <w:r>
              <w:rPr>
                <w:rFonts w:ascii="Arial" w:cs="Arial" w:eastAsia="Arial" w:hAnsi="Arial"/>
                <w:sz w:val="16"/>
                <w:szCs w:val="16"/>
                <w:color w:val="auto"/>
              </w:rPr>
              <w:t>MMBtus</w:t>
            </w:r>
          </w:p>
        </w:tc>
        <w:tc>
          <w:tcPr>
            <w:tcW w:w="1240" w:type="dxa"/>
            <w:vAlign w:val="bottom"/>
          </w:tcPr>
          <w:p>
            <w:pPr>
              <w:jc w:val="right"/>
              <w:spacing w:after="0"/>
              <w:rPr>
                <w:sz w:val="20"/>
                <w:szCs w:val="20"/>
                <w:color w:val="auto"/>
              </w:rPr>
            </w:pPr>
            <w:r>
              <w:rPr>
                <w:rFonts w:ascii="Arial" w:cs="Arial" w:eastAsia="Arial" w:hAnsi="Arial"/>
                <w:sz w:val="16"/>
                <w:szCs w:val="16"/>
                <w:color w:val="auto"/>
              </w:rPr>
              <w:t>970,000</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3,160,000</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3</w:t>
            </w:r>
          </w:p>
        </w:tc>
      </w:tr>
      <w:tr>
        <w:trPr>
          <w:trHeight w:val="219"/>
        </w:trPr>
        <w:tc>
          <w:tcPr>
            <w:tcW w:w="4800" w:type="dxa"/>
            <w:vAlign w:val="bottom"/>
            <w:shd w:val="clear" w:color="auto" w:fill="CEFFE7"/>
          </w:tcPr>
          <w:p>
            <w:pPr>
              <w:ind w:left="20"/>
              <w:spacing w:after="0"/>
              <w:rPr>
                <w:sz w:val="20"/>
                <w:szCs w:val="20"/>
                <w:color w:val="auto"/>
              </w:rPr>
            </w:pPr>
            <w:r>
              <w:rPr>
                <w:rFonts w:ascii="Arial" w:cs="Arial" w:eastAsia="Arial" w:hAnsi="Arial"/>
                <w:sz w:val="16"/>
                <w:szCs w:val="16"/>
                <w:color w:val="auto"/>
              </w:rPr>
              <w:t>Natural gas basis swaps purchased</w:t>
            </w:r>
          </w:p>
        </w:tc>
        <w:tc>
          <w:tcPr>
            <w:tcW w:w="128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MMBtus</w:t>
            </w:r>
          </w:p>
        </w:tc>
        <w:tc>
          <w:tcPr>
            <w:tcW w:w="1340" w:type="dxa"/>
            <w:vAlign w:val="bottom"/>
            <w:gridSpan w:val="2"/>
            <w:shd w:val="clear" w:color="auto" w:fill="CEFFE7"/>
          </w:tcPr>
          <w:p>
            <w:pPr>
              <w:jc w:val="right"/>
              <w:ind w:right="1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9</w:t>
            </w:r>
          </w:p>
        </w:tc>
        <w:tc>
          <w:tcPr>
            <w:tcW w:w="100" w:type="dxa"/>
            <w:vAlign w:val="bottom"/>
            <w:shd w:val="clear" w:color="auto" w:fill="CEFFE7"/>
          </w:tcPr>
          <w:p>
            <w:pPr>
              <w:spacing w:after="0"/>
              <w:rPr>
                <w:sz w:val="19"/>
                <w:szCs w:val="19"/>
                <w:color w:val="auto"/>
              </w:rPr>
            </w:pP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900,000</w:t>
            </w:r>
          </w:p>
        </w:tc>
        <w:tc>
          <w:tcPr>
            <w:tcW w:w="100" w:type="dxa"/>
            <w:vAlign w:val="bottom"/>
            <w:shd w:val="clear" w:color="auto" w:fill="CEFFE7"/>
          </w:tcPr>
          <w:p>
            <w:pPr>
              <w:spacing w:after="0"/>
              <w:rPr>
                <w:sz w:val="19"/>
                <w:szCs w:val="19"/>
                <w:color w:val="auto"/>
              </w:rPr>
            </w:pP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3</w:t>
            </w:r>
          </w:p>
        </w:tc>
      </w:tr>
      <w:tr>
        <w:trPr>
          <w:trHeight w:val="216"/>
        </w:trPr>
        <w:tc>
          <w:tcPr>
            <w:tcW w:w="48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280" w:type="dxa"/>
            <w:vAlign w:val="bottom"/>
          </w:tcPr>
          <w:p>
            <w:pPr>
              <w:jc w:val="center"/>
              <w:spacing w:after="0"/>
              <w:rPr>
                <w:sz w:val="20"/>
                <w:szCs w:val="20"/>
                <w:color w:val="auto"/>
              </w:rPr>
            </w:pPr>
            <w:r>
              <w:rPr>
                <w:rFonts w:ascii="Arial" w:cs="Arial" w:eastAsia="Arial" w:hAnsi="Arial"/>
                <w:sz w:val="16"/>
                <w:szCs w:val="16"/>
                <w:color w:val="auto"/>
              </w:rPr>
              <w:t>MMBtus</w:t>
            </w:r>
          </w:p>
        </w:tc>
        <w:tc>
          <w:tcPr>
            <w:tcW w:w="1240" w:type="dxa"/>
            <w:vAlign w:val="bottom"/>
          </w:tcPr>
          <w:p>
            <w:pPr>
              <w:jc w:val="right"/>
              <w:spacing w:after="0"/>
              <w:rPr>
                <w:sz w:val="20"/>
                <w:szCs w:val="20"/>
                <w:color w:val="auto"/>
              </w:rPr>
            </w:pPr>
            <w:r>
              <w:rPr>
                <w:rFonts w:ascii="Arial" w:cs="Arial" w:eastAsia="Arial" w:hAnsi="Arial"/>
                <w:sz w:val="16"/>
                <w:szCs w:val="16"/>
                <w:color w:val="auto"/>
              </w:rPr>
              <w:t>6,660,000</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3,850,000</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17</w:t>
            </w:r>
          </w:p>
        </w:tc>
      </w:tr>
      <w:tr>
        <w:trPr>
          <w:trHeight w:val="216"/>
        </w:trPr>
        <w:tc>
          <w:tcPr>
            <w:tcW w:w="4800" w:type="dxa"/>
            <w:vAlign w:val="bottom"/>
            <w:shd w:val="clear" w:color="auto" w:fill="CEFFE7"/>
          </w:tcPr>
          <w:p>
            <w:pPr>
              <w:ind w:left="20"/>
              <w:spacing w:after="0" w:line="216" w:lineRule="exact"/>
              <w:rPr>
                <w:sz w:val="20"/>
                <w:szCs w:val="20"/>
                <w:color w:val="auto"/>
              </w:rPr>
            </w:pPr>
            <w:r>
              <w:rPr>
                <w:rFonts w:ascii="Arial" w:cs="Arial" w:eastAsia="Arial" w:hAnsi="Arial"/>
                <w:sz w:val="16"/>
                <w:szCs w:val="16"/>
                <w:color w:val="auto"/>
              </w:rPr>
              <w:t xml:space="preserve">Natural gas physical contracts, net </w:t>
            </w:r>
            <w:r>
              <w:rPr>
                <w:rFonts w:ascii="Arial" w:cs="Arial" w:eastAsia="Arial" w:hAnsi="Arial"/>
                <w:sz w:val="21"/>
                <w:szCs w:val="21"/>
                <w:color w:val="auto"/>
                <w:vertAlign w:val="superscript"/>
              </w:rPr>
              <w:t>(c)</w:t>
            </w:r>
          </w:p>
        </w:tc>
        <w:tc>
          <w:tcPr>
            <w:tcW w:w="128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MMBtus</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4,902,179</w:t>
            </w:r>
          </w:p>
        </w:tc>
        <w:tc>
          <w:tcPr>
            <w:tcW w:w="100" w:type="dxa"/>
            <w:vAlign w:val="bottom"/>
            <w:shd w:val="clear" w:color="auto" w:fill="CEFFE7"/>
          </w:tcPr>
          <w:p>
            <w:pPr>
              <w:spacing w:after="0"/>
              <w:rPr>
                <w:sz w:val="18"/>
                <w:szCs w:val="18"/>
                <w:color w:val="auto"/>
              </w:rPr>
            </w:pP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9</w:t>
            </w:r>
          </w:p>
        </w:tc>
        <w:tc>
          <w:tcPr>
            <w:tcW w:w="100" w:type="dxa"/>
            <w:vAlign w:val="bottom"/>
            <w:shd w:val="clear" w:color="auto" w:fill="CEFFE7"/>
          </w:tcPr>
          <w:p>
            <w:pPr>
              <w:spacing w:after="0"/>
              <w:rPr>
                <w:sz w:val="18"/>
                <w:szCs w:val="18"/>
                <w:color w:val="auto"/>
              </w:rPr>
            </w:pP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17,513,061</w:t>
            </w:r>
          </w:p>
        </w:tc>
        <w:tc>
          <w:tcPr>
            <w:tcW w:w="100" w:type="dxa"/>
            <w:vAlign w:val="bottom"/>
            <w:shd w:val="clear" w:color="auto" w:fill="CEFFE7"/>
          </w:tcPr>
          <w:p>
            <w:pPr>
              <w:spacing w:after="0"/>
              <w:rPr>
                <w:sz w:val="18"/>
                <w:szCs w:val="18"/>
                <w:color w:val="auto"/>
              </w:rPr>
            </w:pP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22</w:t>
            </w:r>
          </w:p>
        </w:tc>
      </w:tr>
      <w:tr>
        <w:trPr>
          <w:trHeight w:val="268"/>
        </w:trPr>
        <w:tc>
          <w:tcPr>
            <w:tcW w:w="4800" w:type="dxa"/>
            <w:vAlign w:val="bottom"/>
          </w:tcPr>
          <w:p>
            <w:pPr>
              <w:ind w:left="20"/>
              <w:spacing w:after="0"/>
              <w:rPr>
                <w:sz w:val="20"/>
                <w:szCs w:val="20"/>
                <w:color w:val="auto"/>
              </w:rPr>
            </w:pPr>
            <w:r>
              <w:rPr>
                <w:rFonts w:ascii="Arial" w:cs="Arial" w:eastAsia="Arial" w:hAnsi="Arial"/>
                <w:sz w:val="16"/>
                <w:szCs w:val="16"/>
                <w:color w:val="auto"/>
              </w:rPr>
              <w:t xml:space="preserve">Electric wholesale contracts </w:t>
            </w:r>
            <w:r>
              <w:rPr>
                <w:rFonts w:ascii="Arial" w:cs="Arial" w:eastAsia="Arial" w:hAnsi="Arial"/>
                <w:sz w:val="21"/>
                <w:szCs w:val="21"/>
                <w:color w:val="auto"/>
                <w:vertAlign w:val="superscript"/>
              </w:rPr>
              <w:t>(c)</w:t>
            </w:r>
          </w:p>
        </w:tc>
        <w:tc>
          <w:tcPr>
            <w:tcW w:w="1280" w:type="dxa"/>
            <w:vAlign w:val="bottom"/>
          </w:tcPr>
          <w:p>
            <w:pPr>
              <w:jc w:val="center"/>
              <w:spacing w:after="0"/>
              <w:rPr>
                <w:sz w:val="20"/>
                <w:szCs w:val="20"/>
                <w:color w:val="auto"/>
              </w:rPr>
            </w:pPr>
            <w:r>
              <w:rPr>
                <w:rFonts w:ascii="Arial" w:cs="Arial" w:eastAsia="Arial" w:hAnsi="Arial"/>
                <w:sz w:val="16"/>
                <w:szCs w:val="16"/>
                <w:color w:val="auto"/>
              </w:rPr>
              <w:t>MWh</w:t>
            </w:r>
          </w:p>
        </w:tc>
        <w:tc>
          <w:tcPr>
            <w:tcW w:w="1240" w:type="dxa"/>
            <w:vAlign w:val="bottom"/>
          </w:tcPr>
          <w:p>
            <w:pPr>
              <w:jc w:val="right"/>
              <w:spacing w:after="0"/>
              <w:rPr>
                <w:sz w:val="20"/>
                <w:szCs w:val="20"/>
                <w:color w:val="auto"/>
              </w:rPr>
            </w:pPr>
            <w:r>
              <w:rPr>
                <w:rFonts w:ascii="Arial" w:cs="Arial" w:eastAsia="Arial" w:hAnsi="Arial"/>
                <w:sz w:val="16"/>
                <w:szCs w:val="16"/>
                <w:color w:val="auto"/>
              </w:rPr>
              <w:t>110,425</w:t>
            </w:r>
          </w:p>
        </w:tc>
        <w:tc>
          <w:tcPr>
            <w:tcW w:w="1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219,000</w:t>
            </w:r>
          </w:p>
        </w:tc>
        <w:tc>
          <w:tcPr>
            <w:tcW w:w="10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12</w:t>
            </w:r>
          </w:p>
        </w:tc>
      </w:tr>
    </w:tbl>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Term reflects the maximum forward period hedged.</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of June 30, 2021, 3,030,000 MMBtus of natural gas over-the-counter swaps purchases were designated as cash flow hedges.</w:t>
      </w:r>
    </w:p>
    <w:p>
      <w:pPr>
        <w:spacing w:after="0" w:line="1" w:lineRule="exact"/>
        <w:rPr>
          <w:rFonts w:ascii="Arial" w:cs="Arial" w:eastAsia="Arial" w:hAnsi="Arial"/>
          <w:sz w:val="14"/>
          <w:szCs w:val="14"/>
          <w:color w:val="auto"/>
        </w:rPr>
      </w:pPr>
    </w:p>
    <w:p>
      <w:pPr>
        <w:ind w:left="360" w:hanging="352"/>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Volumes exclude derivative contracts that qualify for the normal purchases and normal sales exception permitted by GAAP.</w:t>
      </w:r>
    </w:p>
    <w:p>
      <w:pPr>
        <w:spacing w:after="0" w:line="241" w:lineRule="exact"/>
        <w:rPr>
          <w:sz w:val="20"/>
          <w:szCs w:val="20"/>
          <w:color w:val="auto"/>
        </w:rPr>
      </w:pPr>
    </w:p>
    <w:p>
      <w:pPr>
        <w:ind w:right="620"/>
        <w:spacing w:after="0" w:line="253" w:lineRule="auto"/>
        <w:rPr>
          <w:sz w:val="20"/>
          <w:szCs w:val="20"/>
          <w:color w:val="auto"/>
        </w:rPr>
      </w:pPr>
      <w:r>
        <w:rPr>
          <w:rFonts w:ascii="Arial" w:cs="Arial" w:eastAsia="Arial" w:hAnsi="Arial"/>
          <w:sz w:val="16"/>
          <w:szCs w:val="16"/>
          <w:color w:val="auto"/>
        </w:rPr>
        <w:t>We have certain derivative contracts which contain credit provisions. These credit provisions may require the Company to post collateral when credit exposure to the Company is in excess of a negotiated line of unsecured credit. At June 30, 2021, the Company posted $1.0 million related to such provisions, which is included in Other current assets on the Condensed Consolidated Balance Sheets.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by Balance Sheet Classification</w:t>
      </w:r>
    </w:p>
    <w:p>
      <w:pPr>
        <w:spacing w:after="0" w:line="248"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As required by accounting standards for derivatives and hedges, fair values within the following tables are presented on a gross basis aside from the netting of asset and liability positions. Netting of positions is permitted in accordance with accounting standards for offsetting and under terms of our master netting agreements that allow us to settle positive and negative positions.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fair value and balance sheet classification of our derivative instruments (in thousands) as of:</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580" w:type="dxa"/>
            <w:vAlign w:val="bottom"/>
          </w:tcPr>
          <w:p>
            <w:pPr>
              <w:ind w:left="880"/>
              <w:spacing w:after="0"/>
              <w:rPr>
                <w:sz w:val="20"/>
                <w:szCs w:val="20"/>
                <w:color w:val="auto"/>
              </w:rPr>
            </w:pPr>
            <w:r>
              <w:rPr>
                <w:rFonts w:ascii="Arial" w:cs="Arial" w:eastAsia="Arial" w:hAnsi="Arial"/>
                <w:sz w:val="16"/>
                <w:szCs w:val="16"/>
                <w:color w:val="auto"/>
              </w:rPr>
              <w:t>Balance Sheet Location</w:t>
            </w:r>
          </w:p>
        </w:tc>
        <w:tc>
          <w:tcPr>
            <w:tcW w:w="280" w:type="dxa"/>
            <w:vAlign w:val="bottom"/>
          </w:tcPr>
          <w:p>
            <w:pPr>
              <w:spacing w:after="0"/>
              <w:rPr>
                <w:sz w:val="16"/>
                <w:szCs w:val="16"/>
                <w:color w:val="auto"/>
              </w:rPr>
            </w:pPr>
          </w:p>
        </w:tc>
        <w:tc>
          <w:tcPr>
            <w:tcW w:w="1620" w:type="dxa"/>
            <w:vAlign w:val="bottom"/>
          </w:tcPr>
          <w:p>
            <w:pPr>
              <w:jc w:val="right"/>
              <w:ind w:right="359"/>
              <w:spacing w:after="0"/>
              <w:rPr>
                <w:sz w:val="20"/>
                <w:szCs w:val="20"/>
                <w:color w:val="auto"/>
              </w:rPr>
            </w:pPr>
            <w:r>
              <w:rPr>
                <w:rFonts w:ascii="Arial" w:cs="Arial" w:eastAsia="Arial" w:hAnsi="Arial"/>
                <w:sz w:val="16"/>
                <w:szCs w:val="16"/>
                <w:color w:val="auto"/>
              </w:rPr>
              <w:t>June 30, 2021</w:t>
            </w:r>
          </w:p>
        </w:tc>
        <w:tc>
          <w:tcPr>
            <w:tcW w:w="180" w:type="dxa"/>
            <w:vAlign w:val="bottom"/>
          </w:tcPr>
          <w:p>
            <w:pPr>
              <w:spacing w:after="0"/>
              <w:rPr>
                <w:sz w:val="16"/>
                <w:szCs w:val="16"/>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color w:val="auto"/>
              </w:rPr>
              <w:t>December 31, 2020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Arial" w:cs="Arial" w:eastAsia="Arial" w:hAnsi="Arial"/>
                <w:sz w:val="16"/>
                <w:szCs w:val="16"/>
                <w:color w:val="auto"/>
              </w:rPr>
              <w:t>Derivatives designated as hedges:</w:t>
            </w:r>
          </w:p>
        </w:tc>
        <w:tc>
          <w:tcPr>
            <w:tcW w:w="35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20" w:type="dxa"/>
            <w:vAlign w:val="bottom"/>
            <w:shd w:val="clear" w:color="auto" w:fill="CEFFE7"/>
          </w:tcPr>
          <w:p>
            <w:pPr>
              <w:ind w:left="180"/>
              <w:spacing w:after="0"/>
              <w:rPr>
                <w:sz w:val="20"/>
                <w:szCs w:val="20"/>
                <w:color w:val="auto"/>
              </w:rPr>
            </w:pPr>
            <w:r>
              <w:rPr>
                <w:rFonts w:ascii="Arial" w:cs="Arial" w:eastAsia="Arial" w:hAnsi="Arial"/>
                <w:sz w:val="16"/>
                <w:szCs w:val="16"/>
                <w:color w:val="auto"/>
              </w:rPr>
              <w:t>Asset derivative instruments:</w:t>
            </w:r>
          </w:p>
        </w:tc>
        <w:tc>
          <w:tcPr>
            <w:tcW w:w="3580" w:type="dxa"/>
            <w:vAlign w:val="bottom"/>
            <w:shd w:val="clear" w:color="auto" w:fill="CEFFE7"/>
          </w:tcPr>
          <w:p>
            <w:pPr>
              <w:spacing w:after="0"/>
              <w:rPr>
                <w:sz w:val="19"/>
                <w:szCs w:val="19"/>
                <w:color w:val="auto"/>
              </w:rPr>
            </w:pPr>
          </w:p>
        </w:tc>
        <w:tc>
          <w:tcPr>
            <w:tcW w:w="280" w:type="dxa"/>
            <w:vAlign w:val="bottom"/>
            <w:shd w:val="clear" w:color="auto" w:fill="CEFFE7"/>
          </w:tcPr>
          <w:p>
            <w:pPr>
              <w:spacing w:after="0"/>
              <w:rPr>
                <w:sz w:val="19"/>
                <w:szCs w:val="19"/>
                <w:color w:val="auto"/>
              </w:rPr>
            </w:pPr>
          </w:p>
        </w:tc>
        <w:tc>
          <w:tcPr>
            <w:tcW w:w="162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1720" w:type="dxa"/>
            <w:vAlign w:val="bottom"/>
            <w:shd w:val="clear" w:color="auto" w:fill="CEFFE7"/>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20" w:type="dxa"/>
            <w:vAlign w:val="bottom"/>
          </w:tcPr>
          <w:p>
            <w:pPr>
              <w:ind w:left="300"/>
              <w:spacing w:after="0"/>
              <w:rPr>
                <w:sz w:val="20"/>
                <w:szCs w:val="20"/>
                <w:color w:val="auto"/>
              </w:rPr>
            </w:pPr>
            <w:r>
              <w:rPr>
                <w:rFonts w:ascii="Arial" w:cs="Arial" w:eastAsia="Arial" w:hAnsi="Arial"/>
                <w:sz w:val="16"/>
                <w:szCs w:val="16"/>
                <w:color w:val="auto"/>
              </w:rPr>
              <w:t>Current commodity derivatives</w:t>
            </w:r>
          </w:p>
        </w:tc>
        <w:tc>
          <w:tcPr>
            <w:tcW w:w="3580" w:type="dxa"/>
            <w:vAlign w:val="bottom"/>
          </w:tcPr>
          <w:p>
            <w:pPr>
              <w:ind w:left="20"/>
              <w:spacing w:after="0"/>
              <w:rPr>
                <w:sz w:val="20"/>
                <w:szCs w:val="20"/>
                <w:color w:val="auto"/>
              </w:rPr>
            </w:pPr>
            <w:r>
              <w:rPr>
                <w:rFonts w:ascii="Arial" w:cs="Arial" w:eastAsia="Arial" w:hAnsi="Arial"/>
                <w:sz w:val="16"/>
                <w:szCs w:val="16"/>
                <w:color w:val="auto"/>
              </w:rPr>
              <w:t>Derivative assets, current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1,549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20" w:type="dxa"/>
            <w:vAlign w:val="bottom"/>
            <w:shd w:val="clear" w:color="auto" w:fill="CEFFE7"/>
          </w:tcPr>
          <w:p>
            <w:pPr>
              <w:ind w:left="300"/>
              <w:spacing w:after="0"/>
              <w:rPr>
                <w:sz w:val="20"/>
                <w:szCs w:val="20"/>
                <w:color w:val="auto"/>
              </w:rPr>
            </w:pPr>
            <w:r>
              <w:rPr>
                <w:rFonts w:ascii="Arial" w:cs="Arial" w:eastAsia="Arial" w:hAnsi="Arial"/>
                <w:sz w:val="16"/>
                <w:szCs w:val="16"/>
                <w:color w:val="auto"/>
              </w:rPr>
              <w:t>Noncurrent commodity derivatives</w:t>
            </w:r>
          </w:p>
        </w:tc>
        <w:tc>
          <w:tcPr>
            <w:tcW w:w="358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assets, non-current</w:t>
            </w:r>
          </w:p>
        </w:tc>
        <w:tc>
          <w:tcPr>
            <w:tcW w:w="280" w:type="dxa"/>
            <w:vAlign w:val="bottom"/>
            <w:shd w:val="clear" w:color="auto" w:fill="CEFFE7"/>
          </w:tcPr>
          <w:p>
            <w:pPr>
              <w:spacing w:after="0"/>
              <w:rPr>
                <w:sz w:val="19"/>
                <w:szCs w:val="19"/>
                <w:color w:val="auto"/>
              </w:rPr>
            </w:pPr>
          </w:p>
        </w:tc>
        <w:tc>
          <w:tcPr>
            <w:tcW w:w="16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EFFE7"/>
          </w:tcPr>
          <w:p>
            <w:pPr>
              <w:spacing w:after="0"/>
              <w:rPr>
                <w:sz w:val="19"/>
                <w:szCs w:val="19"/>
                <w:color w:val="auto"/>
              </w:rPr>
            </w:pPr>
          </w:p>
        </w:tc>
        <w:tc>
          <w:tcPr>
            <w:tcW w:w="1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Arial" w:cs="Arial" w:eastAsia="Arial" w:hAnsi="Arial"/>
                <w:sz w:val="16"/>
                <w:szCs w:val="16"/>
                <w:color w:val="auto"/>
              </w:rPr>
              <w:t>Liability derivative instruments:</w:t>
            </w: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EFFE7"/>
          </w:tcPr>
          <w:p>
            <w:pPr>
              <w:ind w:left="300"/>
              <w:spacing w:after="0"/>
              <w:rPr>
                <w:sz w:val="20"/>
                <w:szCs w:val="20"/>
                <w:color w:val="auto"/>
              </w:rPr>
            </w:pPr>
            <w:r>
              <w:rPr>
                <w:rFonts w:ascii="Arial" w:cs="Arial" w:eastAsia="Arial" w:hAnsi="Arial"/>
                <w:sz w:val="16"/>
                <w:szCs w:val="16"/>
                <w:color w:val="auto"/>
              </w:rPr>
              <w:t>Current commodity derivatives</w:t>
            </w:r>
          </w:p>
        </w:tc>
        <w:tc>
          <w:tcPr>
            <w:tcW w:w="358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Derivative liabilities, current</w:t>
            </w:r>
          </w:p>
        </w:tc>
        <w:tc>
          <w:tcPr>
            <w:tcW w:w="280" w:type="dxa"/>
            <w:vAlign w:val="bottom"/>
            <w:tcBorders>
              <w:bottom w:val="single" w:sz="8" w:color="auto"/>
            </w:tcBorders>
            <w:shd w:val="clear" w:color="auto" w:fill="CEFFE7"/>
          </w:tcPr>
          <w:p>
            <w:pPr>
              <w:spacing w:after="0"/>
              <w:rPr>
                <w:sz w:val="18"/>
                <w:szCs w:val="18"/>
                <w:color w:val="auto"/>
              </w:rPr>
            </w:pPr>
          </w:p>
        </w:tc>
        <w:tc>
          <w:tcPr>
            <w:tcW w:w="1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EFFE7"/>
          </w:tcPr>
          <w:p>
            <w:pPr>
              <w:spacing w:after="0"/>
              <w:rPr>
                <w:sz w:val="18"/>
                <w:szCs w:val="18"/>
                <w:color w:val="auto"/>
              </w:rPr>
            </w:pPr>
          </w:p>
        </w:tc>
        <w:tc>
          <w:tcPr>
            <w:tcW w:w="1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6"/>
                <w:szCs w:val="16"/>
                <w:color w:val="auto"/>
              </w:rPr>
              <w:t>Total derivatives designated as hedges</w:t>
            </w:r>
          </w:p>
        </w:tc>
        <w:tc>
          <w:tcPr>
            <w:tcW w:w="35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bottom w:val="single" w:sz="8" w:color="CEFFE7"/>
            </w:tcBorders>
          </w:tcPr>
          <w:p>
            <w:pPr>
              <w:spacing w:after="0" w:line="20" w:lineRule="exact"/>
              <w:rPr>
                <w:sz w:val="1"/>
                <w:szCs w:val="1"/>
                <w:color w:val="auto"/>
              </w:rPr>
            </w:pPr>
          </w:p>
        </w:tc>
        <w:tc>
          <w:tcPr>
            <w:tcW w:w="3580" w:type="dxa"/>
            <w:vAlign w:val="bottom"/>
            <w:tcBorders>
              <w:bottom w:val="single" w:sz="8" w:color="CEFFE7"/>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820" w:type="dxa"/>
            <w:vAlign w:val="bottom"/>
            <w:shd w:val="clear" w:color="auto" w:fill="CEFFE7"/>
          </w:tcPr>
          <w:p>
            <w:pPr>
              <w:spacing w:after="0"/>
              <w:rPr>
                <w:sz w:val="15"/>
                <w:szCs w:val="15"/>
                <w:color w:val="auto"/>
              </w:rPr>
            </w:pPr>
          </w:p>
        </w:tc>
        <w:tc>
          <w:tcPr>
            <w:tcW w:w="3580" w:type="dxa"/>
            <w:vAlign w:val="bottom"/>
            <w:shd w:val="clear" w:color="auto" w:fill="CEFFE7"/>
          </w:tcPr>
          <w:p>
            <w:pPr>
              <w:spacing w:after="0"/>
              <w:rPr>
                <w:sz w:val="15"/>
                <w:szCs w:val="15"/>
                <w:color w:val="auto"/>
              </w:rPr>
            </w:pPr>
          </w:p>
        </w:tc>
        <w:tc>
          <w:tcPr>
            <w:tcW w:w="280" w:type="dxa"/>
            <w:vAlign w:val="bottom"/>
            <w:shd w:val="clear" w:color="auto" w:fill="CEFFE7"/>
          </w:tcPr>
          <w:p>
            <w:pPr>
              <w:spacing w:after="0"/>
              <w:rPr>
                <w:sz w:val="15"/>
                <w:szCs w:val="15"/>
                <w:color w:val="auto"/>
              </w:rPr>
            </w:pPr>
          </w:p>
        </w:tc>
        <w:tc>
          <w:tcPr>
            <w:tcW w:w="1620" w:type="dxa"/>
            <w:vAlign w:val="bottom"/>
            <w:shd w:val="clear" w:color="auto" w:fill="CEFFE7"/>
          </w:tcPr>
          <w:p>
            <w:pPr>
              <w:spacing w:after="0"/>
              <w:rPr>
                <w:sz w:val="15"/>
                <w:szCs w:val="15"/>
                <w:color w:val="auto"/>
              </w:rPr>
            </w:pPr>
          </w:p>
        </w:tc>
        <w:tc>
          <w:tcPr>
            <w:tcW w:w="180" w:type="dxa"/>
            <w:vAlign w:val="bottom"/>
            <w:shd w:val="clear" w:color="auto" w:fill="CEFFE7"/>
          </w:tcPr>
          <w:p>
            <w:pPr>
              <w:spacing w:after="0"/>
              <w:rPr>
                <w:sz w:val="15"/>
                <w:szCs w:val="15"/>
                <w:color w:val="auto"/>
              </w:rPr>
            </w:pPr>
          </w:p>
        </w:tc>
        <w:tc>
          <w:tcPr>
            <w:tcW w:w="1720" w:type="dxa"/>
            <w:vAlign w:val="bottom"/>
            <w:shd w:val="clear" w:color="auto" w:fill="CEFFE7"/>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6"/>
                <w:szCs w:val="16"/>
                <w:color w:val="auto"/>
              </w:rPr>
              <w:t>Derivatives not designated as hedges:</w:t>
            </w: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20" w:type="dxa"/>
            <w:vAlign w:val="bottom"/>
            <w:shd w:val="clear" w:color="auto" w:fill="CEFFE7"/>
          </w:tcPr>
          <w:p>
            <w:pPr>
              <w:ind w:left="180"/>
              <w:spacing w:after="0"/>
              <w:rPr>
                <w:sz w:val="20"/>
                <w:szCs w:val="20"/>
                <w:color w:val="auto"/>
              </w:rPr>
            </w:pPr>
            <w:r>
              <w:rPr>
                <w:rFonts w:ascii="Arial" w:cs="Arial" w:eastAsia="Arial" w:hAnsi="Arial"/>
                <w:sz w:val="16"/>
                <w:szCs w:val="16"/>
                <w:color w:val="auto"/>
              </w:rPr>
              <w:t>Asset derivative instruments:</w:t>
            </w:r>
          </w:p>
        </w:tc>
        <w:tc>
          <w:tcPr>
            <w:tcW w:w="3580" w:type="dxa"/>
            <w:vAlign w:val="bottom"/>
            <w:shd w:val="clear" w:color="auto" w:fill="CEFFE7"/>
          </w:tcPr>
          <w:p>
            <w:pPr>
              <w:spacing w:after="0"/>
              <w:rPr>
                <w:sz w:val="19"/>
                <w:szCs w:val="19"/>
                <w:color w:val="auto"/>
              </w:rPr>
            </w:pPr>
          </w:p>
        </w:tc>
        <w:tc>
          <w:tcPr>
            <w:tcW w:w="280" w:type="dxa"/>
            <w:vAlign w:val="bottom"/>
            <w:shd w:val="clear" w:color="auto" w:fill="CEFFE7"/>
          </w:tcPr>
          <w:p>
            <w:pPr>
              <w:spacing w:after="0"/>
              <w:rPr>
                <w:sz w:val="19"/>
                <w:szCs w:val="19"/>
                <w:color w:val="auto"/>
              </w:rPr>
            </w:pPr>
          </w:p>
        </w:tc>
        <w:tc>
          <w:tcPr>
            <w:tcW w:w="162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1720" w:type="dxa"/>
            <w:vAlign w:val="bottom"/>
            <w:shd w:val="clear" w:color="auto" w:fill="CEFFE7"/>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20" w:type="dxa"/>
            <w:vAlign w:val="bottom"/>
          </w:tcPr>
          <w:p>
            <w:pPr>
              <w:ind w:left="300"/>
              <w:spacing w:after="0"/>
              <w:rPr>
                <w:sz w:val="20"/>
                <w:szCs w:val="20"/>
                <w:color w:val="auto"/>
              </w:rPr>
            </w:pPr>
            <w:r>
              <w:rPr>
                <w:rFonts w:ascii="Arial" w:cs="Arial" w:eastAsia="Arial" w:hAnsi="Arial"/>
                <w:sz w:val="16"/>
                <w:szCs w:val="16"/>
                <w:color w:val="auto"/>
              </w:rPr>
              <w:t>Current commodity derivatives</w:t>
            </w:r>
          </w:p>
        </w:tc>
        <w:tc>
          <w:tcPr>
            <w:tcW w:w="3580" w:type="dxa"/>
            <w:vAlign w:val="bottom"/>
          </w:tcPr>
          <w:p>
            <w:pPr>
              <w:ind w:left="20"/>
              <w:spacing w:after="0"/>
              <w:rPr>
                <w:sz w:val="20"/>
                <w:szCs w:val="20"/>
                <w:color w:val="auto"/>
              </w:rPr>
            </w:pPr>
            <w:r>
              <w:rPr>
                <w:rFonts w:ascii="Arial" w:cs="Arial" w:eastAsia="Arial" w:hAnsi="Arial"/>
                <w:sz w:val="16"/>
                <w:szCs w:val="16"/>
                <w:color w:val="auto"/>
              </w:rPr>
              <w:t>Derivative assets, current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2,376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1,667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20" w:type="dxa"/>
            <w:vAlign w:val="bottom"/>
            <w:shd w:val="clear" w:color="auto" w:fill="CEFFE7"/>
          </w:tcPr>
          <w:p>
            <w:pPr>
              <w:ind w:left="300"/>
              <w:spacing w:after="0"/>
              <w:rPr>
                <w:sz w:val="20"/>
                <w:szCs w:val="20"/>
                <w:color w:val="auto"/>
              </w:rPr>
            </w:pPr>
            <w:r>
              <w:rPr>
                <w:rFonts w:ascii="Arial" w:cs="Arial" w:eastAsia="Arial" w:hAnsi="Arial"/>
                <w:sz w:val="16"/>
                <w:szCs w:val="16"/>
                <w:color w:val="auto"/>
              </w:rPr>
              <w:t>Noncurrent commodity derivatives</w:t>
            </w:r>
          </w:p>
        </w:tc>
        <w:tc>
          <w:tcPr>
            <w:tcW w:w="358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assets, non-current</w:t>
            </w:r>
          </w:p>
        </w:tc>
        <w:tc>
          <w:tcPr>
            <w:tcW w:w="280" w:type="dxa"/>
            <w:vAlign w:val="bottom"/>
            <w:shd w:val="clear" w:color="auto" w:fill="CEFFE7"/>
          </w:tcPr>
          <w:p>
            <w:pPr>
              <w:spacing w:after="0"/>
              <w:rPr>
                <w:sz w:val="19"/>
                <w:szCs w:val="19"/>
                <w:color w:val="auto"/>
              </w:rPr>
            </w:pPr>
          </w:p>
        </w:tc>
        <w:tc>
          <w:tcPr>
            <w:tcW w:w="16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375</w:t>
            </w:r>
          </w:p>
        </w:tc>
        <w:tc>
          <w:tcPr>
            <w:tcW w:w="180" w:type="dxa"/>
            <w:vAlign w:val="bottom"/>
            <w:shd w:val="clear" w:color="auto" w:fill="CEFFE7"/>
          </w:tcPr>
          <w:p>
            <w:pPr>
              <w:spacing w:after="0"/>
              <w:rPr>
                <w:sz w:val="19"/>
                <w:szCs w:val="19"/>
                <w:color w:val="auto"/>
              </w:rPr>
            </w:pPr>
          </w:p>
        </w:tc>
        <w:tc>
          <w:tcPr>
            <w:tcW w:w="1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Arial" w:cs="Arial" w:eastAsia="Arial" w:hAnsi="Arial"/>
                <w:sz w:val="16"/>
                <w:szCs w:val="16"/>
                <w:color w:val="auto"/>
              </w:rPr>
              <w:t>Liability derivative instruments:</w:t>
            </w: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EFFE7"/>
          </w:tcPr>
          <w:p>
            <w:pPr>
              <w:ind w:left="300"/>
              <w:spacing w:after="0"/>
              <w:rPr>
                <w:sz w:val="20"/>
                <w:szCs w:val="20"/>
                <w:color w:val="auto"/>
              </w:rPr>
            </w:pPr>
            <w:r>
              <w:rPr>
                <w:rFonts w:ascii="Arial" w:cs="Arial" w:eastAsia="Arial" w:hAnsi="Arial"/>
                <w:sz w:val="16"/>
                <w:szCs w:val="16"/>
                <w:color w:val="auto"/>
              </w:rPr>
              <w:t>Current commodity derivatives</w:t>
            </w:r>
          </w:p>
        </w:tc>
        <w:tc>
          <w:tcPr>
            <w:tcW w:w="358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Derivative liabilities, current</w:t>
            </w:r>
          </w:p>
        </w:tc>
        <w:tc>
          <w:tcPr>
            <w:tcW w:w="280" w:type="dxa"/>
            <w:vAlign w:val="bottom"/>
            <w:tcBorders>
              <w:bottom w:val="single" w:sz="8" w:color="auto"/>
            </w:tcBorders>
            <w:shd w:val="clear" w:color="auto" w:fill="CEFFE7"/>
          </w:tcPr>
          <w:p>
            <w:pPr>
              <w:spacing w:after="0"/>
              <w:rPr>
                <w:sz w:val="18"/>
                <w:szCs w:val="18"/>
                <w:color w:val="auto"/>
              </w:rPr>
            </w:pPr>
          </w:p>
        </w:tc>
        <w:tc>
          <w:tcPr>
            <w:tcW w:w="1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(5,178)</w:t>
            </w:r>
          </w:p>
        </w:tc>
        <w:tc>
          <w:tcPr>
            <w:tcW w:w="180" w:type="dxa"/>
            <w:vAlign w:val="bottom"/>
            <w:tcBorders>
              <w:bottom w:val="single" w:sz="8" w:color="auto"/>
            </w:tcBorders>
            <w:shd w:val="clear" w:color="auto" w:fill="CEFFE7"/>
          </w:tcPr>
          <w:p>
            <w:pPr>
              <w:spacing w:after="0"/>
              <w:rPr>
                <w:sz w:val="18"/>
                <w:szCs w:val="18"/>
                <w:color w:val="auto"/>
              </w:rPr>
            </w:pPr>
          </w:p>
        </w:tc>
        <w:tc>
          <w:tcPr>
            <w:tcW w:w="1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20" w:type="dxa"/>
            <w:vAlign w:val="bottom"/>
          </w:tcPr>
          <w:p>
            <w:pPr>
              <w:ind w:left="20"/>
              <w:spacing w:after="0"/>
              <w:rPr>
                <w:sz w:val="20"/>
                <w:szCs w:val="20"/>
                <w:color w:val="auto"/>
              </w:rPr>
            </w:pPr>
            <w:r>
              <w:rPr>
                <w:rFonts w:ascii="Arial" w:cs="Arial" w:eastAsia="Arial" w:hAnsi="Arial"/>
                <w:sz w:val="16"/>
                <w:szCs w:val="16"/>
                <w:color w:val="auto"/>
              </w:rPr>
              <w:t>Total derivatives not designated as hedges</w:t>
            </w:r>
          </w:p>
        </w:tc>
        <w:tc>
          <w:tcPr>
            <w:tcW w:w="35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580" w:type="dxa"/>
            <w:vAlign w:val="bottom"/>
            <w:vMerge w:val="restart"/>
          </w:tcPr>
          <w:p>
            <w:pPr>
              <w:ind w:left="1700"/>
              <w:spacing w:after="0"/>
              <w:rPr>
                <w:sz w:val="20"/>
                <w:szCs w:val="20"/>
                <w:color w:val="auto"/>
              </w:rPr>
            </w:pPr>
            <w:r>
              <w:rPr>
                <w:rFonts w:ascii="Arial" w:cs="Arial" w:eastAsia="Arial" w:hAnsi="Arial"/>
                <w:sz w:val="16"/>
                <w:szCs w:val="16"/>
                <w:color w:val="auto"/>
              </w:rPr>
              <w:t>23</w:t>
            </w: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5"/>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Designated as Hedge Instruments</w:t>
      </w:r>
    </w:p>
    <w:p>
      <w:pPr>
        <w:spacing w:after="0" w:line="24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impacts of cash flow hedges on our Condensed Consolidated Statements of Comprehensive Income and Condensed Consolidated Statements of Income are presented below for the three and six months ended June 30, 2021 and 2020. Note that this presentation does not reflect gains or losses arising from the underlying physical transactions; therefore, it is not indicative of the economic profit or loss we realized when the underlying physical and financial transactions were settled.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3"/>
          </w:tcPr>
          <w:p>
            <w:pPr>
              <w:jc w:val="center"/>
              <w:ind w:right="19"/>
              <w:spacing w:after="0"/>
              <w:rPr>
                <w:sz w:val="20"/>
                <w:szCs w:val="20"/>
                <w:color w:val="auto"/>
              </w:rPr>
            </w:pPr>
            <w:r>
              <w:rPr>
                <w:rFonts w:ascii="Arial" w:cs="Arial" w:eastAsia="Arial" w:hAnsi="Arial"/>
                <w:sz w:val="16"/>
                <w:szCs w:val="16"/>
                <w:color w:val="auto"/>
              </w:rPr>
              <w:t>Three Months Ended June</w:t>
            </w:r>
          </w:p>
        </w:tc>
        <w:tc>
          <w:tcPr>
            <w:tcW w:w="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3"/>
          </w:tcPr>
          <w:p>
            <w:pPr>
              <w:jc w:val="center"/>
              <w:ind w:right="39"/>
              <w:spacing w:after="0"/>
              <w:rPr>
                <w:sz w:val="20"/>
                <w:szCs w:val="20"/>
                <w:color w:val="auto"/>
              </w:rPr>
            </w:pPr>
            <w:r>
              <w:rPr>
                <w:rFonts w:ascii="Arial" w:cs="Arial" w:eastAsia="Arial" w:hAnsi="Arial"/>
                <w:sz w:val="16"/>
                <w:szCs w:val="16"/>
                <w:color w:val="auto"/>
              </w:rPr>
              <w:t>Three Months Ended June</w:t>
            </w:r>
          </w:p>
        </w:tc>
      </w:tr>
      <w:tr>
        <w:trPr>
          <w:trHeight w:val="198"/>
        </w:trPr>
        <w:tc>
          <w:tcPr>
            <w:tcW w:w="3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left="659"/>
              <w:spacing w:after="0"/>
              <w:rPr>
                <w:sz w:val="20"/>
                <w:szCs w:val="20"/>
                <w:color w:val="auto"/>
              </w:rPr>
            </w:pPr>
            <w:r>
              <w:rPr>
                <w:rFonts w:ascii="Arial" w:cs="Arial" w:eastAsia="Arial" w:hAnsi="Arial"/>
                <w:sz w:val="16"/>
                <w:szCs w:val="16"/>
                <w:color w:val="auto"/>
                <w:w w:val="98"/>
              </w:rPr>
              <w:t>30,</w:t>
            </w:r>
          </w:p>
        </w:tc>
        <w:tc>
          <w:tcPr>
            <w:tcW w:w="8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6"/>
                <w:szCs w:val="16"/>
                <w:color w:val="auto"/>
              </w:rPr>
              <w:t>30,</w:t>
            </w:r>
          </w:p>
        </w:tc>
        <w:tc>
          <w:tcPr>
            <w:tcW w:w="780" w:type="dxa"/>
            <w:vAlign w:val="bottom"/>
            <w:tcBorders>
              <w:bottom w:val="single" w:sz="8" w:color="auto"/>
            </w:tcBorders>
          </w:tcPr>
          <w:p>
            <w:pPr>
              <w:spacing w:after="0"/>
              <w:rPr>
                <w:sz w:val="17"/>
                <w:szCs w:val="17"/>
                <w:color w:val="auto"/>
              </w:rPr>
            </w:pPr>
          </w:p>
        </w:tc>
      </w:tr>
      <w:tr>
        <w:trPr>
          <w:trHeight w:val="209"/>
        </w:trPr>
        <w:tc>
          <w:tcPr>
            <w:tcW w:w="3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2020</w:t>
            </w:r>
          </w:p>
        </w:tc>
        <w:tc>
          <w:tcPr>
            <w:tcW w:w="40" w:type="dxa"/>
            <w:vAlign w:val="bottom"/>
            <w:tcBorders>
              <w:bottom w:val="single" w:sz="8" w:color="auto"/>
            </w:tcBorders>
          </w:tcPr>
          <w:p>
            <w:pPr>
              <w:spacing w:after="0"/>
              <w:rPr>
                <w:sz w:val="18"/>
                <w:szCs w:val="18"/>
                <w:color w:val="auto"/>
              </w:rPr>
            </w:pPr>
          </w:p>
        </w:tc>
        <w:tc>
          <w:tcPr>
            <w:tcW w:w="3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r>
      <w:tr>
        <w:trPr>
          <w:trHeight w:val="174"/>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3"/>
          </w:tcPr>
          <w:p>
            <w:pPr>
              <w:jc w:val="center"/>
              <w:ind w:right="39"/>
              <w:spacing w:after="0" w:line="174" w:lineRule="exact"/>
              <w:rPr>
                <w:sz w:val="20"/>
                <w:szCs w:val="20"/>
                <w:color w:val="auto"/>
              </w:rPr>
            </w:pPr>
            <w:r>
              <w:rPr>
                <w:rFonts w:ascii="Arial" w:cs="Arial" w:eastAsia="Arial" w:hAnsi="Arial"/>
                <w:sz w:val="16"/>
                <w:szCs w:val="16"/>
                <w:color w:val="auto"/>
              </w:rPr>
              <w:t>Amount of Gain/(Loss)</w:t>
            </w:r>
          </w:p>
        </w:tc>
      </w:tr>
      <w:tr>
        <w:trPr>
          <w:trHeight w:val="162"/>
        </w:trPr>
        <w:tc>
          <w:tcPr>
            <w:tcW w:w="3460" w:type="dxa"/>
            <w:vAlign w:val="bottom"/>
          </w:tcPr>
          <w:p>
            <w:pPr>
              <w:jc w:val="center"/>
              <w:spacing w:after="0" w:line="162" w:lineRule="exact"/>
              <w:rPr>
                <w:sz w:val="20"/>
                <w:szCs w:val="20"/>
                <w:color w:val="auto"/>
              </w:rPr>
            </w:pPr>
            <w:r>
              <w:rPr>
                <w:rFonts w:ascii="Arial" w:cs="Arial" w:eastAsia="Arial" w:hAnsi="Arial"/>
                <w:sz w:val="16"/>
                <w:szCs w:val="16"/>
                <w:color w:val="auto"/>
              </w:rPr>
              <w:t>Derivatives in Cash Flow Hedging</w:t>
            </w:r>
          </w:p>
        </w:tc>
        <w:tc>
          <w:tcPr>
            <w:tcW w:w="120" w:type="dxa"/>
            <w:vAlign w:val="bottom"/>
          </w:tcPr>
          <w:p>
            <w:pPr>
              <w:spacing w:after="0"/>
              <w:rPr>
                <w:sz w:val="14"/>
                <w:szCs w:val="14"/>
                <w:color w:val="auto"/>
              </w:rPr>
            </w:pPr>
          </w:p>
        </w:tc>
        <w:tc>
          <w:tcPr>
            <w:tcW w:w="2040" w:type="dxa"/>
            <w:vAlign w:val="bottom"/>
            <w:gridSpan w:val="3"/>
          </w:tcPr>
          <w:p>
            <w:pPr>
              <w:jc w:val="center"/>
              <w:ind w:right="19"/>
              <w:spacing w:after="0" w:line="162" w:lineRule="exact"/>
              <w:rPr>
                <w:sz w:val="20"/>
                <w:szCs w:val="20"/>
                <w:color w:val="auto"/>
              </w:rPr>
            </w:pPr>
            <w:r>
              <w:rPr>
                <w:rFonts w:ascii="Arial" w:cs="Arial" w:eastAsia="Arial" w:hAnsi="Arial"/>
                <w:sz w:val="16"/>
                <w:szCs w:val="16"/>
                <w:color w:val="auto"/>
              </w:rPr>
              <w:t>Amount of (Gain)/Loss</w:t>
            </w:r>
          </w:p>
        </w:tc>
        <w:tc>
          <w:tcPr>
            <w:tcW w:w="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60" w:type="dxa"/>
            <w:vAlign w:val="bottom"/>
            <w:gridSpan w:val="4"/>
          </w:tcPr>
          <w:p>
            <w:pPr>
              <w:jc w:val="center"/>
              <w:spacing w:after="0" w:line="162" w:lineRule="exact"/>
              <w:rPr>
                <w:sz w:val="20"/>
                <w:szCs w:val="20"/>
                <w:color w:val="auto"/>
              </w:rPr>
            </w:pPr>
            <w:r>
              <w:rPr>
                <w:rFonts w:ascii="Arial" w:cs="Arial" w:eastAsia="Arial" w:hAnsi="Arial"/>
                <w:sz w:val="16"/>
                <w:szCs w:val="16"/>
                <w:color w:val="auto"/>
              </w:rPr>
              <w:t>Reclassified from AOCI into</w:t>
            </w:r>
          </w:p>
        </w:tc>
      </w:tr>
      <w:tr>
        <w:trPr>
          <w:trHeight w:val="198"/>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Relationships</w:t>
            </w:r>
          </w:p>
        </w:tc>
        <w:tc>
          <w:tcPr>
            <w:tcW w:w="1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Recognized in OCI</w:t>
            </w:r>
          </w:p>
        </w:tc>
        <w:tc>
          <w:tcPr>
            <w:tcW w:w="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Income Statement Location</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left="579"/>
              <w:spacing w:after="0"/>
              <w:rPr>
                <w:sz w:val="20"/>
                <w:szCs w:val="20"/>
                <w:color w:val="auto"/>
              </w:rPr>
            </w:pPr>
            <w:r>
              <w:rPr>
                <w:rFonts w:ascii="Arial" w:cs="Arial" w:eastAsia="Arial" w:hAnsi="Arial"/>
                <w:sz w:val="16"/>
                <w:szCs w:val="16"/>
                <w:color w:val="auto"/>
                <w:w w:val="99"/>
              </w:rPr>
              <w:t>Income</w:t>
            </w:r>
          </w:p>
        </w:tc>
        <w:tc>
          <w:tcPr>
            <w:tcW w:w="780" w:type="dxa"/>
            <w:vAlign w:val="bottom"/>
            <w:tcBorders>
              <w:bottom w:val="single" w:sz="8" w:color="auto"/>
            </w:tcBorders>
          </w:tcPr>
          <w:p>
            <w:pPr>
              <w:spacing w:after="0"/>
              <w:rPr>
                <w:sz w:val="17"/>
                <w:szCs w:val="17"/>
                <w:color w:val="auto"/>
              </w:rPr>
            </w:pPr>
          </w:p>
        </w:tc>
      </w:tr>
      <w:tr>
        <w:trPr>
          <w:trHeight w:val="209"/>
        </w:trPr>
        <w:tc>
          <w:tcPr>
            <w:tcW w:w="3460" w:type="dxa"/>
            <w:vAlign w:val="bottom"/>
            <w:tcBorders>
              <w:bottom w:val="single" w:sz="8" w:color="CEFFE7"/>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center"/>
              <w:ind w:right="19"/>
              <w:spacing w:after="0"/>
              <w:rPr>
                <w:sz w:val="20"/>
                <w:szCs w:val="20"/>
                <w:color w:val="auto"/>
              </w:rPr>
            </w:pPr>
            <w:r>
              <w:rPr>
                <w:rFonts w:ascii="Arial" w:cs="Arial" w:eastAsia="Arial" w:hAnsi="Arial"/>
                <w:sz w:val="16"/>
                <w:szCs w:val="16"/>
                <w:color w:val="auto"/>
              </w:rPr>
              <w:t>(in thousands)</w:t>
            </w:r>
          </w:p>
        </w:tc>
        <w:tc>
          <w:tcPr>
            <w:tcW w:w="40" w:type="dxa"/>
            <w:vAlign w:val="bottom"/>
            <w:tcBorders>
              <w:bottom w:val="single" w:sz="8" w:color="auto"/>
            </w:tcBorders>
          </w:tcPr>
          <w:p>
            <w:pPr>
              <w:spacing w:after="0"/>
              <w:rPr>
                <w:sz w:val="18"/>
                <w:szCs w:val="18"/>
                <w:color w:val="auto"/>
              </w:rPr>
            </w:pPr>
          </w:p>
        </w:tc>
        <w:tc>
          <w:tcPr>
            <w:tcW w:w="3380" w:type="dxa"/>
            <w:vAlign w:val="bottom"/>
            <w:tcBorders>
              <w:bottom w:val="single" w:sz="8" w:color="CEFFE7"/>
            </w:tcBorders>
          </w:tcPr>
          <w:p>
            <w:pPr>
              <w:spacing w:after="0"/>
              <w:rPr>
                <w:sz w:val="18"/>
                <w:szCs w:val="18"/>
                <w:color w:val="auto"/>
              </w:rPr>
            </w:pPr>
          </w:p>
        </w:tc>
        <w:tc>
          <w:tcPr>
            <w:tcW w:w="40" w:type="dxa"/>
            <w:vAlign w:val="bottom"/>
            <w:tcBorders>
              <w:bottom w:val="single" w:sz="8" w:color="CEFFE7"/>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6"/>
                <w:szCs w:val="16"/>
                <w:color w:val="auto"/>
              </w:rPr>
              <w:t>(in thousands)</w:t>
            </w:r>
          </w:p>
        </w:tc>
      </w:tr>
      <w:tr>
        <w:trPr>
          <w:trHeight w:val="160"/>
        </w:trPr>
        <w:tc>
          <w:tcPr>
            <w:tcW w:w="3460" w:type="dxa"/>
            <w:vAlign w:val="bottom"/>
            <w:shd w:val="clear" w:color="auto" w:fill="CEFFE7"/>
          </w:tcPr>
          <w:p>
            <w:pPr>
              <w:spacing w:after="0"/>
              <w:rPr>
                <w:sz w:val="13"/>
                <w:szCs w:val="13"/>
                <w:color w:val="auto"/>
              </w:rPr>
            </w:pPr>
          </w:p>
        </w:tc>
        <w:tc>
          <w:tcPr>
            <w:tcW w:w="120" w:type="dxa"/>
            <w:vAlign w:val="bottom"/>
            <w:shd w:val="clear" w:color="auto" w:fill="CEFFE7"/>
          </w:tcPr>
          <w:p>
            <w:pPr>
              <w:spacing w:after="0"/>
              <w:rPr>
                <w:sz w:val="13"/>
                <w:szCs w:val="13"/>
                <w:color w:val="auto"/>
              </w:rPr>
            </w:pPr>
          </w:p>
        </w:tc>
        <w:tc>
          <w:tcPr>
            <w:tcW w:w="940" w:type="dxa"/>
            <w:vAlign w:val="bottom"/>
            <w:shd w:val="clear" w:color="auto" w:fill="CEFFE7"/>
          </w:tcPr>
          <w:p>
            <w:pPr>
              <w:spacing w:after="0"/>
              <w:rPr>
                <w:sz w:val="13"/>
                <w:szCs w:val="13"/>
                <w:color w:val="auto"/>
              </w:rPr>
            </w:pPr>
          </w:p>
        </w:tc>
        <w:tc>
          <w:tcPr>
            <w:tcW w:w="260" w:type="dxa"/>
            <w:vAlign w:val="bottom"/>
            <w:shd w:val="clear" w:color="auto" w:fill="CEFFE7"/>
          </w:tcPr>
          <w:p>
            <w:pPr>
              <w:spacing w:after="0"/>
              <w:rPr>
                <w:sz w:val="13"/>
                <w:szCs w:val="13"/>
                <w:color w:val="auto"/>
              </w:rPr>
            </w:pPr>
          </w:p>
        </w:tc>
        <w:tc>
          <w:tcPr>
            <w:tcW w:w="840" w:type="dxa"/>
            <w:vAlign w:val="bottom"/>
            <w:shd w:val="clear" w:color="auto" w:fill="CEFFE7"/>
          </w:tcPr>
          <w:p>
            <w:pPr>
              <w:spacing w:after="0"/>
              <w:rPr>
                <w:sz w:val="13"/>
                <w:szCs w:val="13"/>
                <w:color w:val="auto"/>
              </w:rPr>
            </w:pPr>
          </w:p>
        </w:tc>
        <w:tc>
          <w:tcPr>
            <w:tcW w:w="40" w:type="dxa"/>
            <w:vAlign w:val="bottom"/>
            <w:shd w:val="clear" w:color="auto" w:fill="CEFFE7"/>
          </w:tcPr>
          <w:p>
            <w:pPr>
              <w:spacing w:after="0"/>
              <w:rPr>
                <w:sz w:val="13"/>
                <w:szCs w:val="13"/>
                <w:color w:val="auto"/>
              </w:rPr>
            </w:pPr>
          </w:p>
        </w:tc>
        <w:tc>
          <w:tcPr>
            <w:tcW w:w="3380" w:type="dxa"/>
            <w:vAlign w:val="bottom"/>
            <w:shd w:val="clear" w:color="auto" w:fill="CEFFE7"/>
          </w:tcPr>
          <w:p>
            <w:pPr>
              <w:spacing w:after="0" w:line="161" w:lineRule="exact"/>
              <w:rPr>
                <w:sz w:val="20"/>
                <w:szCs w:val="20"/>
                <w:color w:val="auto"/>
              </w:rPr>
            </w:pPr>
            <w:r>
              <w:rPr>
                <w:rFonts w:ascii="Arial" w:cs="Arial" w:eastAsia="Arial" w:hAnsi="Arial"/>
                <w:sz w:val="16"/>
                <w:szCs w:val="16"/>
                <w:color w:val="auto"/>
              </w:rPr>
              <w:t>Interest expense incurred net of amounts</w:t>
            </w:r>
          </w:p>
        </w:tc>
        <w:tc>
          <w:tcPr>
            <w:tcW w:w="40" w:type="dxa"/>
            <w:vAlign w:val="bottom"/>
            <w:shd w:val="clear" w:color="auto" w:fill="CEFFE7"/>
          </w:tcPr>
          <w:p>
            <w:pPr>
              <w:spacing w:after="0"/>
              <w:rPr>
                <w:sz w:val="13"/>
                <w:szCs w:val="13"/>
                <w:color w:val="auto"/>
              </w:rPr>
            </w:pPr>
          </w:p>
        </w:tc>
        <w:tc>
          <w:tcPr>
            <w:tcW w:w="120" w:type="dxa"/>
            <w:vAlign w:val="bottom"/>
            <w:shd w:val="clear" w:color="auto" w:fill="CEFFE7"/>
          </w:tcPr>
          <w:p>
            <w:pPr>
              <w:spacing w:after="0"/>
              <w:rPr>
                <w:sz w:val="13"/>
                <w:szCs w:val="13"/>
                <w:color w:val="auto"/>
              </w:rPr>
            </w:pPr>
          </w:p>
        </w:tc>
        <w:tc>
          <w:tcPr>
            <w:tcW w:w="940" w:type="dxa"/>
            <w:vAlign w:val="bottom"/>
            <w:shd w:val="clear" w:color="auto" w:fill="CEFFE7"/>
          </w:tcPr>
          <w:p>
            <w:pPr>
              <w:spacing w:after="0"/>
              <w:rPr>
                <w:sz w:val="13"/>
                <w:szCs w:val="13"/>
                <w:color w:val="auto"/>
              </w:rPr>
            </w:pPr>
          </w:p>
        </w:tc>
        <w:tc>
          <w:tcPr>
            <w:tcW w:w="320" w:type="dxa"/>
            <w:vAlign w:val="bottom"/>
            <w:shd w:val="clear" w:color="auto" w:fill="CEFFE7"/>
          </w:tcPr>
          <w:p>
            <w:pPr>
              <w:spacing w:after="0"/>
              <w:rPr>
                <w:sz w:val="13"/>
                <w:szCs w:val="13"/>
                <w:color w:val="auto"/>
              </w:rPr>
            </w:pPr>
          </w:p>
        </w:tc>
        <w:tc>
          <w:tcPr>
            <w:tcW w:w="780" w:type="dxa"/>
            <w:vAlign w:val="bottom"/>
            <w:shd w:val="clear" w:color="auto" w:fill="CEFFE7"/>
          </w:tcPr>
          <w:p>
            <w:pPr>
              <w:spacing w:after="0"/>
              <w:rPr>
                <w:sz w:val="13"/>
                <w:szCs w:val="13"/>
                <w:color w:val="auto"/>
              </w:rPr>
            </w:pPr>
          </w:p>
        </w:tc>
      </w:tr>
      <w:tr>
        <w:trPr>
          <w:trHeight w:val="162"/>
        </w:trPr>
        <w:tc>
          <w:tcPr>
            <w:tcW w:w="3460" w:type="dxa"/>
            <w:vAlign w:val="bottom"/>
            <w:shd w:val="clear" w:color="auto" w:fill="CEFFE7"/>
          </w:tcPr>
          <w:p>
            <w:pPr>
              <w:spacing w:after="0"/>
              <w:rPr>
                <w:sz w:val="14"/>
                <w:szCs w:val="14"/>
                <w:color w:val="auto"/>
              </w:rPr>
            </w:pPr>
          </w:p>
        </w:tc>
        <w:tc>
          <w:tcPr>
            <w:tcW w:w="120" w:type="dxa"/>
            <w:vAlign w:val="bottom"/>
            <w:shd w:val="clear" w:color="auto" w:fill="CEFFE7"/>
          </w:tcPr>
          <w:p>
            <w:pPr>
              <w:spacing w:after="0"/>
              <w:rPr>
                <w:sz w:val="14"/>
                <w:szCs w:val="14"/>
                <w:color w:val="auto"/>
              </w:rPr>
            </w:pPr>
          </w:p>
        </w:tc>
        <w:tc>
          <w:tcPr>
            <w:tcW w:w="940" w:type="dxa"/>
            <w:vAlign w:val="bottom"/>
            <w:shd w:val="clear" w:color="auto" w:fill="CEFFE7"/>
          </w:tcPr>
          <w:p>
            <w:pPr>
              <w:spacing w:after="0"/>
              <w:rPr>
                <w:sz w:val="14"/>
                <w:szCs w:val="14"/>
                <w:color w:val="auto"/>
              </w:rPr>
            </w:pPr>
          </w:p>
        </w:tc>
        <w:tc>
          <w:tcPr>
            <w:tcW w:w="260" w:type="dxa"/>
            <w:vAlign w:val="bottom"/>
            <w:shd w:val="clear" w:color="auto" w:fill="CEFFE7"/>
          </w:tcPr>
          <w:p>
            <w:pPr>
              <w:spacing w:after="0"/>
              <w:rPr>
                <w:sz w:val="14"/>
                <w:szCs w:val="14"/>
                <w:color w:val="auto"/>
              </w:rPr>
            </w:pPr>
          </w:p>
        </w:tc>
        <w:tc>
          <w:tcPr>
            <w:tcW w:w="840" w:type="dxa"/>
            <w:vAlign w:val="bottom"/>
            <w:shd w:val="clear" w:color="auto" w:fill="CEFFE7"/>
          </w:tcPr>
          <w:p>
            <w:pPr>
              <w:spacing w:after="0"/>
              <w:rPr>
                <w:sz w:val="14"/>
                <w:szCs w:val="14"/>
                <w:color w:val="auto"/>
              </w:rPr>
            </w:pPr>
          </w:p>
        </w:tc>
        <w:tc>
          <w:tcPr>
            <w:tcW w:w="40" w:type="dxa"/>
            <w:vAlign w:val="bottom"/>
            <w:shd w:val="clear" w:color="auto" w:fill="CEFFE7"/>
          </w:tcPr>
          <w:p>
            <w:pPr>
              <w:spacing w:after="0"/>
              <w:rPr>
                <w:sz w:val="14"/>
                <w:szCs w:val="14"/>
                <w:color w:val="auto"/>
              </w:rPr>
            </w:pPr>
          </w:p>
        </w:tc>
        <w:tc>
          <w:tcPr>
            <w:tcW w:w="3380" w:type="dxa"/>
            <w:vAlign w:val="bottom"/>
            <w:shd w:val="clear" w:color="auto" w:fill="CEFFE7"/>
          </w:tcPr>
          <w:p>
            <w:pPr>
              <w:spacing w:after="0" w:line="162" w:lineRule="exact"/>
              <w:rPr>
                <w:sz w:val="20"/>
                <w:szCs w:val="20"/>
                <w:color w:val="auto"/>
              </w:rPr>
            </w:pPr>
            <w:r>
              <w:rPr>
                <w:rFonts w:ascii="Arial" w:cs="Arial" w:eastAsia="Arial" w:hAnsi="Arial"/>
                <w:sz w:val="16"/>
                <w:szCs w:val="16"/>
                <w:color w:val="auto"/>
              </w:rPr>
              <w:t>capitalized (including amortization of debt</w:t>
            </w:r>
          </w:p>
        </w:tc>
        <w:tc>
          <w:tcPr>
            <w:tcW w:w="40" w:type="dxa"/>
            <w:vAlign w:val="bottom"/>
            <w:shd w:val="clear" w:color="auto" w:fill="CEFFE7"/>
          </w:tcPr>
          <w:p>
            <w:pPr>
              <w:spacing w:after="0"/>
              <w:rPr>
                <w:sz w:val="14"/>
                <w:szCs w:val="14"/>
                <w:color w:val="auto"/>
              </w:rPr>
            </w:pPr>
          </w:p>
        </w:tc>
        <w:tc>
          <w:tcPr>
            <w:tcW w:w="120" w:type="dxa"/>
            <w:vAlign w:val="bottom"/>
            <w:shd w:val="clear" w:color="auto" w:fill="CEFFE7"/>
          </w:tcPr>
          <w:p>
            <w:pPr>
              <w:spacing w:after="0"/>
              <w:rPr>
                <w:sz w:val="14"/>
                <w:szCs w:val="14"/>
                <w:color w:val="auto"/>
              </w:rPr>
            </w:pPr>
          </w:p>
        </w:tc>
        <w:tc>
          <w:tcPr>
            <w:tcW w:w="940" w:type="dxa"/>
            <w:vAlign w:val="bottom"/>
            <w:shd w:val="clear" w:color="auto" w:fill="CEFFE7"/>
          </w:tcPr>
          <w:p>
            <w:pPr>
              <w:spacing w:after="0"/>
              <w:rPr>
                <w:sz w:val="14"/>
                <w:szCs w:val="14"/>
                <w:color w:val="auto"/>
              </w:rPr>
            </w:pPr>
          </w:p>
        </w:tc>
        <w:tc>
          <w:tcPr>
            <w:tcW w:w="320" w:type="dxa"/>
            <w:vAlign w:val="bottom"/>
            <w:shd w:val="clear" w:color="auto" w:fill="CEFFE7"/>
          </w:tcPr>
          <w:p>
            <w:pPr>
              <w:spacing w:after="0"/>
              <w:rPr>
                <w:sz w:val="14"/>
                <w:szCs w:val="14"/>
                <w:color w:val="auto"/>
              </w:rPr>
            </w:pPr>
          </w:p>
        </w:tc>
        <w:tc>
          <w:tcPr>
            <w:tcW w:w="780" w:type="dxa"/>
            <w:vAlign w:val="bottom"/>
            <w:shd w:val="clear" w:color="auto" w:fill="CEFFE7"/>
          </w:tcPr>
          <w:p>
            <w:pPr>
              <w:spacing w:after="0"/>
              <w:rPr>
                <w:sz w:val="14"/>
                <w:szCs w:val="14"/>
                <w:color w:val="auto"/>
              </w:rPr>
            </w:pPr>
          </w:p>
        </w:tc>
      </w:tr>
      <w:tr>
        <w:trPr>
          <w:trHeight w:val="201"/>
        </w:trPr>
        <w:tc>
          <w:tcPr>
            <w:tcW w:w="3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713</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713</w:t>
            </w:r>
          </w:p>
        </w:tc>
        <w:tc>
          <w:tcPr>
            <w:tcW w:w="40" w:type="dxa"/>
            <w:vAlign w:val="bottom"/>
            <w:shd w:val="clear" w:color="auto" w:fill="CEFFE7"/>
          </w:tcPr>
          <w:p>
            <w:pPr>
              <w:spacing w:after="0"/>
              <w:rPr>
                <w:sz w:val="17"/>
                <w:szCs w:val="17"/>
                <w:color w:val="auto"/>
              </w:rPr>
            </w:pPr>
          </w:p>
        </w:tc>
        <w:tc>
          <w:tcPr>
            <w:tcW w:w="3380" w:type="dxa"/>
            <w:vAlign w:val="bottom"/>
            <w:shd w:val="clear" w:color="auto" w:fill="CEFFE7"/>
          </w:tcPr>
          <w:p>
            <w:pPr>
              <w:spacing w:after="0"/>
              <w:rPr>
                <w:sz w:val="20"/>
                <w:szCs w:val="20"/>
                <w:color w:val="auto"/>
              </w:rPr>
            </w:pPr>
            <w:r>
              <w:rPr>
                <w:rFonts w:ascii="Arial" w:cs="Arial" w:eastAsia="Arial" w:hAnsi="Arial"/>
                <w:sz w:val="16"/>
                <w:szCs w:val="16"/>
                <w:color w:val="auto"/>
              </w:rPr>
              <w:t>issuance costs, premiums and discounts)</w:t>
            </w:r>
          </w:p>
        </w:tc>
        <w:tc>
          <w:tcPr>
            <w:tcW w:w="16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center"/>
              <w:ind w:left="479"/>
              <w:spacing w:after="0"/>
              <w:rPr>
                <w:sz w:val="20"/>
                <w:szCs w:val="20"/>
                <w:color w:val="auto"/>
              </w:rPr>
            </w:pPr>
            <w:r>
              <w:rPr>
                <w:rFonts w:ascii="Arial" w:cs="Arial" w:eastAsia="Arial" w:hAnsi="Arial"/>
                <w:sz w:val="16"/>
                <w:szCs w:val="16"/>
                <w:color w:val="auto"/>
              </w:rPr>
              <w:t>(713)</w:t>
            </w:r>
          </w:p>
        </w:tc>
        <w:tc>
          <w:tcPr>
            <w:tcW w:w="320" w:type="dxa"/>
            <w:vAlign w:val="bottom"/>
            <w:shd w:val="clear" w:color="auto" w:fill="CEFFE7"/>
          </w:tcPr>
          <w:p>
            <w:pPr>
              <w:jc w:val="right"/>
              <w:ind w:right="122"/>
              <w:spacing w:after="0"/>
              <w:rPr>
                <w:sz w:val="20"/>
                <w:szCs w:val="20"/>
                <w:color w:val="auto"/>
              </w:rPr>
            </w:pPr>
            <w:r>
              <w:rPr>
                <w:rFonts w:ascii="Arial" w:cs="Arial" w:eastAsia="Arial" w:hAnsi="Arial"/>
                <w:sz w:val="16"/>
                <w:szCs w:val="16"/>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(713)</w:t>
            </w:r>
          </w:p>
        </w:tc>
      </w:tr>
      <w:tr>
        <w:trPr>
          <w:trHeight w:val="177"/>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80" w:type="dxa"/>
            <w:vAlign w:val="bottom"/>
          </w:tcPr>
          <w:p>
            <w:pPr>
              <w:spacing w:after="0" w:line="178" w:lineRule="exact"/>
              <w:rPr>
                <w:sz w:val="20"/>
                <w:szCs w:val="20"/>
                <w:color w:val="auto"/>
              </w:rPr>
            </w:pPr>
            <w:r>
              <w:rPr>
                <w:rFonts w:ascii="Arial" w:cs="Arial" w:eastAsia="Arial" w:hAnsi="Arial"/>
                <w:sz w:val="16"/>
                <w:szCs w:val="16"/>
                <w:color w:val="auto"/>
              </w:rPr>
              <w:t>Fuel, purchased power and cost of natural gas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8"/>
        </w:trPr>
        <w:tc>
          <w:tcPr>
            <w:tcW w:w="346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Commodity derivatives</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40" w:type="dxa"/>
            <w:vAlign w:val="bottom"/>
            <w:tcBorders>
              <w:bottom w:val="single" w:sz="8" w:color="auto"/>
            </w:tcBorders>
          </w:tcPr>
          <w:p>
            <w:pPr>
              <w:spacing w:after="0"/>
              <w:rPr>
                <w:sz w:val="17"/>
                <w:szCs w:val="17"/>
                <w:color w:val="auto"/>
              </w:rPr>
            </w:pPr>
          </w:p>
        </w:tc>
        <w:tc>
          <w:tcPr>
            <w:tcW w:w="3380" w:type="dxa"/>
            <w:vAlign w:val="bottom"/>
            <w:tcBorders>
              <w:bottom w:val="single" w:sz="8" w:color="CEFFE7"/>
            </w:tcBorders>
          </w:tcPr>
          <w:p>
            <w:pPr>
              <w:spacing w:after="0"/>
              <w:rPr>
                <w:sz w:val="20"/>
                <w:szCs w:val="20"/>
                <w:color w:val="auto"/>
              </w:rPr>
            </w:pPr>
            <w:r>
              <w:rPr>
                <w:rFonts w:ascii="Arial" w:cs="Arial" w:eastAsia="Arial" w:hAnsi="Arial"/>
                <w:sz w:val="16"/>
                <w:szCs w:val="16"/>
                <w:color w:val="auto"/>
              </w:rPr>
              <w:t>sold</w:t>
            </w:r>
          </w:p>
        </w:tc>
        <w:tc>
          <w:tcPr>
            <w:tcW w:w="40" w:type="dxa"/>
            <w:vAlign w:val="bottom"/>
            <w:tcBorders>
              <w:bottom w:val="single" w:sz="8" w:color="CEFFE7"/>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232"/>
        </w:trPr>
        <w:tc>
          <w:tcPr>
            <w:tcW w:w="3460" w:type="dxa"/>
            <w:vAlign w:val="bottom"/>
            <w:shd w:val="clear" w:color="auto" w:fill="CEFFE7"/>
          </w:tcPr>
          <w:p>
            <w:pPr>
              <w:ind w:left="36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1,900</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724</w:t>
            </w:r>
          </w:p>
        </w:tc>
        <w:tc>
          <w:tcPr>
            <w:tcW w:w="40" w:type="dxa"/>
            <w:vAlign w:val="bottom"/>
            <w:shd w:val="clear" w:color="auto" w:fill="CEFFE7"/>
          </w:tcPr>
          <w:p>
            <w:pPr>
              <w:spacing w:after="0"/>
              <w:rPr>
                <w:sz w:val="20"/>
                <w:szCs w:val="20"/>
                <w:color w:val="auto"/>
              </w:rPr>
            </w:pPr>
          </w:p>
        </w:tc>
        <w:tc>
          <w:tcPr>
            <w:tcW w:w="3380" w:type="dxa"/>
            <w:vAlign w:val="bottom"/>
            <w:shd w:val="clear" w:color="auto" w:fill="CEFFE7"/>
          </w:tcPr>
          <w:p>
            <w:pPr>
              <w:spacing w:after="0"/>
              <w:rPr>
                <w:sz w:val="20"/>
                <w:szCs w:val="20"/>
                <w:color w:val="auto"/>
              </w:rPr>
            </w:pPr>
          </w:p>
        </w:tc>
        <w:tc>
          <w:tcPr>
            <w:tcW w:w="16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center"/>
              <w:ind w:left="479"/>
              <w:spacing w:after="0"/>
              <w:rPr>
                <w:sz w:val="20"/>
                <w:szCs w:val="20"/>
                <w:color w:val="auto"/>
              </w:rPr>
            </w:pPr>
            <w:r>
              <w:rPr>
                <w:rFonts w:ascii="Arial" w:cs="Arial" w:eastAsia="Arial" w:hAnsi="Arial"/>
                <w:sz w:val="16"/>
                <w:szCs w:val="16"/>
                <w:color w:val="auto"/>
              </w:rPr>
              <w:t>(657)</w:t>
            </w:r>
          </w:p>
        </w:tc>
        <w:tc>
          <w:tcPr>
            <w:tcW w:w="320" w:type="dxa"/>
            <w:vAlign w:val="bottom"/>
            <w:shd w:val="clear" w:color="auto" w:fill="CEFFE7"/>
          </w:tcPr>
          <w:p>
            <w:pPr>
              <w:jc w:val="right"/>
              <w:ind w:right="122"/>
              <w:spacing w:after="0"/>
              <w:rPr>
                <w:sz w:val="20"/>
                <w:szCs w:val="20"/>
                <w:color w:val="auto"/>
              </w:rPr>
            </w:pPr>
            <w:r>
              <w:rPr>
                <w:rFonts w:ascii="Arial" w:cs="Arial" w:eastAsia="Arial" w:hAnsi="Arial"/>
                <w:sz w:val="16"/>
                <w:szCs w:val="16"/>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(783)</w:t>
            </w:r>
          </w:p>
        </w:tc>
      </w:tr>
      <w:tr>
        <w:trPr>
          <w:trHeight w:val="20"/>
        </w:trPr>
        <w:tc>
          <w:tcPr>
            <w:tcW w:w="3460" w:type="dxa"/>
            <w:vAlign w:val="bottom"/>
            <w:tcBorders>
              <w:top w:val="single" w:sz="8" w:color="CEFFE7"/>
            </w:tcBorders>
          </w:tcPr>
          <w:p>
            <w:pPr>
              <w:spacing w:after="0" w:line="20" w:lineRule="exact"/>
              <w:rPr>
                <w:sz w:val="1"/>
                <w:szCs w:val="1"/>
                <w:color w:val="auto"/>
              </w:rPr>
            </w:pPr>
          </w:p>
        </w:tc>
        <w:tc>
          <w:tcPr>
            <w:tcW w:w="2160" w:type="dxa"/>
            <w:vAlign w:val="bottom"/>
            <w:tcBorders>
              <w:top w:val="single" w:sz="8" w:color="auto"/>
              <w:bottom w:val="single" w:sz="8" w:color="auto"/>
            </w:tcBorders>
            <w:gridSpan w:val="4"/>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Borders>
              <w:top w:val="single" w:sz="8" w:color="CEFFE7"/>
            </w:tcBorders>
          </w:tcPr>
          <w:p>
            <w:pPr>
              <w:spacing w:after="0" w:line="20" w:lineRule="exact"/>
              <w:rPr>
                <w:sz w:val="1"/>
                <w:szCs w:val="1"/>
                <w:color w:val="auto"/>
              </w:rPr>
            </w:pPr>
          </w:p>
        </w:tc>
        <w:tc>
          <w:tcPr>
            <w:tcW w:w="40" w:type="dxa"/>
            <w:vAlign w:val="bottom"/>
            <w:tcBorders>
              <w:top w:val="single" w:sz="8" w:color="CEFFE7"/>
            </w:tcBorders>
          </w:tcPr>
          <w:p>
            <w:pPr>
              <w:spacing w:after="0" w:line="20" w:lineRule="exact"/>
              <w:rPr>
                <w:sz w:val="1"/>
                <w:szCs w:val="1"/>
                <w:color w:val="auto"/>
              </w:rPr>
            </w:pPr>
          </w:p>
        </w:tc>
        <w:tc>
          <w:tcPr>
            <w:tcW w:w="2160" w:type="dxa"/>
            <w:vAlign w:val="bottom"/>
            <w:tcBorders>
              <w:top w:val="single" w:sz="8" w:color="auto"/>
              <w:bottom w:val="single" w:sz="8" w:color="auto"/>
            </w:tcBorders>
            <w:gridSpan w:val="4"/>
          </w:tcPr>
          <w:p>
            <w:pPr>
              <w:spacing w:after="0" w:line="20" w:lineRule="exact"/>
              <w:rPr>
                <w:sz w:val="1"/>
                <w:szCs w:val="1"/>
                <w:color w:val="auto"/>
              </w:rPr>
            </w:pPr>
          </w:p>
        </w:tc>
      </w:tr>
      <w:tr>
        <w:trPr>
          <w:trHeight w:val="552"/>
        </w:trPr>
        <w:tc>
          <w:tcPr>
            <w:tcW w:w="3460" w:type="dxa"/>
            <w:vAlign w:val="bottom"/>
          </w:tcPr>
          <w:p>
            <w:pPr>
              <w:spacing w:after="0"/>
              <w:rPr>
                <w:sz w:val="24"/>
                <w:szCs w:val="24"/>
                <w:color w:val="auto"/>
              </w:rPr>
            </w:pPr>
          </w:p>
        </w:tc>
        <w:tc>
          <w:tcPr>
            <w:tcW w:w="21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rPr>
              <w:t>Six Months Ended June 30,</w:t>
            </w:r>
          </w:p>
        </w:tc>
        <w:tc>
          <w:tcPr>
            <w:tcW w:w="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rPr>
              <w:t>Six Months Ended June 30,</w:t>
            </w:r>
          </w:p>
        </w:tc>
      </w:tr>
      <w:tr>
        <w:trPr>
          <w:trHeight w:val="209"/>
        </w:trPr>
        <w:tc>
          <w:tcPr>
            <w:tcW w:w="3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r>
      <w:tr>
        <w:trPr>
          <w:trHeight w:val="174"/>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3"/>
          </w:tcPr>
          <w:p>
            <w:pPr>
              <w:jc w:val="center"/>
              <w:ind w:right="79"/>
              <w:spacing w:after="0" w:line="174" w:lineRule="exact"/>
              <w:rPr>
                <w:sz w:val="20"/>
                <w:szCs w:val="20"/>
                <w:color w:val="auto"/>
              </w:rPr>
            </w:pPr>
            <w:r>
              <w:rPr>
                <w:rFonts w:ascii="Arial" w:cs="Arial" w:eastAsia="Arial" w:hAnsi="Arial"/>
                <w:sz w:val="16"/>
                <w:szCs w:val="16"/>
                <w:color w:val="auto"/>
              </w:rPr>
              <w:t>Amount of Gain/(Loss)</w:t>
            </w:r>
          </w:p>
        </w:tc>
      </w:tr>
      <w:tr>
        <w:trPr>
          <w:trHeight w:val="162"/>
        </w:trPr>
        <w:tc>
          <w:tcPr>
            <w:tcW w:w="3460" w:type="dxa"/>
            <w:vAlign w:val="bottom"/>
          </w:tcPr>
          <w:p>
            <w:pPr>
              <w:jc w:val="center"/>
              <w:spacing w:after="0" w:line="162" w:lineRule="exact"/>
              <w:rPr>
                <w:sz w:val="20"/>
                <w:szCs w:val="20"/>
                <w:color w:val="auto"/>
              </w:rPr>
            </w:pPr>
            <w:r>
              <w:rPr>
                <w:rFonts w:ascii="Arial" w:cs="Arial" w:eastAsia="Arial" w:hAnsi="Arial"/>
                <w:sz w:val="16"/>
                <w:szCs w:val="16"/>
                <w:color w:val="auto"/>
              </w:rPr>
              <w:t>Derivatives in Cash Flow Hedging</w:t>
            </w:r>
          </w:p>
        </w:tc>
        <w:tc>
          <w:tcPr>
            <w:tcW w:w="120" w:type="dxa"/>
            <w:vAlign w:val="bottom"/>
          </w:tcPr>
          <w:p>
            <w:pPr>
              <w:spacing w:after="0"/>
              <w:rPr>
                <w:sz w:val="14"/>
                <w:szCs w:val="14"/>
                <w:color w:val="auto"/>
              </w:rPr>
            </w:pPr>
          </w:p>
        </w:tc>
        <w:tc>
          <w:tcPr>
            <w:tcW w:w="2040" w:type="dxa"/>
            <w:vAlign w:val="bottom"/>
            <w:gridSpan w:val="3"/>
          </w:tcPr>
          <w:p>
            <w:pPr>
              <w:jc w:val="center"/>
              <w:ind w:right="19"/>
              <w:spacing w:after="0" w:line="162" w:lineRule="exact"/>
              <w:rPr>
                <w:sz w:val="20"/>
                <w:szCs w:val="20"/>
                <w:color w:val="auto"/>
              </w:rPr>
            </w:pPr>
            <w:r>
              <w:rPr>
                <w:rFonts w:ascii="Arial" w:cs="Arial" w:eastAsia="Arial" w:hAnsi="Arial"/>
                <w:sz w:val="16"/>
                <w:szCs w:val="16"/>
                <w:color w:val="auto"/>
              </w:rPr>
              <w:t>Amount of (Gain)/Loss</w:t>
            </w:r>
          </w:p>
        </w:tc>
        <w:tc>
          <w:tcPr>
            <w:tcW w:w="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60" w:type="dxa"/>
            <w:vAlign w:val="bottom"/>
            <w:gridSpan w:val="4"/>
          </w:tcPr>
          <w:p>
            <w:pPr>
              <w:jc w:val="center"/>
              <w:spacing w:after="0" w:line="162" w:lineRule="exact"/>
              <w:rPr>
                <w:sz w:val="20"/>
                <w:szCs w:val="20"/>
                <w:color w:val="auto"/>
              </w:rPr>
            </w:pPr>
            <w:r>
              <w:rPr>
                <w:rFonts w:ascii="Arial" w:cs="Arial" w:eastAsia="Arial" w:hAnsi="Arial"/>
                <w:sz w:val="16"/>
                <w:szCs w:val="16"/>
                <w:color w:val="auto"/>
              </w:rPr>
              <w:t>Reclassified from AOCI into</w:t>
            </w:r>
          </w:p>
        </w:tc>
      </w:tr>
      <w:tr>
        <w:trPr>
          <w:trHeight w:val="198"/>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Relationships</w:t>
            </w:r>
          </w:p>
        </w:tc>
        <w:tc>
          <w:tcPr>
            <w:tcW w:w="1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6"/>
                <w:szCs w:val="16"/>
                <w:color w:val="auto"/>
              </w:rPr>
              <w:t>Recognized in OCI</w:t>
            </w:r>
          </w:p>
        </w:tc>
        <w:tc>
          <w:tcPr>
            <w:tcW w:w="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Income Statement Location</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color w:val="auto"/>
                <w:w w:val="99"/>
              </w:rPr>
              <w:t>Income</w:t>
            </w:r>
          </w:p>
        </w:tc>
        <w:tc>
          <w:tcPr>
            <w:tcW w:w="780" w:type="dxa"/>
            <w:vAlign w:val="bottom"/>
            <w:tcBorders>
              <w:bottom w:val="single" w:sz="8" w:color="auto"/>
            </w:tcBorders>
          </w:tcPr>
          <w:p>
            <w:pPr>
              <w:spacing w:after="0"/>
              <w:rPr>
                <w:sz w:val="17"/>
                <w:szCs w:val="17"/>
                <w:color w:val="auto"/>
              </w:rPr>
            </w:pPr>
          </w:p>
        </w:tc>
      </w:tr>
      <w:tr>
        <w:trPr>
          <w:trHeight w:val="209"/>
        </w:trPr>
        <w:tc>
          <w:tcPr>
            <w:tcW w:w="3460" w:type="dxa"/>
            <w:vAlign w:val="bottom"/>
            <w:tcBorders>
              <w:bottom w:val="single" w:sz="8" w:color="CEFFE7"/>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center"/>
              <w:ind w:right="19"/>
              <w:spacing w:after="0"/>
              <w:rPr>
                <w:sz w:val="20"/>
                <w:szCs w:val="20"/>
                <w:color w:val="auto"/>
              </w:rPr>
            </w:pPr>
            <w:r>
              <w:rPr>
                <w:rFonts w:ascii="Arial" w:cs="Arial" w:eastAsia="Arial" w:hAnsi="Arial"/>
                <w:sz w:val="16"/>
                <w:szCs w:val="16"/>
                <w:color w:val="auto"/>
              </w:rPr>
              <w:t>(in thousands)</w:t>
            </w:r>
          </w:p>
        </w:tc>
        <w:tc>
          <w:tcPr>
            <w:tcW w:w="40" w:type="dxa"/>
            <w:vAlign w:val="bottom"/>
            <w:tcBorders>
              <w:bottom w:val="single" w:sz="8" w:color="CEFFE7"/>
            </w:tcBorders>
          </w:tcPr>
          <w:p>
            <w:pPr>
              <w:spacing w:after="0"/>
              <w:rPr>
                <w:sz w:val="18"/>
                <w:szCs w:val="18"/>
                <w:color w:val="auto"/>
              </w:rPr>
            </w:pPr>
          </w:p>
        </w:tc>
        <w:tc>
          <w:tcPr>
            <w:tcW w:w="3380" w:type="dxa"/>
            <w:vAlign w:val="bottom"/>
            <w:tcBorders>
              <w:bottom w:val="single" w:sz="8" w:color="CEFFE7"/>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6"/>
                <w:szCs w:val="16"/>
                <w:color w:val="auto"/>
              </w:rPr>
              <w:t>(in thousands)</w:t>
            </w:r>
          </w:p>
        </w:tc>
      </w:tr>
      <w:tr>
        <w:trPr>
          <w:trHeight w:val="160"/>
        </w:trPr>
        <w:tc>
          <w:tcPr>
            <w:tcW w:w="3460" w:type="dxa"/>
            <w:vAlign w:val="bottom"/>
            <w:shd w:val="clear" w:color="auto" w:fill="CEFFE7"/>
          </w:tcPr>
          <w:p>
            <w:pPr>
              <w:spacing w:after="0"/>
              <w:rPr>
                <w:sz w:val="13"/>
                <w:szCs w:val="13"/>
                <w:color w:val="auto"/>
              </w:rPr>
            </w:pPr>
          </w:p>
        </w:tc>
        <w:tc>
          <w:tcPr>
            <w:tcW w:w="120" w:type="dxa"/>
            <w:vAlign w:val="bottom"/>
            <w:shd w:val="clear" w:color="auto" w:fill="CEFFE7"/>
          </w:tcPr>
          <w:p>
            <w:pPr>
              <w:spacing w:after="0"/>
              <w:rPr>
                <w:sz w:val="13"/>
                <w:szCs w:val="13"/>
                <w:color w:val="auto"/>
              </w:rPr>
            </w:pPr>
          </w:p>
        </w:tc>
        <w:tc>
          <w:tcPr>
            <w:tcW w:w="940" w:type="dxa"/>
            <w:vAlign w:val="bottom"/>
            <w:shd w:val="clear" w:color="auto" w:fill="CEFFE7"/>
          </w:tcPr>
          <w:p>
            <w:pPr>
              <w:spacing w:after="0"/>
              <w:rPr>
                <w:sz w:val="13"/>
                <w:szCs w:val="13"/>
                <w:color w:val="auto"/>
              </w:rPr>
            </w:pPr>
          </w:p>
        </w:tc>
        <w:tc>
          <w:tcPr>
            <w:tcW w:w="260" w:type="dxa"/>
            <w:vAlign w:val="bottom"/>
            <w:shd w:val="clear" w:color="auto" w:fill="CEFFE7"/>
          </w:tcPr>
          <w:p>
            <w:pPr>
              <w:spacing w:after="0"/>
              <w:rPr>
                <w:sz w:val="13"/>
                <w:szCs w:val="13"/>
                <w:color w:val="auto"/>
              </w:rPr>
            </w:pPr>
          </w:p>
        </w:tc>
        <w:tc>
          <w:tcPr>
            <w:tcW w:w="840" w:type="dxa"/>
            <w:vAlign w:val="bottom"/>
            <w:shd w:val="clear" w:color="auto" w:fill="CEFFE7"/>
          </w:tcPr>
          <w:p>
            <w:pPr>
              <w:spacing w:after="0"/>
              <w:rPr>
                <w:sz w:val="13"/>
                <w:szCs w:val="13"/>
                <w:color w:val="auto"/>
              </w:rPr>
            </w:pPr>
          </w:p>
        </w:tc>
        <w:tc>
          <w:tcPr>
            <w:tcW w:w="3420" w:type="dxa"/>
            <w:vAlign w:val="bottom"/>
            <w:gridSpan w:val="2"/>
            <w:shd w:val="clear" w:color="auto" w:fill="CEFFE7"/>
          </w:tcPr>
          <w:p>
            <w:pPr>
              <w:ind w:left="20"/>
              <w:spacing w:after="0" w:line="161" w:lineRule="exact"/>
              <w:rPr>
                <w:sz w:val="20"/>
                <w:szCs w:val="20"/>
                <w:color w:val="auto"/>
              </w:rPr>
            </w:pPr>
            <w:r>
              <w:rPr>
                <w:rFonts w:ascii="Arial" w:cs="Arial" w:eastAsia="Arial" w:hAnsi="Arial"/>
                <w:sz w:val="16"/>
                <w:szCs w:val="16"/>
                <w:color w:val="auto"/>
              </w:rPr>
              <w:t>Interest expense incurred net of amounts</w:t>
            </w:r>
          </w:p>
        </w:tc>
        <w:tc>
          <w:tcPr>
            <w:tcW w:w="40" w:type="dxa"/>
            <w:vAlign w:val="bottom"/>
            <w:shd w:val="clear" w:color="auto" w:fill="CEFFE7"/>
          </w:tcPr>
          <w:p>
            <w:pPr>
              <w:spacing w:after="0"/>
              <w:rPr>
                <w:sz w:val="13"/>
                <w:szCs w:val="13"/>
                <w:color w:val="auto"/>
              </w:rPr>
            </w:pPr>
          </w:p>
        </w:tc>
        <w:tc>
          <w:tcPr>
            <w:tcW w:w="120" w:type="dxa"/>
            <w:vAlign w:val="bottom"/>
            <w:shd w:val="clear" w:color="auto" w:fill="CEFFE7"/>
          </w:tcPr>
          <w:p>
            <w:pPr>
              <w:spacing w:after="0"/>
              <w:rPr>
                <w:sz w:val="13"/>
                <w:szCs w:val="13"/>
                <w:color w:val="auto"/>
              </w:rPr>
            </w:pPr>
          </w:p>
        </w:tc>
        <w:tc>
          <w:tcPr>
            <w:tcW w:w="940" w:type="dxa"/>
            <w:vAlign w:val="bottom"/>
            <w:shd w:val="clear" w:color="auto" w:fill="CEFFE7"/>
          </w:tcPr>
          <w:p>
            <w:pPr>
              <w:spacing w:after="0"/>
              <w:rPr>
                <w:sz w:val="13"/>
                <w:szCs w:val="13"/>
                <w:color w:val="auto"/>
              </w:rPr>
            </w:pPr>
          </w:p>
        </w:tc>
        <w:tc>
          <w:tcPr>
            <w:tcW w:w="320" w:type="dxa"/>
            <w:vAlign w:val="bottom"/>
            <w:shd w:val="clear" w:color="auto" w:fill="CEFFE7"/>
          </w:tcPr>
          <w:p>
            <w:pPr>
              <w:spacing w:after="0"/>
              <w:rPr>
                <w:sz w:val="13"/>
                <w:szCs w:val="13"/>
                <w:color w:val="auto"/>
              </w:rPr>
            </w:pPr>
          </w:p>
        </w:tc>
        <w:tc>
          <w:tcPr>
            <w:tcW w:w="780" w:type="dxa"/>
            <w:vAlign w:val="bottom"/>
            <w:shd w:val="clear" w:color="auto" w:fill="CEFFE7"/>
          </w:tcPr>
          <w:p>
            <w:pPr>
              <w:spacing w:after="0"/>
              <w:rPr>
                <w:sz w:val="13"/>
                <w:szCs w:val="13"/>
                <w:color w:val="auto"/>
              </w:rPr>
            </w:pPr>
          </w:p>
        </w:tc>
      </w:tr>
      <w:tr>
        <w:trPr>
          <w:trHeight w:val="162"/>
        </w:trPr>
        <w:tc>
          <w:tcPr>
            <w:tcW w:w="3460" w:type="dxa"/>
            <w:vAlign w:val="bottom"/>
            <w:shd w:val="clear" w:color="auto" w:fill="CEFFE7"/>
          </w:tcPr>
          <w:p>
            <w:pPr>
              <w:spacing w:after="0"/>
              <w:rPr>
                <w:sz w:val="14"/>
                <w:szCs w:val="14"/>
                <w:color w:val="auto"/>
              </w:rPr>
            </w:pPr>
          </w:p>
        </w:tc>
        <w:tc>
          <w:tcPr>
            <w:tcW w:w="120" w:type="dxa"/>
            <w:vAlign w:val="bottom"/>
            <w:shd w:val="clear" w:color="auto" w:fill="CEFFE7"/>
          </w:tcPr>
          <w:p>
            <w:pPr>
              <w:spacing w:after="0"/>
              <w:rPr>
                <w:sz w:val="14"/>
                <w:szCs w:val="14"/>
                <w:color w:val="auto"/>
              </w:rPr>
            </w:pPr>
          </w:p>
        </w:tc>
        <w:tc>
          <w:tcPr>
            <w:tcW w:w="940" w:type="dxa"/>
            <w:vAlign w:val="bottom"/>
            <w:shd w:val="clear" w:color="auto" w:fill="CEFFE7"/>
          </w:tcPr>
          <w:p>
            <w:pPr>
              <w:spacing w:after="0"/>
              <w:rPr>
                <w:sz w:val="14"/>
                <w:szCs w:val="14"/>
                <w:color w:val="auto"/>
              </w:rPr>
            </w:pPr>
          </w:p>
        </w:tc>
        <w:tc>
          <w:tcPr>
            <w:tcW w:w="260" w:type="dxa"/>
            <w:vAlign w:val="bottom"/>
            <w:shd w:val="clear" w:color="auto" w:fill="CEFFE7"/>
          </w:tcPr>
          <w:p>
            <w:pPr>
              <w:spacing w:after="0"/>
              <w:rPr>
                <w:sz w:val="14"/>
                <w:szCs w:val="14"/>
                <w:color w:val="auto"/>
              </w:rPr>
            </w:pPr>
          </w:p>
        </w:tc>
        <w:tc>
          <w:tcPr>
            <w:tcW w:w="840" w:type="dxa"/>
            <w:vAlign w:val="bottom"/>
            <w:shd w:val="clear" w:color="auto" w:fill="CEFFE7"/>
          </w:tcPr>
          <w:p>
            <w:pPr>
              <w:spacing w:after="0"/>
              <w:rPr>
                <w:sz w:val="14"/>
                <w:szCs w:val="14"/>
                <w:color w:val="auto"/>
              </w:rPr>
            </w:pPr>
          </w:p>
        </w:tc>
        <w:tc>
          <w:tcPr>
            <w:tcW w:w="3420" w:type="dxa"/>
            <w:vAlign w:val="bottom"/>
            <w:gridSpan w:val="2"/>
            <w:shd w:val="clear" w:color="auto" w:fill="CEFFE7"/>
          </w:tcPr>
          <w:p>
            <w:pPr>
              <w:ind w:left="20"/>
              <w:spacing w:after="0" w:line="162" w:lineRule="exact"/>
              <w:rPr>
                <w:sz w:val="20"/>
                <w:szCs w:val="20"/>
                <w:color w:val="auto"/>
              </w:rPr>
            </w:pPr>
            <w:r>
              <w:rPr>
                <w:rFonts w:ascii="Arial" w:cs="Arial" w:eastAsia="Arial" w:hAnsi="Arial"/>
                <w:sz w:val="16"/>
                <w:szCs w:val="16"/>
                <w:color w:val="auto"/>
              </w:rPr>
              <w:t>capitalized (including amortization of debt</w:t>
            </w:r>
          </w:p>
        </w:tc>
        <w:tc>
          <w:tcPr>
            <w:tcW w:w="40" w:type="dxa"/>
            <w:vAlign w:val="bottom"/>
            <w:shd w:val="clear" w:color="auto" w:fill="CEFFE7"/>
          </w:tcPr>
          <w:p>
            <w:pPr>
              <w:spacing w:after="0"/>
              <w:rPr>
                <w:sz w:val="14"/>
                <w:szCs w:val="14"/>
                <w:color w:val="auto"/>
              </w:rPr>
            </w:pPr>
          </w:p>
        </w:tc>
        <w:tc>
          <w:tcPr>
            <w:tcW w:w="120" w:type="dxa"/>
            <w:vAlign w:val="bottom"/>
            <w:shd w:val="clear" w:color="auto" w:fill="CEFFE7"/>
          </w:tcPr>
          <w:p>
            <w:pPr>
              <w:spacing w:after="0"/>
              <w:rPr>
                <w:sz w:val="14"/>
                <w:szCs w:val="14"/>
                <w:color w:val="auto"/>
              </w:rPr>
            </w:pPr>
          </w:p>
        </w:tc>
        <w:tc>
          <w:tcPr>
            <w:tcW w:w="940" w:type="dxa"/>
            <w:vAlign w:val="bottom"/>
            <w:shd w:val="clear" w:color="auto" w:fill="CEFFE7"/>
          </w:tcPr>
          <w:p>
            <w:pPr>
              <w:spacing w:after="0"/>
              <w:rPr>
                <w:sz w:val="14"/>
                <w:szCs w:val="14"/>
                <w:color w:val="auto"/>
              </w:rPr>
            </w:pPr>
          </w:p>
        </w:tc>
        <w:tc>
          <w:tcPr>
            <w:tcW w:w="320" w:type="dxa"/>
            <w:vAlign w:val="bottom"/>
            <w:shd w:val="clear" w:color="auto" w:fill="CEFFE7"/>
          </w:tcPr>
          <w:p>
            <w:pPr>
              <w:spacing w:after="0"/>
              <w:rPr>
                <w:sz w:val="14"/>
                <w:szCs w:val="14"/>
                <w:color w:val="auto"/>
              </w:rPr>
            </w:pPr>
          </w:p>
        </w:tc>
        <w:tc>
          <w:tcPr>
            <w:tcW w:w="780" w:type="dxa"/>
            <w:vAlign w:val="bottom"/>
            <w:shd w:val="clear" w:color="auto" w:fill="CEFFE7"/>
          </w:tcPr>
          <w:p>
            <w:pPr>
              <w:spacing w:after="0"/>
              <w:rPr>
                <w:sz w:val="14"/>
                <w:szCs w:val="14"/>
                <w:color w:val="auto"/>
              </w:rPr>
            </w:pPr>
          </w:p>
        </w:tc>
      </w:tr>
      <w:tr>
        <w:trPr>
          <w:trHeight w:val="201"/>
        </w:trPr>
        <w:tc>
          <w:tcPr>
            <w:tcW w:w="3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1,426</w:t>
            </w:r>
          </w:p>
        </w:tc>
        <w:tc>
          <w:tcPr>
            <w:tcW w:w="2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1,426</w:t>
            </w:r>
          </w:p>
        </w:tc>
        <w:tc>
          <w:tcPr>
            <w:tcW w:w="34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issuance costs, premiums and discounts)</w:t>
            </w:r>
          </w:p>
        </w:tc>
        <w:tc>
          <w:tcPr>
            <w:tcW w:w="16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(1,426)</w:t>
            </w:r>
          </w:p>
        </w:tc>
        <w:tc>
          <w:tcPr>
            <w:tcW w:w="320" w:type="dxa"/>
            <w:vAlign w:val="bottom"/>
            <w:shd w:val="clear" w:color="auto" w:fill="CEFFE7"/>
          </w:tcPr>
          <w:p>
            <w:pPr>
              <w:jc w:val="right"/>
              <w:ind w:right="162"/>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(1,426)</w:t>
            </w:r>
          </w:p>
        </w:tc>
      </w:tr>
      <w:tr>
        <w:trPr>
          <w:trHeight w:val="177"/>
        </w:trPr>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2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Fuel, purchased power and cost of natural gas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8"/>
        </w:trPr>
        <w:tc>
          <w:tcPr>
            <w:tcW w:w="346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Commodity derivatives</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342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sold</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rPr>
              <w:t>25</w:t>
            </w: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w:t>
            </w:r>
          </w:p>
        </w:tc>
      </w:tr>
      <w:tr>
        <w:trPr>
          <w:trHeight w:val="238"/>
        </w:trPr>
        <w:tc>
          <w:tcPr>
            <w:tcW w:w="3460" w:type="dxa"/>
            <w:vAlign w:val="bottom"/>
            <w:tcBorders>
              <w:bottom w:val="single" w:sz="8" w:color="CEFFE7"/>
            </w:tcBorders>
            <w:shd w:val="clear" w:color="auto" w:fill="CEFFE7"/>
          </w:tcPr>
          <w:p>
            <w:pPr>
              <w:ind w:left="3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2,786</w:t>
            </w:r>
          </w:p>
        </w:tc>
        <w:tc>
          <w:tcPr>
            <w:tcW w:w="2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1,694</w:t>
            </w:r>
          </w:p>
        </w:tc>
        <w:tc>
          <w:tcPr>
            <w:tcW w:w="40" w:type="dxa"/>
            <w:vAlign w:val="bottom"/>
            <w:tcBorders>
              <w:bottom w:val="single" w:sz="8" w:color="CEFFE7"/>
            </w:tcBorders>
            <w:shd w:val="clear" w:color="auto" w:fill="CEFFE7"/>
          </w:tcPr>
          <w:p>
            <w:pPr>
              <w:spacing w:after="0"/>
              <w:rPr>
                <w:sz w:val="20"/>
                <w:szCs w:val="20"/>
                <w:color w:val="auto"/>
              </w:rPr>
            </w:pPr>
          </w:p>
        </w:tc>
        <w:tc>
          <w:tcPr>
            <w:tcW w:w="3380" w:type="dxa"/>
            <w:vAlign w:val="bottom"/>
            <w:tcBorders>
              <w:bottom w:val="single" w:sz="8" w:color="CEFFE7"/>
            </w:tcBorders>
            <w:shd w:val="clear" w:color="auto" w:fill="CEFFE7"/>
          </w:tcPr>
          <w:p>
            <w:pPr>
              <w:spacing w:after="0"/>
              <w:rPr>
                <w:sz w:val="20"/>
                <w:szCs w:val="20"/>
                <w:color w:val="auto"/>
              </w:rPr>
            </w:pPr>
          </w:p>
        </w:tc>
        <w:tc>
          <w:tcPr>
            <w:tcW w:w="16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(1,401)</w:t>
            </w:r>
          </w:p>
        </w:tc>
        <w:tc>
          <w:tcPr>
            <w:tcW w:w="320" w:type="dxa"/>
            <w:vAlign w:val="bottom"/>
            <w:tcBorders>
              <w:bottom w:val="single" w:sz="8" w:color="auto"/>
            </w:tcBorders>
            <w:shd w:val="clear" w:color="auto" w:fill="CEFFE7"/>
          </w:tcPr>
          <w:p>
            <w:pPr>
              <w:jc w:val="right"/>
              <w:ind w:right="162"/>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(1,982)</w:t>
            </w:r>
          </w:p>
        </w:tc>
      </w:tr>
      <w:tr>
        <w:trPr>
          <w:trHeight w:val="20"/>
        </w:trPr>
        <w:tc>
          <w:tcPr>
            <w:tcW w:w="346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94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40" w:type="dxa"/>
            <w:vAlign w:val="bottom"/>
            <w:tcBorders>
              <w:top w:val="single" w:sz="8" w:color="CEFFE7"/>
            </w:tcBorders>
          </w:tcPr>
          <w:p>
            <w:pPr>
              <w:spacing w:after="0" w:line="20" w:lineRule="exact"/>
              <w:rPr>
                <w:sz w:val="1"/>
                <w:szCs w:val="1"/>
                <w:color w:val="auto"/>
              </w:rPr>
            </w:pPr>
          </w:p>
        </w:tc>
        <w:tc>
          <w:tcPr>
            <w:tcW w:w="3380" w:type="dxa"/>
            <w:vAlign w:val="bottom"/>
            <w:tcBorders>
              <w:top w:val="single" w:sz="8" w:color="CEFFE7"/>
            </w:tcBorders>
          </w:tcPr>
          <w:p>
            <w:pPr>
              <w:spacing w:after="0" w:line="20" w:lineRule="exact"/>
              <w:rPr>
                <w:sz w:val="1"/>
                <w:szCs w:val="1"/>
                <w:color w:val="auto"/>
              </w:rPr>
            </w:pPr>
          </w:p>
        </w:tc>
        <w:tc>
          <w:tcPr>
            <w:tcW w:w="4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94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As of June 30, 2021, $2.8 million of net losses related to our interest rate swaps and commodity derivatives are expected to be reclassified from AOCI into earnings as losses within the next 12 months. As market prices fluctuate, estimated and actual realized gains or losses will change during future periods.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Not Designated as Hedge Instruments</w:t>
      </w:r>
    </w:p>
    <w:p>
      <w:pPr>
        <w:spacing w:after="0" w:line="248"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The following table summarizes the impacts of derivative instruments not designated as hedge instruments on our Condensed Consolidated Statements of Income for the three and six months ended June 30, 2021 and 2020. Note that this presentation does not reflect gains or losses arising from the underlying physical transactions; therefore, it is not indicative of the economic profit or loss we realized when the underlying physical and financial transactions were settled.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80" w:type="dxa"/>
            <w:vAlign w:val="bottom"/>
            <w:gridSpan w:val="3"/>
          </w:tcPr>
          <w:p>
            <w:pPr>
              <w:jc w:val="center"/>
              <w:ind w:right="179"/>
              <w:spacing w:after="0"/>
              <w:rPr>
                <w:sz w:val="20"/>
                <w:szCs w:val="20"/>
                <w:color w:val="auto"/>
              </w:rPr>
            </w:pPr>
            <w:r>
              <w:rPr>
                <w:rFonts w:ascii="Arial" w:cs="Arial" w:eastAsia="Arial" w:hAnsi="Arial"/>
                <w:sz w:val="16"/>
                <w:szCs w:val="16"/>
                <w:color w:val="auto"/>
              </w:rPr>
              <w:t>Three Months Ended June 30,</w:t>
            </w:r>
          </w:p>
        </w:tc>
        <w:tc>
          <w:tcPr>
            <w:tcW w:w="0" w:type="dxa"/>
            <w:vAlign w:val="bottom"/>
          </w:tcPr>
          <w:p>
            <w:pPr>
              <w:spacing w:after="0"/>
              <w:rPr>
                <w:sz w:val="1"/>
                <w:szCs w:val="1"/>
                <w:color w:val="auto"/>
              </w:rPr>
            </w:pPr>
          </w:p>
        </w:tc>
      </w:tr>
      <w:tr>
        <w:trPr>
          <w:trHeight w:val="219"/>
        </w:trPr>
        <w:tc>
          <w:tcPr>
            <w:tcW w:w="41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2021</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74"/>
        </w:trPr>
        <w:tc>
          <w:tcPr>
            <w:tcW w:w="4100" w:type="dxa"/>
            <w:vAlign w:val="bottom"/>
          </w:tcPr>
          <w:p>
            <w:pPr>
              <w:spacing w:after="0"/>
              <w:rPr>
                <w:sz w:val="15"/>
                <w:szCs w:val="15"/>
                <w:color w:val="auto"/>
              </w:rPr>
            </w:pPr>
          </w:p>
        </w:tc>
        <w:tc>
          <w:tcPr>
            <w:tcW w:w="3580" w:type="dxa"/>
            <w:vAlign w:val="bottom"/>
          </w:tcPr>
          <w:p>
            <w:pPr>
              <w:ind w:left="480"/>
              <w:spacing w:after="0" w:line="174" w:lineRule="exact"/>
              <w:rPr>
                <w:sz w:val="20"/>
                <w:szCs w:val="20"/>
                <w:color w:val="auto"/>
              </w:rPr>
            </w:pPr>
            <w:r>
              <w:rPr>
                <w:rFonts w:ascii="Arial" w:cs="Arial" w:eastAsia="Arial" w:hAnsi="Arial"/>
                <w:sz w:val="16"/>
                <w:szCs w:val="16"/>
                <w:color w:val="auto"/>
              </w:rPr>
              <w:t>Location of Gain/(Loss) on Derivatives</w:t>
            </w:r>
          </w:p>
        </w:tc>
        <w:tc>
          <w:tcPr>
            <w:tcW w:w="280" w:type="dxa"/>
            <w:vAlign w:val="bottom"/>
          </w:tcPr>
          <w:p>
            <w:pPr>
              <w:spacing w:after="0"/>
              <w:rPr>
                <w:sz w:val="15"/>
                <w:szCs w:val="15"/>
                <w:color w:val="auto"/>
              </w:rPr>
            </w:pPr>
          </w:p>
        </w:tc>
        <w:tc>
          <w:tcPr>
            <w:tcW w:w="3280" w:type="dxa"/>
            <w:vAlign w:val="bottom"/>
            <w:gridSpan w:val="3"/>
          </w:tcPr>
          <w:p>
            <w:pPr>
              <w:jc w:val="center"/>
              <w:ind w:right="179"/>
              <w:spacing w:after="0" w:line="174" w:lineRule="exact"/>
              <w:rPr>
                <w:sz w:val="20"/>
                <w:szCs w:val="20"/>
                <w:color w:val="auto"/>
              </w:rPr>
            </w:pPr>
            <w:r>
              <w:rPr>
                <w:rFonts w:ascii="Arial" w:cs="Arial" w:eastAsia="Arial" w:hAnsi="Arial"/>
                <w:sz w:val="16"/>
                <w:szCs w:val="16"/>
                <w:color w:val="auto"/>
              </w:rPr>
              <w:t>Amount of Gain/(Loss) on Derivatives</w:t>
            </w:r>
          </w:p>
        </w:tc>
        <w:tc>
          <w:tcPr>
            <w:tcW w:w="0" w:type="dxa"/>
            <w:vAlign w:val="bottom"/>
          </w:tcPr>
          <w:p>
            <w:pPr>
              <w:spacing w:after="0"/>
              <w:rPr>
                <w:sz w:val="1"/>
                <w:szCs w:val="1"/>
                <w:color w:val="auto"/>
              </w:rPr>
            </w:pPr>
          </w:p>
        </w:tc>
      </w:tr>
      <w:tr>
        <w:trPr>
          <w:trHeight w:val="198"/>
        </w:trPr>
        <w:tc>
          <w:tcPr>
            <w:tcW w:w="41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Derivatives Not Designated as Hedging Instruments</w:t>
            </w:r>
          </w:p>
        </w:tc>
        <w:tc>
          <w:tcPr>
            <w:tcW w:w="358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Recognized in Income</w:t>
            </w:r>
          </w:p>
        </w:tc>
        <w:tc>
          <w:tcPr>
            <w:tcW w:w="28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6"/>
                <w:szCs w:val="16"/>
                <w:color w:val="auto"/>
              </w:rPr>
              <w:t>Recognized in Income</w:t>
            </w: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center"/>
              <w:ind w:left="819"/>
              <w:spacing w:after="0"/>
              <w:rPr>
                <w:sz w:val="20"/>
                <w:szCs w:val="20"/>
                <w:color w:val="auto"/>
              </w:rPr>
            </w:pPr>
            <w:r>
              <w:rPr>
                <w:rFonts w:ascii="Arial" w:cs="Arial" w:eastAsia="Arial" w:hAnsi="Arial"/>
                <w:sz w:val="16"/>
                <w:szCs w:val="16"/>
                <w:color w:val="auto"/>
              </w:rPr>
              <w:t>(in thousands)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00" w:type="dxa"/>
            <w:vAlign w:val="bottom"/>
            <w:shd w:val="clear" w:color="auto" w:fill="CEFFE7"/>
          </w:tcPr>
          <w:p>
            <w:pPr>
              <w:spacing w:after="0"/>
              <w:rPr>
                <w:sz w:val="15"/>
                <w:szCs w:val="15"/>
                <w:color w:val="auto"/>
              </w:rPr>
            </w:pPr>
          </w:p>
        </w:tc>
        <w:tc>
          <w:tcPr>
            <w:tcW w:w="3580" w:type="dxa"/>
            <w:vAlign w:val="bottom"/>
            <w:shd w:val="clear" w:color="auto" w:fill="CEFFE7"/>
          </w:tcPr>
          <w:p>
            <w:pPr>
              <w:ind w:left="120"/>
              <w:spacing w:after="0" w:line="181" w:lineRule="exact"/>
              <w:rPr>
                <w:sz w:val="20"/>
                <w:szCs w:val="20"/>
                <w:color w:val="auto"/>
              </w:rPr>
            </w:pPr>
            <w:r>
              <w:rPr>
                <w:rFonts w:ascii="Arial" w:cs="Arial" w:eastAsia="Arial" w:hAnsi="Arial"/>
                <w:sz w:val="16"/>
                <w:szCs w:val="16"/>
                <w:color w:val="auto"/>
              </w:rPr>
              <w:t>Fuel, purchased power and cost of natural gas</w:t>
            </w:r>
          </w:p>
        </w:tc>
        <w:tc>
          <w:tcPr>
            <w:tcW w:w="280" w:type="dxa"/>
            <w:vAlign w:val="bottom"/>
            <w:shd w:val="clear" w:color="auto" w:fill="CEFFE7"/>
          </w:tcPr>
          <w:p>
            <w:pPr>
              <w:spacing w:after="0"/>
              <w:rPr>
                <w:sz w:val="15"/>
                <w:szCs w:val="15"/>
                <w:color w:val="auto"/>
              </w:rPr>
            </w:pPr>
          </w:p>
        </w:tc>
        <w:tc>
          <w:tcPr>
            <w:tcW w:w="1500" w:type="dxa"/>
            <w:vAlign w:val="bottom"/>
            <w:shd w:val="clear" w:color="auto" w:fill="CEFFE7"/>
          </w:tcPr>
          <w:p>
            <w:pPr>
              <w:spacing w:after="0"/>
              <w:rPr>
                <w:sz w:val="15"/>
                <w:szCs w:val="15"/>
                <w:color w:val="auto"/>
              </w:rPr>
            </w:pPr>
          </w:p>
        </w:tc>
        <w:tc>
          <w:tcPr>
            <w:tcW w:w="620" w:type="dxa"/>
            <w:vAlign w:val="bottom"/>
            <w:shd w:val="clear" w:color="auto" w:fill="CEFFE7"/>
          </w:tcPr>
          <w:p>
            <w:pPr>
              <w:spacing w:after="0"/>
              <w:rPr>
                <w:sz w:val="15"/>
                <w:szCs w:val="15"/>
                <w:color w:val="auto"/>
              </w:rPr>
            </w:pPr>
          </w:p>
        </w:tc>
        <w:tc>
          <w:tcPr>
            <w:tcW w:w="1160" w:type="dxa"/>
            <w:vAlign w:val="bottom"/>
            <w:shd w:val="clear" w:color="auto" w:fill="CEFFE7"/>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10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Commodity derivatives - Electric</w:t>
            </w:r>
          </w:p>
        </w:tc>
        <w:tc>
          <w:tcPr>
            <w:tcW w:w="35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sold</w:t>
            </w:r>
          </w:p>
        </w:tc>
        <w:tc>
          <w:tcPr>
            <w:tcW w:w="2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EFFE7"/>
          </w:tcPr>
          <w:p>
            <w:pPr>
              <w:jc w:val="center"/>
              <w:ind w:left="859"/>
              <w:spacing w:after="0"/>
              <w:rPr>
                <w:sz w:val="20"/>
                <w:szCs w:val="20"/>
                <w:color w:val="auto"/>
              </w:rPr>
            </w:pPr>
            <w:r>
              <w:rPr>
                <w:rFonts w:ascii="Arial" w:cs="Arial" w:eastAsia="Arial" w:hAnsi="Arial"/>
                <w:sz w:val="16"/>
                <w:szCs w:val="16"/>
                <w:color w:val="auto"/>
              </w:rPr>
              <w:t>(3,598)</w:t>
            </w:r>
          </w:p>
        </w:tc>
        <w:tc>
          <w:tcPr>
            <w:tcW w:w="620" w:type="dxa"/>
            <w:vAlign w:val="bottom"/>
            <w:shd w:val="clear" w:color="auto" w:fill="CEFFE7"/>
          </w:tcPr>
          <w:p>
            <w:pPr>
              <w:jc w:val="right"/>
              <w:ind w:right="4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EFFE7"/>
          </w:tcPr>
          <w:p>
            <w:pPr>
              <w:jc w:val="center"/>
              <w:ind w:left="659"/>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177"/>
        </w:trPr>
        <w:tc>
          <w:tcPr>
            <w:tcW w:w="4100" w:type="dxa"/>
            <w:vAlign w:val="bottom"/>
          </w:tcPr>
          <w:p>
            <w:pPr>
              <w:spacing w:after="0"/>
              <w:rPr>
                <w:sz w:val="15"/>
                <w:szCs w:val="15"/>
                <w:color w:val="auto"/>
              </w:rPr>
            </w:pPr>
          </w:p>
        </w:tc>
        <w:tc>
          <w:tcPr>
            <w:tcW w:w="3580" w:type="dxa"/>
            <w:vAlign w:val="bottom"/>
          </w:tcPr>
          <w:p>
            <w:pPr>
              <w:ind w:left="120"/>
              <w:spacing w:after="0" w:line="178" w:lineRule="exact"/>
              <w:rPr>
                <w:sz w:val="20"/>
                <w:szCs w:val="20"/>
                <w:color w:val="auto"/>
              </w:rPr>
            </w:pPr>
            <w:r>
              <w:rPr>
                <w:rFonts w:ascii="Arial" w:cs="Arial" w:eastAsia="Arial" w:hAnsi="Arial"/>
                <w:sz w:val="16"/>
                <w:szCs w:val="16"/>
                <w:color w:val="auto"/>
              </w:rPr>
              <w:t>Fuel, purchased power and cost of natural gas</w:t>
            </w: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1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Commodity derivatives - Natural Gas</w:t>
            </w:r>
          </w:p>
        </w:tc>
        <w:tc>
          <w:tcPr>
            <w:tcW w:w="3580" w:type="dxa"/>
            <w:vAlign w:val="bottom"/>
            <w:tcBorders>
              <w:bottom w:val="single" w:sz="8" w:color="CEFFE7"/>
            </w:tcBorders>
          </w:tcPr>
          <w:p>
            <w:pPr>
              <w:ind w:left="120"/>
              <w:spacing w:after="0"/>
              <w:rPr>
                <w:sz w:val="20"/>
                <w:szCs w:val="20"/>
                <w:color w:val="auto"/>
              </w:rPr>
            </w:pPr>
            <w:r>
              <w:rPr>
                <w:rFonts w:ascii="Arial" w:cs="Arial" w:eastAsia="Arial" w:hAnsi="Arial"/>
                <w:sz w:val="16"/>
                <w:szCs w:val="16"/>
                <w:color w:val="auto"/>
              </w:rPr>
              <w:t>sold</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left="859"/>
              <w:spacing w:after="0"/>
              <w:rPr>
                <w:sz w:val="20"/>
                <w:szCs w:val="20"/>
                <w:color w:val="auto"/>
              </w:rPr>
            </w:pPr>
            <w:r>
              <w:rPr>
                <w:rFonts w:ascii="Arial" w:cs="Arial" w:eastAsia="Arial" w:hAnsi="Arial"/>
                <w:sz w:val="16"/>
                <w:szCs w:val="16"/>
                <w:color w:val="auto"/>
                <w:w w:val="99"/>
              </w:rPr>
              <w:t>1,816</w:t>
            </w: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left="659"/>
              <w:spacing w:after="0"/>
              <w:rPr>
                <w:sz w:val="20"/>
                <w:szCs w:val="20"/>
                <w:color w:val="auto"/>
              </w:rPr>
            </w:pPr>
            <w:r>
              <w:rPr>
                <w:rFonts w:ascii="Arial" w:cs="Arial" w:eastAsia="Arial" w:hAnsi="Arial"/>
                <w:sz w:val="16"/>
                <w:szCs w:val="16"/>
                <w:color w:val="auto"/>
                <w:w w:val="97"/>
              </w:rPr>
              <w:t>449</w:t>
            </w:r>
          </w:p>
        </w:tc>
        <w:tc>
          <w:tcPr>
            <w:tcW w:w="0" w:type="dxa"/>
            <w:vAlign w:val="bottom"/>
          </w:tcPr>
          <w:p>
            <w:pPr>
              <w:spacing w:after="0"/>
              <w:rPr>
                <w:sz w:val="1"/>
                <w:szCs w:val="1"/>
                <w:color w:val="auto"/>
              </w:rPr>
            </w:pPr>
          </w:p>
        </w:tc>
      </w:tr>
      <w:tr>
        <w:trPr>
          <w:trHeight w:val="235"/>
        </w:trPr>
        <w:tc>
          <w:tcPr>
            <w:tcW w:w="4100" w:type="dxa"/>
            <w:vAlign w:val="bottom"/>
            <w:tcBorders>
              <w:bottom w:val="single" w:sz="8" w:color="CEFFE7"/>
            </w:tcBorders>
            <w:shd w:val="clear" w:color="auto" w:fill="CEFFE7"/>
          </w:tcPr>
          <w:p>
            <w:pPr>
              <w:spacing w:after="0"/>
              <w:rPr>
                <w:sz w:val="19"/>
                <w:szCs w:val="19"/>
                <w:color w:val="auto"/>
              </w:rPr>
            </w:pPr>
          </w:p>
        </w:tc>
        <w:tc>
          <w:tcPr>
            <w:tcW w:w="3580" w:type="dxa"/>
            <w:vAlign w:val="bottom"/>
            <w:tcBorders>
              <w:bottom w:val="single" w:sz="8" w:color="CEFFE7"/>
            </w:tcBorders>
            <w:shd w:val="clear" w:color="auto" w:fill="CEFFE7"/>
          </w:tcPr>
          <w:p>
            <w:pPr>
              <w:spacing w:after="0"/>
              <w:rPr>
                <w:sz w:val="19"/>
                <w:szCs w:val="19"/>
                <w:color w:val="auto"/>
              </w:rPr>
            </w:pP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EFFE7"/>
          </w:tcPr>
          <w:p>
            <w:pPr>
              <w:jc w:val="center"/>
              <w:ind w:left="859"/>
              <w:spacing w:after="0"/>
              <w:rPr>
                <w:sz w:val="20"/>
                <w:szCs w:val="20"/>
                <w:color w:val="auto"/>
              </w:rPr>
            </w:pPr>
            <w:r>
              <w:rPr>
                <w:rFonts w:ascii="Arial" w:cs="Arial" w:eastAsia="Arial" w:hAnsi="Arial"/>
                <w:sz w:val="16"/>
                <w:szCs w:val="16"/>
                <w:color w:val="auto"/>
              </w:rPr>
              <w:t>(1,782)</w:t>
            </w:r>
          </w:p>
        </w:tc>
        <w:tc>
          <w:tcPr>
            <w:tcW w:w="620" w:type="dxa"/>
            <w:vAlign w:val="bottom"/>
            <w:tcBorders>
              <w:bottom w:val="single" w:sz="8" w:color="auto"/>
            </w:tcBorders>
            <w:shd w:val="clear" w:color="auto" w:fill="CEFFE7"/>
          </w:tcPr>
          <w:p>
            <w:pPr>
              <w:jc w:val="right"/>
              <w:ind w:right="4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EFFE7"/>
          </w:tcPr>
          <w:p>
            <w:pPr>
              <w:jc w:val="center"/>
              <w:ind w:left="659"/>
              <w:spacing w:after="0"/>
              <w:rPr>
                <w:sz w:val="20"/>
                <w:szCs w:val="20"/>
                <w:color w:val="auto"/>
              </w:rPr>
            </w:pPr>
            <w:r>
              <w:rPr>
                <w:rFonts w:ascii="Arial" w:cs="Arial" w:eastAsia="Arial" w:hAnsi="Arial"/>
                <w:sz w:val="16"/>
                <w:szCs w:val="16"/>
                <w:color w:val="auto"/>
                <w:w w:val="97"/>
              </w:rPr>
              <w:t>245</w:t>
            </w:r>
          </w:p>
        </w:tc>
        <w:tc>
          <w:tcPr>
            <w:tcW w:w="0" w:type="dxa"/>
            <w:vAlign w:val="bottom"/>
          </w:tcPr>
          <w:p>
            <w:pPr>
              <w:spacing w:after="0"/>
              <w:rPr>
                <w:sz w:val="1"/>
                <w:szCs w:val="1"/>
                <w:color w:val="auto"/>
              </w:rPr>
            </w:pPr>
          </w:p>
        </w:tc>
      </w:tr>
      <w:tr>
        <w:trPr>
          <w:trHeight w:val="20"/>
        </w:trPr>
        <w:tc>
          <w:tcPr>
            <w:tcW w:w="4100" w:type="dxa"/>
            <w:vAlign w:val="bottom"/>
            <w:tcBorders>
              <w:top w:val="single" w:sz="8" w:color="CEFFE7"/>
            </w:tcBorders>
          </w:tcPr>
          <w:p>
            <w:pPr>
              <w:spacing w:after="0" w:line="20" w:lineRule="exact"/>
              <w:rPr>
                <w:sz w:val="1"/>
                <w:szCs w:val="1"/>
                <w:color w:val="auto"/>
              </w:rPr>
            </w:pPr>
          </w:p>
        </w:tc>
        <w:tc>
          <w:tcPr>
            <w:tcW w:w="3580" w:type="dxa"/>
            <w:vAlign w:val="bottom"/>
            <w:tcBorders>
              <w:top w:val="single" w:sz="8" w:color="CEFFE7"/>
              <w:bottom w:val="single" w:sz="8" w:color="CEFFE7"/>
            </w:tcBorders>
            <w:vMerge w:val="restart"/>
          </w:tcPr>
          <w:p>
            <w:pPr>
              <w:ind w:left="1440"/>
              <w:spacing w:after="0"/>
              <w:rPr>
                <w:sz w:val="20"/>
                <w:szCs w:val="20"/>
                <w:color w:val="auto"/>
              </w:rPr>
            </w:pPr>
            <w:r>
              <w:rPr>
                <w:rFonts w:ascii="Arial" w:cs="Arial" w:eastAsia="Arial" w:hAnsi="Arial"/>
                <w:sz w:val="16"/>
                <w:szCs w:val="16"/>
                <w:color w:val="auto"/>
              </w:rPr>
              <w:t>24</w:t>
            </w: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500" w:type="dxa"/>
            <w:vAlign w:val="bottom"/>
            <w:tcBorders>
              <w:top w:val="single" w:sz="8" w:color="CEFFE7"/>
              <w:bottom w:val="single" w:sz="8" w:color="auto"/>
            </w:tcBorders>
          </w:tcPr>
          <w:p>
            <w:pPr>
              <w:spacing w:after="0" w:line="20" w:lineRule="exact"/>
              <w:rPr>
                <w:sz w:val="1"/>
                <w:szCs w:val="1"/>
                <w:color w:val="auto"/>
              </w:rPr>
            </w:pPr>
          </w:p>
        </w:tc>
        <w:tc>
          <w:tcPr>
            <w:tcW w:w="62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5"/>
        </w:trPr>
        <w:tc>
          <w:tcPr>
            <w:tcW w:w="410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10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80" w:type="dxa"/>
            <w:vAlign w:val="bottom"/>
            <w:gridSpan w:val="3"/>
          </w:tcPr>
          <w:p>
            <w:pPr>
              <w:jc w:val="center"/>
              <w:ind w:right="179"/>
              <w:spacing w:after="0"/>
              <w:rPr>
                <w:sz w:val="20"/>
                <w:szCs w:val="20"/>
                <w:color w:val="auto"/>
              </w:rPr>
            </w:pPr>
            <w:r>
              <w:rPr>
                <w:rFonts w:ascii="Arial" w:cs="Arial" w:eastAsia="Arial" w:hAnsi="Arial"/>
                <w:sz w:val="16"/>
                <w:szCs w:val="16"/>
                <w:color w:val="auto"/>
              </w:rPr>
              <w:t>Six Months Ended June 30,</w:t>
            </w:r>
          </w:p>
        </w:tc>
      </w:tr>
      <w:tr>
        <w:trPr>
          <w:trHeight w:val="219"/>
        </w:trPr>
        <w:tc>
          <w:tcPr>
            <w:tcW w:w="41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2021</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2020</w:t>
            </w:r>
          </w:p>
        </w:tc>
      </w:tr>
      <w:tr>
        <w:trPr>
          <w:trHeight w:val="174"/>
        </w:trPr>
        <w:tc>
          <w:tcPr>
            <w:tcW w:w="4100" w:type="dxa"/>
            <w:vAlign w:val="bottom"/>
          </w:tcPr>
          <w:p>
            <w:pPr>
              <w:spacing w:after="0"/>
              <w:rPr>
                <w:sz w:val="15"/>
                <w:szCs w:val="15"/>
                <w:color w:val="auto"/>
              </w:rPr>
            </w:pPr>
          </w:p>
        </w:tc>
        <w:tc>
          <w:tcPr>
            <w:tcW w:w="3580" w:type="dxa"/>
            <w:vAlign w:val="bottom"/>
          </w:tcPr>
          <w:p>
            <w:pPr>
              <w:ind w:left="480"/>
              <w:spacing w:after="0" w:line="174" w:lineRule="exact"/>
              <w:rPr>
                <w:sz w:val="20"/>
                <w:szCs w:val="20"/>
                <w:color w:val="auto"/>
              </w:rPr>
            </w:pPr>
            <w:r>
              <w:rPr>
                <w:rFonts w:ascii="Arial" w:cs="Arial" w:eastAsia="Arial" w:hAnsi="Arial"/>
                <w:sz w:val="16"/>
                <w:szCs w:val="16"/>
                <w:color w:val="auto"/>
              </w:rPr>
              <w:t>Location of Gain/(Loss) on Derivatives</w:t>
            </w:r>
          </w:p>
        </w:tc>
        <w:tc>
          <w:tcPr>
            <w:tcW w:w="280" w:type="dxa"/>
            <w:vAlign w:val="bottom"/>
          </w:tcPr>
          <w:p>
            <w:pPr>
              <w:spacing w:after="0"/>
              <w:rPr>
                <w:sz w:val="15"/>
                <w:szCs w:val="15"/>
                <w:color w:val="auto"/>
              </w:rPr>
            </w:pPr>
          </w:p>
        </w:tc>
        <w:tc>
          <w:tcPr>
            <w:tcW w:w="3280" w:type="dxa"/>
            <w:vAlign w:val="bottom"/>
            <w:gridSpan w:val="3"/>
          </w:tcPr>
          <w:p>
            <w:pPr>
              <w:jc w:val="center"/>
              <w:ind w:right="179"/>
              <w:spacing w:after="0" w:line="174" w:lineRule="exact"/>
              <w:rPr>
                <w:sz w:val="20"/>
                <w:szCs w:val="20"/>
                <w:color w:val="auto"/>
              </w:rPr>
            </w:pPr>
            <w:r>
              <w:rPr>
                <w:rFonts w:ascii="Arial" w:cs="Arial" w:eastAsia="Arial" w:hAnsi="Arial"/>
                <w:sz w:val="16"/>
                <w:szCs w:val="16"/>
                <w:color w:val="auto"/>
              </w:rPr>
              <w:t>Amount of Gain/(Loss) on Derivatives</w:t>
            </w:r>
          </w:p>
        </w:tc>
      </w:tr>
      <w:tr>
        <w:trPr>
          <w:trHeight w:val="198"/>
        </w:trPr>
        <w:tc>
          <w:tcPr>
            <w:tcW w:w="41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Derivatives Not Designated as Hedging Instruments</w:t>
            </w:r>
          </w:p>
        </w:tc>
        <w:tc>
          <w:tcPr>
            <w:tcW w:w="358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Recognized in Income</w:t>
            </w:r>
          </w:p>
        </w:tc>
        <w:tc>
          <w:tcPr>
            <w:tcW w:w="28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6"/>
                <w:szCs w:val="16"/>
                <w:color w:val="auto"/>
              </w:rPr>
              <w:t>Recognized in Income</w:t>
            </w:r>
          </w:p>
        </w:tc>
      </w:tr>
      <w:tr>
        <w:trPr>
          <w:trHeight w:val="209"/>
        </w:trPr>
        <w:tc>
          <w:tcPr>
            <w:tcW w:w="41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center"/>
              <w:ind w:left="819"/>
              <w:spacing w:after="0"/>
              <w:rPr>
                <w:sz w:val="20"/>
                <w:szCs w:val="20"/>
                <w:color w:val="auto"/>
              </w:rPr>
            </w:pPr>
            <w:r>
              <w:rPr>
                <w:rFonts w:ascii="Arial" w:cs="Arial" w:eastAsia="Arial" w:hAnsi="Arial"/>
                <w:sz w:val="16"/>
                <w:szCs w:val="16"/>
                <w:color w:val="auto"/>
              </w:rPr>
              <w:t>(in thousands)</w:t>
            </w:r>
          </w:p>
        </w:tc>
        <w:tc>
          <w:tcPr>
            <w:tcW w:w="1160" w:type="dxa"/>
            <w:vAlign w:val="bottom"/>
          </w:tcPr>
          <w:p>
            <w:pPr>
              <w:spacing w:after="0"/>
              <w:rPr>
                <w:sz w:val="18"/>
                <w:szCs w:val="18"/>
                <w:color w:val="auto"/>
              </w:rPr>
            </w:pPr>
          </w:p>
        </w:tc>
      </w:tr>
      <w:tr>
        <w:trPr>
          <w:trHeight w:val="180"/>
        </w:trPr>
        <w:tc>
          <w:tcPr>
            <w:tcW w:w="4100" w:type="dxa"/>
            <w:vAlign w:val="bottom"/>
            <w:shd w:val="clear" w:color="auto" w:fill="CEFFE7"/>
          </w:tcPr>
          <w:p>
            <w:pPr>
              <w:spacing w:after="0"/>
              <w:rPr>
                <w:sz w:val="15"/>
                <w:szCs w:val="15"/>
                <w:color w:val="auto"/>
              </w:rPr>
            </w:pPr>
          </w:p>
        </w:tc>
        <w:tc>
          <w:tcPr>
            <w:tcW w:w="3580" w:type="dxa"/>
            <w:vAlign w:val="bottom"/>
            <w:shd w:val="clear" w:color="auto" w:fill="CEFFE7"/>
          </w:tcPr>
          <w:p>
            <w:pPr>
              <w:ind w:left="120"/>
              <w:spacing w:after="0" w:line="181" w:lineRule="exact"/>
              <w:rPr>
                <w:sz w:val="20"/>
                <w:szCs w:val="20"/>
                <w:color w:val="auto"/>
              </w:rPr>
            </w:pPr>
            <w:r>
              <w:rPr>
                <w:rFonts w:ascii="Arial" w:cs="Arial" w:eastAsia="Arial" w:hAnsi="Arial"/>
                <w:sz w:val="16"/>
                <w:szCs w:val="16"/>
                <w:color w:val="auto"/>
              </w:rPr>
              <w:t>Fuel, purchased power and cost of natural gas</w:t>
            </w:r>
          </w:p>
        </w:tc>
        <w:tc>
          <w:tcPr>
            <w:tcW w:w="280" w:type="dxa"/>
            <w:vAlign w:val="bottom"/>
            <w:shd w:val="clear" w:color="auto" w:fill="CEFFE7"/>
          </w:tcPr>
          <w:p>
            <w:pPr>
              <w:spacing w:after="0"/>
              <w:rPr>
                <w:sz w:val="15"/>
                <w:szCs w:val="15"/>
                <w:color w:val="auto"/>
              </w:rPr>
            </w:pPr>
          </w:p>
        </w:tc>
        <w:tc>
          <w:tcPr>
            <w:tcW w:w="1500" w:type="dxa"/>
            <w:vAlign w:val="bottom"/>
            <w:shd w:val="clear" w:color="auto" w:fill="CEFFE7"/>
          </w:tcPr>
          <w:p>
            <w:pPr>
              <w:spacing w:after="0"/>
              <w:rPr>
                <w:sz w:val="15"/>
                <w:szCs w:val="15"/>
                <w:color w:val="auto"/>
              </w:rPr>
            </w:pPr>
          </w:p>
        </w:tc>
        <w:tc>
          <w:tcPr>
            <w:tcW w:w="620" w:type="dxa"/>
            <w:vAlign w:val="bottom"/>
            <w:shd w:val="clear" w:color="auto" w:fill="CEFFE7"/>
          </w:tcPr>
          <w:p>
            <w:pPr>
              <w:spacing w:after="0"/>
              <w:rPr>
                <w:sz w:val="15"/>
                <w:szCs w:val="15"/>
                <w:color w:val="auto"/>
              </w:rPr>
            </w:pPr>
          </w:p>
        </w:tc>
        <w:tc>
          <w:tcPr>
            <w:tcW w:w="1160" w:type="dxa"/>
            <w:vAlign w:val="bottom"/>
            <w:shd w:val="clear" w:color="auto" w:fill="CEFFE7"/>
          </w:tcPr>
          <w:p>
            <w:pPr>
              <w:spacing w:after="0"/>
              <w:rPr>
                <w:sz w:val="15"/>
                <w:szCs w:val="15"/>
                <w:color w:val="auto"/>
              </w:rPr>
            </w:pPr>
          </w:p>
        </w:tc>
      </w:tr>
      <w:tr>
        <w:trPr>
          <w:trHeight w:val="201"/>
        </w:trPr>
        <w:tc>
          <w:tcPr>
            <w:tcW w:w="410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Commodity derivatives - Electric</w:t>
            </w:r>
          </w:p>
        </w:tc>
        <w:tc>
          <w:tcPr>
            <w:tcW w:w="3580" w:type="dxa"/>
            <w:vAlign w:val="bottom"/>
            <w:shd w:val="clear" w:color="auto" w:fill="CEFFE7"/>
          </w:tcPr>
          <w:p>
            <w:pPr>
              <w:ind w:left="120"/>
              <w:spacing w:after="0"/>
              <w:rPr>
                <w:sz w:val="20"/>
                <w:szCs w:val="20"/>
                <w:color w:val="auto"/>
              </w:rPr>
            </w:pPr>
            <w:r>
              <w:rPr>
                <w:rFonts w:ascii="Arial" w:cs="Arial" w:eastAsia="Arial" w:hAnsi="Arial"/>
                <w:sz w:val="16"/>
                <w:szCs w:val="16"/>
                <w:color w:val="auto"/>
              </w:rPr>
              <w:t>sold</w:t>
            </w:r>
          </w:p>
        </w:tc>
        <w:tc>
          <w:tcPr>
            <w:tcW w:w="280" w:type="dxa"/>
            <w:vAlign w:val="bottom"/>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EFFE7"/>
          </w:tcPr>
          <w:p>
            <w:pPr>
              <w:jc w:val="center"/>
              <w:ind w:left="859"/>
              <w:spacing w:after="0"/>
              <w:rPr>
                <w:sz w:val="20"/>
                <w:szCs w:val="20"/>
                <w:color w:val="auto"/>
              </w:rPr>
            </w:pPr>
            <w:r>
              <w:rPr>
                <w:rFonts w:ascii="Arial" w:cs="Arial" w:eastAsia="Arial" w:hAnsi="Arial"/>
                <w:sz w:val="16"/>
                <w:szCs w:val="16"/>
                <w:color w:val="auto"/>
              </w:rPr>
              <w:t>(5,122)</w:t>
            </w:r>
          </w:p>
        </w:tc>
        <w:tc>
          <w:tcPr>
            <w:tcW w:w="620" w:type="dxa"/>
            <w:vAlign w:val="bottom"/>
            <w:shd w:val="clear" w:color="auto" w:fill="CEFFE7"/>
          </w:tcPr>
          <w:p>
            <w:pPr>
              <w:jc w:val="right"/>
              <w:ind w:right="4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1,158</w:t>
            </w:r>
          </w:p>
        </w:tc>
      </w:tr>
      <w:tr>
        <w:trPr>
          <w:trHeight w:val="177"/>
        </w:trPr>
        <w:tc>
          <w:tcPr>
            <w:tcW w:w="4100" w:type="dxa"/>
            <w:vAlign w:val="bottom"/>
          </w:tcPr>
          <w:p>
            <w:pPr>
              <w:spacing w:after="0"/>
              <w:rPr>
                <w:sz w:val="15"/>
                <w:szCs w:val="15"/>
                <w:color w:val="auto"/>
              </w:rPr>
            </w:pPr>
          </w:p>
        </w:tc>
        <w:tc>
          <w:tcPr>
            <w:tcW w:w="3580" w:type="dxa"/>
            <w:vAlign w:val="bottom"/>
          </w:tcPr>
          <w:p>
            <w:pPr>
              <w:ind w:left="120"/>
              <w:spacing w:after="0" w:line="178" w:lineRule="exact"/>
              <w:rPr>
                <w:sz w:val="20"/>
                <w:szCs w:val="20"/>
                <w:color w:val="auto"/>
              </w:rPr>
            </w:pPr>
            <w:r>
              <w:rPr>
                <w:rFonts w:ascii="Arial" w:cs="Arial" w:eastAsia="Arial" w:hAnsi="Arial"/>
                <w:sz w:val="16"/>
                <w:szCs w:val="16"/>
                <w:color w:val="auto"/>
              </w:rPr>
              <w:t>Fuel, purchased power and cost of natural gas</w:t>
            </w: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98"/>
        </w:trPr>
        <w:tc>
          <w:tcPr>
            <w:tcW w:w="41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Commodity derivatives - Natural Gas</w:t>
            </w:r>
          </w:p>
        </w:tc>
        <w:tc>
          <w:tcPr>
            <w:tcW w:w="3580" w:type="dxa"/>
            <w:vAlign w:val="bottom"/>
            <w:tcBorders>
              <w:bottom w:val="single" w:sz="8" w:color="CEFFE7"/>
            </w:tcBorders>
          </w:tcPr>
          <w:p>
            <w:pPr>
              <w:ind w:left="120"/>
              <w:spacing w:after="0"/>
              <w:rPr>
                <w:sz w:val="20"/>
                <w:szCs w:val="20"/>
                <w:color w:val="auto"/>
              </w:rPr>
            </w:pPr>
            <w:r>
              <w:rPr>
                <w:rFonts w:ascii="Arial" w:cs="Arial" w:eastAsia="Arial" w:hAnsi="Arial"/>
                <w:sz w:val="16"/>
                <w:szCs w:val="16"/>
                <w:color w:val="auto"/>
              </w:rPr>
              <w:t>sold</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left="859"/>
              <w:spacing w:after="0"/>
              <w:rPr>
                <w:sz w:val="20"/>
                <w:szCs w:val="20"/>
                <w:color w:val="auto"/>
              </w:rPr>
            </w:pPr>
            <w:r>
              <w:rPr>
                <w:rFonts w:ascii="Arial" w:cs="Arial" w:eastAsia="Arial" w:hAnsi="Arial"/>
                <w:sz w:val="16"/>
                <w:szCs w:val="16"/>
                <w:color w:val="auto"/>
                <w:w w:val="99"/>
              </w:rPr>
              <w:t>2,182</w:t>
            </w: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w:t>
            </w:r>
          </w:p>
        </w:tc>
      </w:tr>
      <w:tr>
        <w:trPr>
          <w:trHeight w:val="235"/>
        </w:trPr>
        <w:tc>
          <w:tcPr>
            <w:tcW w:w="4100" w:type="dxa"/>
            <w:vAlign w:val="bottom"/>
            <w:tcBorders>
              <w:bottom w:val="single" w:sz="8" w:color="CEFFE7"/>
            </w:tcBorders>
            <w:shd w:val="clear" w:color="auto" w:fill="CEFFE7"/>
          </w:tcPr>
          <w:p>
            <w:pPr>
              <w:spacing w:after="0"/>
              <w:rPr>
                <w:sz w:val="19"/>
                <w:szCs w:val="19"/>
                <w:color w:val="auto"/>
              </w:rPr>
            </w:pPr>
          </w:p>
        </w:tc>
        <w:tc>
          <w:tcPr>
            <w:tcW w:w="3580" w:type="dxa"/>
            <w:vAlign w:val="bottom"/>
            <w:tcBorders>
              <w:bottom w:val="single" w:sz="8" w:color="CEFFE7"/>
            </w:tcBorders>
            <w:shd w:val="clear" w:color="auto" w:fill="CEFFE7"/>
          </w:tcPr>
          <w:p>
            <w:pPr>
              <w:spacing w:after="0"/>
              <w:rPr>
                <w:sz w:val="19"/>
                <w:szCs w:val="19"/>
                <w:color w:val="auto"/>
              </w:rPr>
            </w:pP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EFFE7"/>
          </w:tcPr>
          <w:p>
            <w:pPr>
              <w:jc w:val="center"/>
              <w:ind w:left="859"/>
              <w:spacing w:after="0"/>
              <w:rPr>
                <w:sz w:val="20"/>
                <w:szCs w:val="20"/>
                <w:color w:val="auto"/>
              </w:rPr>
            </w:pPr>
            <w:r>
              <w:rPr>
                <w:rFonts w:ascii="Arial" w:cs="Arial" w:eastAsia="Arial" w:hAnsi="Arial"/>
                <w:sz w:val="16"/>
                <w:szCs w:val="16"/>
                <w:color w:val="auto"/>
              </w:rPr>
              <w:t>(2,940)</w:t>
            </w:r>
          </w:p>
        </w:tc>
        <w:tc>
          <w:tcPr>
            <w:tcW w:w="620" w:type="dxa"/>
            <w:vAlign w:val="bottom"/>
            <w:tcBorders>
              <w:bottom w:val="single" w:sz="8" w:color="auto"/>
            </w:tcBorders>
            <w:shd w:val="clear" w:color="auto" w:fill="CEFFE7"/>
          </w:tcPr>
          <w:p>
            <w:pPr>
              <w:jc w:val="right"/>
              <w:ind w:right="4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2,373</w:t>
            </w:r>
          </w:p>
        </w:tc>
      </w:tr>
      <w:tr>
        <w:trPr>
          <w:trHeight w:val="20"/>
        </w:trPr>
        <w:tc>
          <w:tcPr>
            <w:tcW w:w="4100" w:type="dxa"/>
            <w:vAlign w:val="bottom"/>
            <w:tcBorders>
              <w:top w:val="single" w:sz="8" w:color="CEFFE7"/>
            </w:tcBorders>
          </w:tcPr>
          <w:p>
            <w:pPr>
              <w:spacing w:after="0" w:line="20" w:lineRule="exact"/>
              <w:rPr>
                <w:sz w:val="1"/>
                <w:szCs w:val="1"/>
                <w:color w:val="auto"/>
              </w:rPr>
            </w:pPr>
          </w:p>
        </w:tc>
        <w:tc>
          <w:tcPr>
            <w:tcW w:w="3580" w:type="dxa"/>
            <w:vAlign w:val="bottom"/>
            <w:tcBorders>
              <w:top w:val="single" w:sz="8" w:color="CEFFE7"/>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1500" w:type="dxa"/>
            <w:vAlign w:val="bottom"/>
            <w:tcBorders>
              <w:top w:val="single" w:sz="8" w:color="CEFFE7"/>
              <w:bottom w:val="single" w:sz="8" w:color="auto"/>
            </w:tcBorders>
          </w:tcPr>
          <w:p>
            <w:pPr>
              <w:spacing w:after="0" w:line="20" w:lineRule="exact"/>
              <w:rPr>
                <w:sz w:val="1"/>
                <w:szCs w:val="1"/>
                <w:color w:val="auto"/>
              </w:rPr>
            </w:pPr>
          </w:p>
        </w:tc>
        <w:tc>
          <w:tcPr>
            <w:tcW w:w="62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As discussed above, financial instruments used in our regulated Gas Utilities are not designated as cash flow hedges. There is no earnings impact because the unrealized gains and losses arising from the use of these financial instruments are recorded as Regulatory assets or Regulatory liabilities. The net unrealized losses included in our Regulatory asset or Regulatory liability related to the hedges in our Gas Utilities were $0.1 million and $2.2 million as of June 30, 2021 and December 31, 2020, respectively. For our Electric Utilities, the unrealized gains and losses arising from these derivatives are recognized in the Condensed Consolidated Statements of Income.</w:t>
      </w:r>
    </w:p>
    <w:p>
      <w:pPr>
        <w:spacing w:after="0" w:line="200" w:lineRule="exact"/>
        <w:rPr>
          <w:sz w:val="20"/>
          <w:szCs w:val="20"/>
          <w:color w:val="auto"/>
        </w:rPr>
      </w:pPr>
    </w:p>
    <w:p>
      <w:pPr>
        <w:spacing w:after="0" w:line="253"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268"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use the following fair value hierarchy for determining inputs for our financial instruments. Our assets and liabilities for financial instruments are classified and disclosed in one of the following fair value categories: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Unadjusted quoted prices available in active markets that are accessible at the measurement date for identical unrestricted assets or liabilities.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Level 1 instruments primarily consist of highly liquid and actively traded financial instruments with quoted pricing information on an ongoing basis.</w:t>
      </w:r>
    </w:p>
    <w:p>
      <w:pPr>
        <w:spacing w:after="0" w:line="24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22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u w:val="single" w:color="auto"/>
          <w:color w:val="auto"/>
        </w:rPr>
        <w:t>Level 3</w:t>
      </w:r>
      <w:r>
        <w:rPr>
          <w:rFonts w:ascii="Arial" w:cs="Arial" w:eastAsia="Arial" w:hAnsi="Arial"/>
          <w:sz w:val="16"/>
          <w:szCs w:val="16"/>
          <w:color w:val="auto"/>
        </w:rPr>
        <w:t xml:space="preserve"> — Pricing inputs are generally less observable from objective sources. These inputs reflect management’s best estimate of fair value using its own assumptions about the assumptions a market participant would use in pricing the asset or liability.</w:t>
      </w:r>
    </w:p>
    <w:p>
      <w:pPr>
        <w:spacing w:after="0" w:line="22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spacing w:after="0" w:line="228"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Recurring Fair Value Measurements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264"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commodity contracts for our Utilities segments are valued using the market approach and include forward strip pricing at liquid delivery points, exchange-traded futures, options, basis swaps and over-the-counter swaps and options (Level 2) for wholesale electric energy and natural gas contracts.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CVA based on the credit spreads of the counterparties when we are in an unrealized gain position or on our own credit spread when we are in an unrealized loss position. For additional information, see Note 1 of our Notes to the Consolidated Financial Statements in our 2020 Annual Report on Form 10-K.</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4580" w:type="dxa"/>
            <w:vAlign w:val="bottom"/>
            <w:gridSpan w:val="2"/>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885"/>
        </w:trPr>
        <w:tc>
          <w:tcPr>
            <w:tcW w:w="1360" w:type="dxa"/>
            <w:vAlign w:val="bottom"/>
            <w:tcBorders>
              <w:top w:val="single" w:sz="8" w:color="0000FF"/>
            </w:tcBorders>
          </w:tcPr>
          <w:p>
            <w:pPr>
              <w:spacing w:after="0"/>
              <w:rPr>
                <w:sz w:val="24"/>
                <w:szCs w:val="24"/>
                <w:color w:val="auto"/>
              </w:rPr>
            </w:pPr>
          </w:p>
        </w:tc>
        <w:tc>
          <w:tcPr>
            <w:tcW w:w="3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5"/>
          </w:tcPr>
          <w:p>
            <w:pPr>
              <w:jc w:val="center"/>
              <w:ind w:right="1019"/>
              <w:spacing w:after="0"/>
              <w:rPr>
                <w:sz w:val="20"/>
                <w:szCs w:val="20"/>
                <w:color w:val="auto"/>
              </w:rPr>
            </w:pPr>
            <w:r>
              <w:rPr>
                <w:rFonts w:ascii="Arial" w:cs="Arial" w:eastAsia="Arial" w:hAnsi="Arial"/>
                <w:sz w:val="16"/>
                <w:szCs w:val="16"/>
                <w:color w:val="auto"/>
              </w:rPr>
              <w:t>As of June 30, 2021</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8"/>
        </w:trPr>
        <w:tc>
          <w:tcPr>
            <w:tcW w:w="13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3"/>
          </w:tcPr>
          <w:p>
            <w:pPr>
              <w:jc w:val="center"/>
              <w:ind w:right="39"/>
              <w:spacing w:after="0"/>
              <w:rPr>
                <w:sz w:val="20"/>
                <w:szCs w:val="20"/>
                <w:color w:val="auto"/>
              </w:rPr>
            </w:pPr>
            <w:r>
              <w:rPr>
                <w:rFonts w:ascii="Arial" w:cs="Arial" w:eastAsia="Arial" w:hAnsi="Arial"/>
                <w:sz w:val="16"/>
                <w:szCs w:val="16"/>
                <w:color w:val="auto"/>
              </w:rPr>
              <w:t>Cash Collateral and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62"/>
        </w:trPr>
        <w:tc>
          <w:tcPr>
            <w:tcW w:w="13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3"/>
          </w:tcPr>
          <w:p>
            <w:pPr>
              <w:jc w:val="center"/>
              <w:ind w:right="39"/>
              <w:spacing w:after="0" w:line="162" w:lineRule="exact"/>
              <w:rPr>
                <w:sz w:val="20"/>
                <w:szCs w:val="20"/>
                <w:color w:val="auto"/>
              </w:rPr>
            </w:pPr>
            <w:r>
              <w:rPr>
                <w:rFonts w:ascii="Arial" w:cs="Arial" w:eastAsia="Arial" w:hAnsi="Arial"/>
                <w:sz w:val="16"/>
                <w:szCs w:val="16"/>
                <w:color w:val="auto"/>
              </w:rPr>
              <w:t>Counterparty</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8"/>
        </w:trPr>
        <w:tc>
          <w:tcPr>
            <w:tcW w:w="1360" w:type="dxa"/>
            <w:vAlign w:val="bottom"/>
            <w:tcBorders>
              <w:bottom w:val="single" w:sz="8" w:color="CEFFE7"/>
            </w:tcBorders>
          </w:tcPr>
          <w:p>
            <w:pPr>
              <w:spacing w:after="0"/>
              <w:rPr>
                <w:sz w:val="17"/>
                <w:szCs w:val="17"/>
                <w:color w:val="auto"/>
              </w:rPr>
            </w:pPr>
          </w:p>
        </w:tc>
        <w:tc>
          <w:tcPr>
            <w:tcW w:w="3220" w:type="dxa"/>
            <w:vAlign w:val="bottom"/>
            <w:tcBorders>
              <w:bottom w:val="single" w:sz="8" w:color="CEFFE7"/>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Level 1</w:t>
            </w: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Level 2</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color w:val="auto"/>
              </w:rPr>
              <w:t>Level 3</w:t>
            </w:r>
          </w:p>
        </w:tc>
        <w:tc>
          <w:tcPr>
            <w:tcW w:w="3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479"/>
              <w:spacing w:after="0"/>
              <w:rPr>
                <w:sz w:val="20"/>
                <w:szCs w:val="20"/>
                <w:color w:val="auto"/>
              </w:rPr>
            </w:pPr>
            <w:r>
              <w:rPr>
                <w:rFonts w:ascii="Arial" w:cs="Arial" w:eastAsia="Arial" w:hAnsi="Arial"/>
                <w:sz w:val="16"/>
                <w:szCs w:val="16"/>
                <w:color w:val="auto"/>
                <w:w w:val="98"/>
              </w:rPr>
              <w:t>Netting</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Total</w:t>
            </w:r>
          </w:p>
        </w:tc>
      </w:tr>
      <w:tr>
        <w:trPr>
          <w:trHeight w:val="213"/>
        </w:trPr>
        <w:tc>
          <w:tcPr>
            <w:tcW w:w="1360" w:type="dxa"/>
            <w:vAlign w:val="bottom"/>
            <w:shd w:val="clear" w:color="auto" w:fill="CEFFE7"/>
          </w:tcPr>
          <w:p>
            <w:pPr>
              <w:spacing w:after="0"/>
              <w:rPr>
                <w:sz w:val="18"/>
                <w:szCs w:val="18"/>
                <w:color w:val="auto"/>
              </w:rPr>
            </w:pPr>
          </w:p>
        </w:tc>
        <w:tc>
          <w:tcPr>
            <w:tcW w:w="3220" w:type="dxa"/>
            <w:vAlign w:val="bottom"/>
            <w:shd w:val="clear" w:color="auto" w:fill="CEFFE7"/>
          </w:tcPr>
          <w:p>
            <w:pPr>
              <w:spacing w:after="0"/>
              <w:rPr>
                <w:sz w:val="18"/>
                <w:szCs w:val="18"/>
                <w:color w:val="auto"/>
              </w:rPr>
            </w:pPr>
          </w:p>
        </w:tc>
        <w:tc>
          <w:tcPr>
            <w:tcW w:w="78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2540" w:type="dxa"/>
            <w:vAlign w:val="bottom"/>
            <w:gridSpan w:val="5"/>
            <w:shd w:val="clear" w:color="auto" w:fill="CEFFE7"/>
          </w:tcPr>
          <w:p>
            <w:pPr>
              <w:jc w:val="center"/>
              <w:ind w:right="999"/>
              <w:spacing w:after="0"/>
              <w:rPr>
                <w:sz w:val="20"/>
                <w:szCs w:val="20"/>
                <w:color w:val="auto"/>
              </w:rPr>
            </w:pPr>
            <w:r>
              <w:rPr>
                <w:rFonts w:ascii="Arial" w:cs="Arial" w:eastAsia="Arial" w:hAnsi="Arial"/>
                <w:sz w:val="16"/>
                <w:szCs w:val="16"/>
                <w:color w:val="auto"/>
              </w:rPr>
              <w:t>(in thousands)</w:t>
            </w:r>
          </w:p>
        </w:tc>
        <w:tc>
          <w:tcPr>
            <w:tcW w:w="360" w:type="dxa"/>
            <w:vAlign w:val="bottom"/>
            <w:shd w:val="clear" w:color="auto" w:fill="CEFFE7"/>
          </w:tcPr>
          <w:p>
            <w:pPr>
              <w:spacing w:after="0"/>
              <w:rPr>
                <w:sz w:val="18"/>
                <w:szCs w:val="18"/>
                <w:color w:val="auto"/>
              </w:rPr>
            </w:pPr>
          </w:p>
        </w:tc>
        <w:tc>
          <w:tcPr>
            <w:tcW w:w="1160" w:type="dxa"/>
            <w:vAlign w:val="bottom"/>
            <w:shd w:val="clear" w:color="auto" w:fill="CEFFE7"/>
          </w:tcPr>
          <w:p>
            <w:pPr>
              <w:spacing w:after="0"/>
              <w:rPr>
                <w:sz w:val="18"/>
                <w:szCs w:val="18"/>
                <w:color w:val="auto"/>
              </w:rPr>
            </w:pPr>
          </w:p>
        </w:tc>
      </w:tr>
      <w:tr>
        <w:trPr>
          <w:trHeight w:val="213"/>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Assets: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458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Commodity derivatives — Gas Utilities</w:t>
            </w:r>
          </w:p>
        </w:tc>
        <w:tc>
          <w:tcPr>
            <w:tcW w:w="780" w:type="dxa"/>
            <w:vAlign w:val="bottom"/>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4,895</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680" w:type="dxa"/>
            <w:vAlign w:val="bottom"/>
            <w:shd w:val="clear" w:color="auto" w:fill="CEFFE7"/>
          </w:tcPr>
          <w:p>
            <w:pPr>
              <w:ind w:lef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3"/>
            <w:shd w:val="clear" w:color="auto" w:fill="CEFFE7"/>
          </w:tcPr>
          <w:p>
            <w:pPr>
              <w:jc w:val="right"/>
              <w:spacing w:after="0"/>
              <w:rPr>
                <w:sz w:val="20"/>
                <w:szCs w:val="20"/>
                <w:color w:val="auto"/>
              </w:rPr>
            </w:pPr>
            <w:r>
              <w:rPr>
                <w:rFonts w:ascii="Arial" w:cs="Arial" w:eastAsia="Arial" w:hAnsi="Arial"/>
                <w:sz w:val="16"/>
                <w:szCs w:val="16"/>
                <w:color w:val="auto"/>
              </w:rPr>
              <w:t>(590)</w:t>
            </w:r>
          </w:p>
        </w:tc>
        <w:tc>
          <w:tcPr>
            <w:tcW w:w="36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4,305</w:t>
            </w:r>
          </w:p>
        </w:tc>
      </w:tr>
      <w:tr>
        <w:trPr>
          <w:trHeight w:val="213"/>
        </w:trPr>
        <w:tc>
          <w:tcPr>
            <w:tcW w:w="4580" w:type="dxa"/>
            <w:vAlign w:val="bottom"/>
            <w:tcBorders>
              <w:bottom w:val="single" w:sz="8" w:color="CEFFE7"/>
            </w:tcBorders>
            <w:gridSpan w:val="2"/>
          </w:tcPr>
          <w:p>
            <w:pPr>
              <w:ind w:left="140"/>
              <w:spacing w:after="0"/>
              <w:rPr>
                <w:sz w:val="20"/>
                <w:szCs w:val="20"/>
                <w:color w:val="auto"/>
              </w:rPr>
            </w:pPr>
            <w:r>
              <w:rPr>
                <w:rFonts w:ascii="Arial" w:cs="Arial" w:eastAsia="Arial" w:hAnsi="Arial"/>
                <w:sz w:val="16"/>
                <w:szCs w:val="16"/>
                <w:color w:val="auto"/>
              </w:rPr>
              <w:t>Commodity derivatives — Electric Utilities</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45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4,895</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EFFE7"/>
          </w:tcPr>
          <w:p>
            <w:pPr>
              <w:spacing w:after="0"/>
              <w:rPr>
                <w:sz w:val="20"/>
                <w:szCs w:val="20"/>
                <w:color w:val="auto"/>
              </w:rPr>
            </w:pPr>
          </w:p>
        </w:tc>
        <w:tc>
          <w:tcPr>
            <w:tcW w:w="200" w:type="dxa"/>
            <w:vAlign w:val="bottom"/>
            <w:tcBorders>
              <w:bottom w:val="single" w:sz="8" w:color="auto"/>
            </w:tcBorders>
            <w:shd w:val="clear" w:color="auto" w:fill="CEFFE7"/>
          </w:tcPr>
          <w:p>
            <w:pPr>
              <w:spacing w:after="0"/>
              <w:rPr>
                <w:sz w:val="20"/>
                <w:szCs w:val="20"/>
                <w:color w:val="auto"/>
              </w:rPr>
            </w:pPr>
          </w:p>
        </w:tc>
        <w:tc>
          <w:tcPr>
            <w:tcW w:w="680" w:type="dxa"/>
            <w:vAlign w:val="bottom"/>
            <w:tcBorders>
              <w:bottom w:val="single" w:sz="8" w:color="auto"/>
            </w:tcBorders>
            <w:shd w:val="clear" w:color="auto" w:fill="CEFFE7"/>
          </w:tcPr>
          <w:p>
            <w:pPr>
              <w:ind w:left="3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3"/>
            <w:shd w:val="clear" w:color="auto" w:fill="CEFFE7"/>
          </w:tcPr>
          <w:p>
            <w:pPr>
              <w:jc w:val="right"/>
              <w:spacing w:after="0"/>
              <w:rPr>
                <w:sz w:val="20"/>
                <w:szCs w:val="20"/>
                <w:color w:val="auto"/>
              </w:rPr>
            </w:pPr>
            <w:r>
              <w:rPr>
                <w:rFonts w:ascii="Arial" w:cs="Arial" w:eastAsia="Arial" w:hAnsi="Arial"/>
                <w:sz w:val="16"/>
                <w:szCs w:val="16"/>
                <w:color w:val="auto"/>
              </w:rPr>
              <w:t>(590)</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4,305</w:t>
            </w:r>
          </w:p>
        </w:tc>
      </w:tr>
      <w:tr>
        <w:trPr>
          <w:trHeight w:val="20"/>
        </w:trPr>
        <w:tc>
          <w:tcPr>
            <w:tcW w:w="4580" w:type="dxa"/>
            <w:vAlign w:val="bottom"/>
            <w:tcBorders>
              <w:top w:val="single" w:sz="8" w:color="CEFFE7"/>
            </w:tcBorders>
            <w:gridSpan w:val="2"/>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44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68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44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r>
      <w:tr>
        <w:trPr>
          <w:trHeight w:val="55"/>
        </w:trPr>
        <w:tc>
          <w:tcPr>
            <w:tcW w:w="1360" w:type="dxa"/>
            <w:vAlign w:val="bottom"/>
          </w:tcPr>
          <w:p>
            <w:pPr>
              <w:spacing w:after="0"/>
              <w:rPr>
                <w:sz w:val="4"/>
                <w:szCs w:val="4"/>
                <w:color w:val="auto"/>
              </w:rPr>
            </w:pPr>
          </w:p>
        </w:tc>
        <w:tc>
          <w:tcPr>
            <w:tcW w:w="3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16"/>
        </w:trPr>
        <w:tc>
          <w:tcPr>
            <w:tcW w:w="45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Liabilities:</w:t>
            </w:r>
          </w:p>
        </w:tc>
        <w:tc>
          <w:tcPr>
            <w:tcW w:w="78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680" w:type="dxa"/>
            <w:vAlign w:val="bottom"/>
            <w:shd w:val="clear" w:color="auto" w:fill="CEFFE7"/>
          </w:tcPr>
          <w:p>
            <w:pPr>
              <w:spacing w:after="0"/>
              <w:rPr>
                <w:sz w:val="18"/>
                <w:szCs w:val="18"/>
                <w:color w:val="auto"/>
              </w:rPr>
            </w:pPr>
          </w:p>
        </w:tc>
        <w:tc>
          <w:tcPr>
            <w:tcW w:w="32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900" w:type="dxa"/>
            <w:vAlign w:val="bottom"/>
            <w:shd w:val="clear" w:color="auto" w:fill="CEFFE7"/>
          </w:tcPr>
          <w:p>
            <w:pPr>
              <w:spacing w:after="0"/>
              <w:rPr>
                <w:sz w:val="18"/>
                <w:szCs w:val="18"/>
                <w:color w:val="auto"/>
              </w:rPr>
            </w:pPr>
          </w:p>
        </w:tc>
        <w:tc>
          <w:tcPr>
            <w:tcW w:w="360" w:type="dxa"/>
            <w:vAlign w:val="bottom"/>
            <w:shd w:val="clear" w:color="auto" w:fill="CEFFE7"/>
          </w:tcPr>
          <w:p>
            <w:pPr>
              <w:spacing w:after="0"/>
              <w:rPr>
                <w:sz w:val="18"/>
                <w:szCs w:val="18"/>
                <w:color w:val="auto"/>
              </w:rPr>
            </w:pPr>
          </w:p>
        </w:tc>
        <w:tc>
          <w:tcPr>
            <w:tcW w:w="1160" w:type="dxa"/>
            <w:vAlign w:val="bottom"/>
            <w:shd w:val="clear" w:color="auto" w:fill="CEFFE7"/>
          </w:tcPr>
          <w:p>
            <w:pPr>
              <w:spacing w:after="0"/>
              <w:rPr>
                <w:sz w:val="18"/>
                <w:szCs w:val="18"/>
                <w:color w:val="auto"/>
              </w:rPr>
            </w:pPr>
          </w:p>
        </w:tc>
      </w:tr>
      <w:tr>
        <w:trPr>
          <w:trHeight w:val="213"/>
        </w:trPr>
        <w:tc>
          <w:tcPr>
            <w:tcW w:w="4580" w:type="dxa"/>
            <w:vAlign w:val="bottom"/>
            <w:gridSpan w:val="2"/>
          </w:tcPr>
          <w:p>
            <w:pPr>
              <w:ind w:left="140"/>
              <w:spacing w:after="0"/>
              <w:rPr>
                <w:sz w:val="20"/>
                <w:szCs w:val="20"/>
                <w:color w:val="auto"/>
              </w:rPr>
            </w:pPr>
            <w:r>
              <w:rPr>
                <w:rFonts w:ascii="Arial" w:cs="Arial" w:eastAsia="Arial" w:hAnsi="Arial"/>
                <w:sz w:val="16"/>
                <w:szCs w:val="16"/>
                <w:color w:val="auto"/>
              </w:rPr>
              <w:t>Commodity derivatives — Gas Utilities</w:t>
            </w: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200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30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59"/>
              <w:spacing w:after="0"/>
              <w:rPr>
                <w:sz w:val="20"/>
                <w:szCs w:val="20"/>
                <w:color w:val="auto"/>
              </w:rPr>
            </w:pPr>
            <w:r>
              <w:rPr>
                <w:rFonts w:ascii="Arial" w:cs="Arial" w:eastAsia="Arial" w:hAnsi="Arial"/>
                <w:sz w:val="16"/>
                <w:szCs w:val="16"/>
                <w:color w:val="auto"/>
              </w:rPr>
              <w:t>— $</w:t>
            </w:r>
          </w:p>
        </w:tc>
        <w:tc>
          <w:tcPr>
            <w:tcW w:w="116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6"/>
        </w:trPr>
        <w:tc>
          <w:tcPr>
            <w:tcW w:w="458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Commodity derivatives — Electric Utilities</w:t>
            </w:r>
          </w:p>
        </w:tc>
        <w:tc>
          <w:tcPr>
            <w:tcW w:w="78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4,978</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EFFE7"/>
          </w:tcPr>
          <w:p>
            <w:pPr>
              <w:spacing w:after="0"/>
              <w:rPr>
                <w:sz w:val="18"/>
                <w:szCs w:val="18"/>
                <w:color w:val="auto"/>
              </w:rPr>
            </w:pPr>
          </w:p>
        </w:tc>
        <w:tc>
          <w:tcPr>
            <w:tcW w:w="200" w:type="dxa"/>
            <w:vAlign w:val="bottom"/>
            <w:tcBorders>
              <w:bottom w:val="single" w:sz="8" w:color="auto"/>
            </w:tcBorders>
            <w:shd w:val="clear" w:color="auto" w:fill="CEFFE7"/>
          </w:tcPr>
          <w:p>
            <w:pPr>
              <w:spacing w:after="0"/>
              <w:rPr>
                <w:sz w:val="18"/>
                <w:szCs w:val="18"/>
                <w:color w:val="auto"/>
              </w:rPr>
            </w:pPr>
          </w:p>
        </w:tc>
        <w:tc>
          <w:tcPr>
            <w:tcW w:w="680" w:type="dxa"/>
            <w:vAlign w:val="bottom"/>
            <w:tcBorders>
              <w:bottom w:val="single" w:sz="8" w:color="auto"/>
            </w:tcBorders>
            <w:shd w:val="clear" w:color="auto" w:fill="CEFFE7"/>
          </w:tcPr>
          <w:p>
            <w:pPr>
              <w:ind w:left="3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EFFE7"/>
          </w:tcPr>
          <w:p>
            <w:pPr>
              <w:spacing w:after="0"/>
              <w:rPr>
                <w:sz w:val="18"/>
                <w:szCs w:val="18"/>
                <w:color w:val="auto"/>
              </w:rPr>
            </w:pPr>
          </w:p>
        </w:tc>
        <w:tc>
          <w:tcPr>
            <w:tcW w:w="20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4,978</w:t>
            </w:r>
          </w:p>
        </w:tc>
      </w:tr>
      <w:tr>
        <w:trPr>
          <w:trHeight w:val="213"/>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5,178</w:t>
            </w:r>
          </w:p>
        </w:tc>
      </w:tr>
      <w:tr>
        <w:trPr>
          <w:trHeight w:val="21"/>
        </w:trPr>
        <w:tc>
          <w:tcPr>
            <w:tcW w:w="13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14"/>
        </w:trPr>
        <w:tc>
          <w:tcPr>
            <w:tcW w:w="1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6"/>
          </w:tcPr>
          <w:p>
            <w:pPr>
              <w:jc w:val="center"/>
              <w:ind w:right="819"/>
              <w:spacing w:after="0"/>
              <w:rPr>
                <w:sz w:val="20"/>
                <w:szCs w:val="20"/>
                <w:color w:val="auto"/>
              </w:rPr>
            </w:pPr>
            <w:r>
              <w:rPr>
                <w:rFonts w:ascii="Arial" w:cs="Arial" w:eastAsia="Arial" w:hAnsi="Arial"/>
                <w:sz w:val="16"/>
                <w:szCs w:val="16"/>
                <w:color w:val="auto"/>
              </w:rPr>
              <w:t>As of December 31, 2020</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8"/>
        </w:trPr>
        <w:tc>
          <w:tcPr>
            <w:tcW w:w="13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3"/>
          </w:tcPr>
          <w:p>
            <w:pPr>
              <w:jc w:val="center"/>
              <w:ind w:right="39"/>
              <w:spacing w:after="0"/>
              <w:rPr>
                <w:sz w:val="20"/>
                <w:szCs w:val="20"/>
                <w:color w:val="auto"/>
              </w:rPr>
            </w:pPr>
            <w:r>
              <w:rPr>
                <w:rFonts w:ascii="Arial" w:cs="Arial" w:eastAsia="Arial" w:hAnsi="Arial"/>
                <w:sz w:val="16"/>
                <w:szCs w:val="16"/>
                <w:color w:val="auto"/>
              </w:rPr>
              <w:t>Cash Collateral and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62"/>
        </w:trPr>
        <w:tc>
          <w:tcPr>
            <w:tcW w:w="13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3"/>
          </w:tcPr>
          <w:p>
            <w:pPr>
              <w:jc w:val="center"/>
              <w:ind w:right="39"/>
              <w:spacing w:after="0" w:line="162" w:lineRule="exact"/>
              <w:rPr>
                <w:sz w:val="20"/>
                <w:szCs w:val="20"/>
                <w:color w:val="auto"/>
              </w:rPr>
            </w:pPr>
            <w:r>
              <w:rPr>
                <w:rFonts w:ascii="Arial" w:cs="Arial" w:eastAsia="Arial" w:hAnsi="Arial"/>
                <w:sz w:val="16"/>
                <w:szCs w:val="16"/>
                <w:color w:val="auto"/>
              </w:rPr>
              <w:t>Counterparty</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8"/>
        </w:trPr>
        <w:tc>
          <w:tcPr>
            <w:tcW w:w="1360" w:type="dxa"/>
            <w:vAlign w:val="bottom"/>
            <w:tcBorders>
              <w:bottom w:val="single" w:sz="8" w:color="CEFFE7"/>
            </w:tcBorders>
          </w:tcPr>
          <w:p>
            <w:pPr>
              <w:spacing w:after="0"/>
              <w:rPr>
                <w:sz w:val="17"/>
                <w:szCs w:val="17"/>
                <w:color w:val="auto"/>
              </w:rPr>
            </w:pPr>
          </w:p>
        </w:tc>
        <w:tc>
          <w:tcPr>
            <w:tcW w:w="3220" w:type="dxa"/>
            <w:vAlign w:val="bottom"/>
            <w:tcBorders>
              <w:bottom w:val="single" w:sz="8" w:color="CEFFE7"/>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Level 1</w:t>
            </w: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Level 2</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color w:val="auto"/>
              </w:rPr>
              <w:t>Level 3</w:t>
            </w:r>
          </w:p>
        </w:tc>
        <w:tc>
          <w:tcPr>
            <w:tcW w:w="3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479"/>
              <w:spacing w:after="0"/>
              <w:rPr>
                <w:sz w:val="20"/>
                <w:szCs w:val="20"/>
                <w:color w:val="auto"/>
              </w:rPr>
            </w:pPr>
            <w:r>
              <w:rPr>
                <w:rFonts w:ascii="Arial" w:cs="Arial" w:eastAsia="Arial" w:hAnsi="Arial"/>
                <w:sz w:val="16"/>
                <w:szCs w:val="16"/>
                <w:color w:val="auto"/>
                <w:w w:val="98"/>
              </w:rPr>
              <w:t>Netting</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Total</w:t>
            </w:r>
          </w:p>
        </w:tc>
      </w:tr>
      <w:tr>
        <w:trPr>
          <w:trHeight w:val="213"/>
        </w:trPr>
        <w:tc>
          <w:tcPr>
            <w:tcW w:w="1360" w:type="dxa"/>
            <w:vAlign w:val="bottom"/>
            <w:shd w:val="clear" w:color="auto" w:fill="CEFFE7"/>
          </w:tcPr>
          <w:p>
            <w:pPr>
              <w:spacing w:after="0"/>
              <w:rPr>
                <w:sz w:val="18"/>
                <w:szCs w:val="18"/>
                <w:color w:val="auto"/>
              </w:rPr>
            </w:pPr>
          </w:p>
        </w:tc>
        <w:tc>
          <w:tcPr>
            <w:tcW w:w="3220" w:type="dxa"/>
            <w:vAlign w:val="bottom"/>
            <w:shd w:val="clear" w:color="auto" w:fill="CEFFE7"/>
          </w:tcPr>
          <w:p>
            <w:pPr>
              <w:spacing w:after="0"/>
              <w:rPr>
                <w:sz w:val="18"/>
                <w:szCs w:val="18"/>
                <w:color w:val="auto"/>
              </w:rPr>
            </w:pPr>
          </w:p>
        </w:tc>
        <w:tc>
          <w:tcPr>
            <w:tcW w:w="78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2540" w:type="dxa"/>
            <w:vAlign w:val="bottom"/>
            <w:gridSpan w:val="5"/>
            <w:shd w:val="clear" w:color="auto" w:fill="CEFFE7"/>
          </w:tcPr>
          <w:p>
            <w:pPr>
              <w:jc w:val="center"/>
              <w:ind w:right="999"/>
              <w:spacing w:after="0"/>
              <w:rPr>
                <w:sz w:val="20"/>
                <w:szCs w:val="20"/>
                <w:color w:val="auto"/>
              </w:rPr>
            </w:pPr>
            <w:r>
              <w:rPr>
                <w:rFonts w:ascii="Arial" w:cs="Arial" w:eastAsia="Arial" w:hAnsi="Arial"/>
                <w:sz w:val="16"/>
                <w:szCs w:val="16"/>
                <w:color w:val="auto"/>
              </w:rPr>
              <w:t>(in thousands)</w:t>
            </w:r>
          </w:p>
        </w:tc>
        <w:tc>
          <w:tcPr>
            <w:tcW w:w="360" w:type="dxa"/>
            <w:vAlign w:val="bottom"/>
            <w:shd w:val="clear" w:color="auto" w:fill="CEFFE7"/>
          </w:tcPr>
          <w:p>
            <w:pPr>
              <w:spacing w:after="0"/>
              <w:rPr>
                <w:sz w:val="18"/>
                <w:szCs w:val="18"/>
                <w:color w:val="auto"/>
              </w:rPr>
            </w:pPr>
          </w:p>
        </w:tc>
        <w:tc>
          <w:tcPr>
            <w:tcW w:w="1160" w:type="dxa"/>
            <w:vAlign w:val="bottom"/>
            <w:shd w:val="clear" w:color="auto" w:fill="CEFFE7"/>
          </w:tcPr>
          <w:p>
            <w:pPr>
              <w:spacing w:after="0"/>
              <w:rPr>
                <w:sz w:val="18"/>
                <w:szCs w:val="18"/>
                <w:color w:val="auto"/>
              </w:rPr>
            </w:pPr>
          </w:p>
        </w:tc>
      </w:tr>
      <w:tr>
        <w:trPr>
          <w:trHeight w:val="213"/>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Assets: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458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Commodity derivatives — Gas Utilities</w:t>
            </w:r>
          </w:p>
        </w:tc>
        <w:tc>
          <w:tcPr>
            <w:tcW w:w="780" w:type="dxa"/>
            <w:vAlign w:val="bottom"/>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2,504</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680" w:type="dxa"/>
            <w:vAlign w:val="bottom"/>
            <w:shd w:val="clear" w:color="auto" w:fill="CEFFE7"/>
          </w:tcPr>
          <w:p>
            <w:pPr>
              <w:ind w:lef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3"/>
            <w:shd w:val="clear" w:color="auto" w:fill="CEFFE7"/>
          </w:tcPr>
          <w:p>
            <w:pPr>
              <w:jc w:val="right"/>
              <w:spacing w:after="0"/>
              <w:rPr>
                <w:sz w:val="20"/>
                <w:szCs w:val="20"/>
                <w:color w:val="auto"/>
              </w:rPr>
            </w:pPr>
            <w:r>
              <w:rPr>
                <w:rFonts w:ascii="Arial" w:cs="Arial" w:eastAsia="Arial" w:hAnsi="Arial"/>
                <w:sz w:val="16"/>
                <w:szCs w:val="16"/>
                <w:color w:val="auto"/>
              </w:rPr>
              <w:t>(1,527)</w:t>
            </w:r>
          </w:p>
        </w:tc>
        <w:tc>
          <w:tcPr>
            <w:tcW w:w="36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977</w:t>
            </w:r>
          </w:p>
        </w:tc>
      </w:tr>
      <w:tr>
        <w:trPr>
          <w:trHeight w:val="213"/>
        </w:trPr>
        <w:tc>
          <w:tcPr>
            <w:tcW w:w="4580" w:type="dxa"/>
            <w:vAlign w:val="bottom"/>
            <w:tcBorders>
              <w:bottom w:val="single" w:sz="8" w:color="CEFFE7"/>
            </w:tcBorders>
            <w:gridSpan w:val="2"/>
          </w:tcPr>
          <w:p>
            <w:pPr>
              <w:ind w:left="140"/>
              <w:spacing w:after="0"/>
              <w:rPr>
                <w:sz w:val="20"/>
                <w:szCs w:val="20"/>
                <w:color w:val="auto"/>
              </w:rPr>
            </w:pPr>
            <w:r>
              <w:rPr>
                <w:rFonts w:ascii="Arial" w:cs="Arial" w:eastAsia="Arial" w:hAnsi="Arial"/>
                <w:sz w:val="16"/>
                <w:szCs w:val="16"/>
                <w:color w:val="auto"/>
              </w:rPr>
              <w:t>Commodity derivatives — Electric Utilities</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w:t>
            </w:r>
          </w:p>
        </w:tc>
      </w:tr>
      <w:tr>
        <w:trPr>
          <w:trHeight w:val="238"/>
        </w:trPr>
        <w:tc>
          <w:tcPr>
            <w:tcW w:w="45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3,569</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EFFE7"/>
          </w:tcPr>
          <w:p>
            <w:pPr>
              <w:spacing w:after="0"/>
              <w:rPr>
                <w:sz w:val="20"/>
                <w:szCs w:val="20"/>
                <w:color w:val="auto"/>
              </w:rPr>
            </w:pPr>
          </w:p>
        </w:tc>
        <w:tc>
          <w:tcPr>
            <w:tcW w:w="200" w:type="dxa"/>
            <w:vAlign w:val="bottom"/>
            <w:tcBorders>
              <w:bottom w:val="single" w:sz="8" w:color="auto"/>
            </w:tcBorders>
            <w:shd w:val="clear" w:color="auto" w:fill="CEFFE7"/>
          </w:tcPr>
          <w:p>
            <w:pPr>
              <w:spacing w:after="0"/>
              <w:rPr>
                <w:sz w:val="20"/>
                <w:szCs w:val="20"/>
                <w:color w:val="auto"/>
              </w:rPr>
            </w:pPr>
          </w:p>
        </w:tc>
        <w:tc>
          <w:tcPr>
            <w:tcW w:w="680" w:type="dxa"/>
            <w:vAlign w:val="bottom"/>
            <w:tcBorders>
              <w:bottom w:val="single" w:sz="8" w:color="auto"/>
            </w:tcBorders>
            <w:shd w:val="clear" w:color="auto" w:fill="CEFFE7"/>
          </w:tcPr>
          <w:p>
            <w:pPr>
              <w:ind w:left="3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3"/>
            <w:shd w:val="clear" w:color="auto" w:fill="CEFFE7"/>
          </w:tcPr>
          <w:p>
            <w:pPr>
              <w:jc w:val="right"/>
              <w:spacing w:after="0"/>
              <w:rPr>
                <w:sz w:val="20"/>
                <w:szCs w:val="20"/>
                <w:color w:val="auto"/>
              </w:rPr>
            </w:pPr>
            <w:r>
              <w:rPr>
                <w:rFonts w:ascii="Arial" w:cs="Arial" w:eastAsia="Arial" w:hAnsi="Arial"/>
                <w:sz w:val="16"/>
                <w:szCs w:val="16"/>
                <w:color w:val="auto"/>
              </w:rPr>
              <w:t>(1,527)</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2,042</w:t>
            </w:r>
          </w:p>
        </w:tc>
      </w:tr>
      <w:tr>
        <w:trPr>
          <w:trHeight w:val="20"/>
        </w:trPr>
        <w:tc>
          <w:tcPr>
            <w:tcW w:w="4580" w:type="dxa"/>
            <w:vAlign w:val="bottom"/>
            <w:tcBorders>
              <w:top w:val="single" w:sz="8" w:color="CEFFE7"/>
            </w:tcBorders>
            <w:gridSpan w:val="2"/>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44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68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44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r>
      <w:tr>
        <w:trPr>
          <w:trHeight w:val="55"/>
        </w:trPr>
        <w:tc>
          <w:tcPr>
            <w:tcW w:w="1360" w:type="dxa"/>
            <w:vAlign w:val="bottom"/>
          </w:tcPr>
          <w:p>
            <w:pPr>
              <w:spacing w:after="0"/>
              <w:rPr>
                <w:sz w:val="4"/>
                <w:szCs w:val="4"/>
                <w:color w:val="auto"/>
              </w:rPr>
            </w:pPr>
          </w:p>
        </w:tc>
        <w:tc>
          <w:tcPr>
            <w:tcW w:w="3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16"/>
        </w:trPr>
        <w:tc>
          <w:tcPr>
            <w:tcW w:w="45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Liabilities:</w:t>
            </w:r>
          </w:p>
        </w:tc>
        <w:tc>
          <w:tcPr>
            <w:tcW w:w="78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680" w:type="dxa"/>
            <w:vAlign w:val="bottom"/>
            <w:shd w:val="clear" w:color="auto" w:fill="CEFFE7"/>
          </w:tcPr>
          <w:p>
            <w:pPr>
              <w:spacing w:after="0"/>
              <w:rPr>
                <w:sz w:val="18"/>
                <w:szCs w:val="18"/>
                <w:color w:val="auto"/>
              </w:rPr>
            </w:pPr>
          </w:p>
        </w:tc>
        <w:tc>
          <w:tcPr>
            <w:tcW w:w="320" w:type="dxa"/>
            <w:vAlign w:val="bottom"/>
            <w:shd w:val="clear" w:color="auto" w:fill="CEFFE7"/>
          </w:tcPr>
          <w:p>
            <w:pPr>
              <w:spacing w:after="0"/>
              <w:rPr>
                <w:sz w:val="18"/>
                <w:szCs w:val="18"/>
                <w:color w:val="auto"/>
              </w:rPr>
            </w:pPr>
          </w:p>
        </w:tc>
        <w:tc>
          <w:tcPr>
            <w:tcW w:w="44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900" w:type="dxa"/>
            <w:vAlign w:val="bottom"/>
            <w:shd w:val="clear" w:color="auto" w:fill="CEFFE7"/>
          </w:tcPr>
          <w:p>
            <w:pPr>
              <w:spacing w:after="0"/>
              <w:rPr>
                <w:sz w:val="18"/>
                <w:szCs w:val="18"/>
                <w:color w:val="auto"/>
              </w:rPr>
            </w:pPr>
          </w:p>
        </w:tc>
        <w:tc>
          <w:tcPr>
            <w:tcW w:w="360" w:type="dxa"/>
            <w:vAlign w:val="bottom"/>
            <w:shd w:val="clear" w:color="auto" w:fill="CEFFE7"/>
          </w:tcPr>
          <w:p>
            <w:pPr>
              <w:spacing w:after="0"/>
              <w:rPr>
                <w:sz w:val="18"/>
                <w:szCs w:val="18"/>
                <w:color w:val="auto"/>
              </w:rPr>
            </w:pPr>
          </w:p>
        </w:tc>
        <w:tc>
          <w:tcPr>
            <w:tcW w:w="1160" w:type="dxa"/>
            <w:vAlign w:val="bottom"/>
            <w:shd w:val="clear" w:color="auto" w:fill="CEFFE7"/>
          </w:tcPr>
          <w:p>
            <w:pPr>
              <w:spacing w:after="0"/>
              <w:rPr>
                <w:sz w:val="18"/>
                <w:szCs w:val="18"/>
                <w:color w:val="auto"/>
              </w:rPr>
            </w:pPr>
          </w:p>
        </w:tc>
      </w:tr>
      <w:tr>
        <w:trPr>
          <w:trHeight w:val="213"/>
        </w:trPr>
        <w:tc>
          <w:tcPr>
            <w:tcW w:w="4580" w:type="dxa"/>
            <w:vAlign w:val="bottom"/>
            <w:gridSpan w:val="2"/>
          </w:tcPr>
          <w:p>
            <w:pPr>
              <w:ind w:left="140"/>
              <w:spacing w:after="0"/>
              <w:rPr>
                <w:sz w:val="20"/>
                <w:szCs w:val="20"/>
                <w:color w:val="auto"/>
              </w:rPr>
            </w:pPr>
            <w:r>
              <w:rPr>
                <w:rFonts w:ascii="Arial" w:cs="Arial" w:eastAsia="Arial" w:hAnsi="Arial"/>
                <w:sz w:val="16"/>
                <w:szCs w:val="16"/>
                <w:color w:val="auto"/>
              </w:rPr>
              <w:t>Commodity derivatives — Gas Utilities</w:t>
            </w: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Pr>
          <w:p>
            <w:pPr>
              <w:ind w:left="20"/>
              <w:spacing w:after="0"/>
              <w:rPr>
                <w:sz w:val="20"/>
                <w:szCs w:val="20"/>
                <w:color w:val="auto"/>
              </w:rPr>
            </w:pPr>
            <w:r>
              <w:rPr>
                <w:rFonts w:ascii="Arial" w:cs="Arial" w:eastAsia="Arial" w:hAnsi="Arial"/>
                <w:sz w:val="16"/>
                <w:szCs w:val="16"/>
                <w:color w:val="auto"/>
              </w:rPr>
              <w:t>— $</w:t>
            </w:r>
          </w:p>
        </w:tc>
        <w:tc>
          <w:tcPr>
            <w:tcW w:w="840" w:type="dxa"/>
            <w:vAlign w:val="bottom"/>
          </w:tcPr>
          <w:p>
            <w:pPr>
              <w:jc w:val="right"/>
              <w:spacing w:after="0"/>
              <w:rPr>
                <w:sz w:val="20"/>
                <w:szCs w:val="20"/>
                <w:color w:val="auto"/>
              </w:rPr>
            </w:pPr>
            <w:r>
              <w:rPr>
                <w:rFonts w:ascii="Arial" w:cs="Arial" w:eastAsia="Arial" w:hAnsi="Arial"/>
                <w:sz w:val="16"/>
                <w:szCs w:val="16"/>
                <w:color w:val="auto"/>
              </w:rPr>
              <w:t>2,675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30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(1,552)</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1,123</w:t>
            </w:r>
          </w:p>
        </w:tc>
      </w:tr>
      <w:tr>
        <w:trPr>
          <w:trHeight w:val="216"/>
        </w:trPr>
        <w:tc>
          <w:tcPr>
            <w:tcW w:w="4580" w:type="dxa"/>
            <w:vAlign w:val="bottom"/>
            <w:gridSpan w:val="2"/>
            <w:shd w:val="clear" w:color="auto" w:fill="CEFFE7"/>
          </w:tcPr>
          <w:p>
            <w:pPr>
              <w:ind w:left="140"/>
              <w:spacing w:after="0"/>
              <w:rPr>
                <w:sz w:val="20"/>
                <w:szCs w:val="20"/>
                <w:color w:val="auto"/>
              </w:rPr>
            </w:pPr>
            <w:r>
              <w:rPr>
                <w:rFonts w:ascii="Arial" w:cs="Arial" w:eastAsia="Arial" w:hAnsi="Arial"/>
                <w:sz w:val="16"/>
                <w:szCs w:val="16"/>
                <w:color w:val="auto"/>
              </w:rPr>
              <w:t>Commodity derivatives — Electric Utilities</w:t>
            </w:r>
          </w:p>
        </w:tc>
        <w:tc>
          <w:tcPr>
            <w:tcW w:w="780" w:type="dxa"/>
            <w:vAlign w:val="bottom"/>
            <w:tcBorders>
              <w:bottom w:val="single" w:sz="8" w:color="auto"/>
            </w:tcBorders>
            <w:shd w:val="clear" w:color="auto" w:fill="CEFFE7"/>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921</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EFFE7"/>
          </w:tcPr>
          <w:p>
            <w:pPr>
              <w:spacing w:after="0"/>
              <w:rPr>
                <w:sz w:val="18"/>
                <w:szCs w:val="18"/>
                <w:color w:val="auto"/>
              </w:rPr>
            </w:pPr>
          </w:p>
        </w:tc>
        <w:tc>
          <w:tcPr>
            <w:tcW w:w="200" w:type="dxa"/>
            <w:vAlign w:val="bottom"/>
            <w:tcBorders>
              <w:bottom w:val="single" w:sz="8" w:color="auto"/>
            </w:tcBorders>
            <w:shd w:val="clear" w:color="auto" w:fill="CEFFE7"/>
          </w:tcPr>
          <w:p>
            <w:pPr>
              <w:spacing w:after="0"/>
              <w:rPr>
                <w:sz w:val="18"/>
                <w:szCs w:val="18"/>
                <w:color w:val="auto"/>
              </w:rPr>
            </w:pPr>
          </w:p>
        </w:tc>
        <w:tc>
          <w:tcPr>
            <w:tcW w:w="680" w:type="dxa"/>
            <w:vAlign w:val="bottom"/>
            <w:tcBorders>
              <w:bottom w:val="single" w:sz="8" w:color="auto"/>
            </w:tcBorders>
            <w:shd w:val="clear" w:color="auto" w:fill="CEFFE7"/>
          </w:tcPr>
          <w:p>
            <w:pPr>
              <w:ind w:left="3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EFFE7"/>
          </w:tcPr>
          <w:p>
            <w:pPr>
              <w:spacing w:after="0"/>
              <w:rPr>
                <w:sz w:val="18"/>
                <w:szCs w:val="18"/>
                <w:color w:val="auto"/>
              </w:rPr>
            </w:pPr>
          </w:p>
        </w:tc>
        <w:tc>
          <w:tcPr>
            <w:tcW w:w="20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921</w:t>
            </w:r>
          </w:p>
        </w:tc>
      </w:tr>
      <w:tr>
        <w:trPr>
          <w:trHeight w:val="213"/>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(1,552)</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2,044</w:t>
            </w:r>
          </w:p>
        </w:tc>
      </w:tr>
      <w:tr>
        <w:trPr>
          <w:trHeight w:val="20"/>
        </w:trPr>
        <w:tc>
          <w:tcPr>
            <w:tcW w:w="13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and Postretirement Plan Assets</w:t>
      </w:r>
    </w:p>
    <w:p>
      <w:pPr>
        <w:spacing w:after="0" w:line="264"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Fair value measurements also apply to the valuation of our pension and postretirement plan assets. Current accounting guidance requires employers to annually disclose information about the fair value measurements of their assets of a defined benefit pension or other postretirement plan. The fair value of these assets is presented in Note 15 to the Consolidated Financial Statements included in our 2020 Annual Report on Form 10-K.</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fair value measures</w:t>
      </w:r>
    </w:p>
    <w:p>
      <w:pPr>
        <w:spacing w:after="0" w:line="24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carrying amount of cash and cash equivalents, restricted cash and equivalents, and short-term borrowings approximates fair value due to their liquid or short-term nature. Cash, cash equivalents, and restricted cash are classified in Level 1 in the fair value hierarchy. Notes payable consist of commercial paper borrowings and since these borrowings are not traded on an exchange, they are classified in Level 2 in the fair value hierarchy.</w:t>
      </w:r>
    </w:p>
    <w:p>
      <w:pPr>
        <w:spacing w:after="0" w:line="22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following table presents the carrying amounts and fair values of financial instruments not recorded at fair value on the Condensed Consolidated Balance Sheets (in thousands) as of:</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gridSpan w:val="4"/>
          </w:tcPr>
          <w:p>
            <w:pPr>
              <w:ind w:left="600"/>
              <w:spacing w:after="0"/>
              <w:rPr>
                <w:sz w:val="20"/>
                <w:szCs w:val="20"/>
                <w:color w:val="auto"/>
              </w:rPr>
            </w:pPr>
            <w:r>
              <w:rPr>
                <w:rFonts w:ascii="Arial" w:cs="Arial" w:eastAsia="Arial" w:hAnsi="Arial"/>
                <w:sz w:val="16"/>
                <w:szCs w:val="16"/>
                <w:color w:val="auto"/>
              </w:rPr>
              <w:t>June 30, 2021</w:t>
            </w:r>
          </w:p>
        </w:tc>
        <w:tc>
          <w:tcPr>
            <w:tcW w:w="220" w:type="dxa"/>
            <w:vAlign w:val="bottom"/>
          </w:tcPr>
          <w:p>
            <w:pPr>
              <w:spacing w:after="0"/>
              <w:rPr>
                <w:sz w:val="17"/>
                <w:szCs w:val="17"/>
                <w:color w:val="auto"/>
              </w:rPr>
            </w:pPr>
          </w:p>
        </w:tc>
        <w:tc>
          <w:tcPr>
            <w:tcW w:w="2440" w:type="dxa"/>
            <w:vAlign w:val="bottom"/>
            <w:gridSpan w:val="3"/>
          </w:tcPr>
          <w:p>
            <w:pPr>
              <w:jc w:val="right"/>
              <w:ind w:right="539"/>
              <w:spacing w:after="0"/>
              <w:rPr>
                <w:sz w:val="20"/>
                <w:szCs w:val="20"/>
                <w:color w:val="auto"/>
              </w:rPr>
            </w:pPr>
            <w:r>
              <w:rPr>
                <w:rFonts w:ascii="Arial" w:cs="Arial" w:eastAsia="Arial" w:hAnsi="Arial"/>
                <w:sz w:val="16"/>
                <w:szCs w:val="16"/>
                <w:color w:val="auto"/>
              </w:rPr>
              <w:t>December 31, 2020</w:t>
            </w:r>
          </w:p>
        </w:tc>
      </w:tr>
      <w:tr>
        <w:trPr>
          <w:trHeight w:val="174"/>
        </w:trPr>
        <w:tc>
          <w:tcPr>
            <w:tcW w:w="57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279"/>
              <w:spacing w:after="0" w:line="174" w:lineRule="exact"/>
              <w:rPr>
                <w:sz w:val="20"/>
                <w:szCs w:val="20"/>
                <w:color w:val="auto"/>
              </w:rPr>
            </w:pPr>
            <w:r>
              <w:rPr>
                <w:rFonts w:ascii="Arial" w:cs="Arial" w:eastAsia="Arial" w:hAnsi="Arial"/>
                <w:sz w:val="16"/>
                <w:szCs w:val="16"/>
                <w:color w:val="auto"/>
              </w:rPr>
              <w:t>Carrying</w:t>
            </w: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279"/>
              <w:spacing w:after="0" w:line="174" w:lineRule="exact"/>
              <w:rPr>
                <w:sz w:val="20"/>
                <w:szCs w:val="20"/>
                <w:color w:val="auto"/>
              </w:rPr>
            </w:pPr>
            <w:r>
              <w:rPr>
                <w:rFonts w:ascii="Arial" w:cs="Arial" w:eastAsia="Arial" w:hAnsi="Arial"/>
                <w:sz w:val="16"/>
                <w:szCs w:val="16"/>
                <w:color w:val="auto"/>
              </w:rPr>
              <w:t>Carrying</w:t>
            </w: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r>
        <w:trPr>
          <w:trHeight w:val="198"/>
        </w:trPr>
        <w:tc>
          <w:tcPr>
            <w:tcW w:w="5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Amount</w:t>
            </w:r>
          </w:p>
        </w:tc>
        <w:tc>
          <w:tcPr>
            <w:tcW w:w="22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color w:val="auto"/>
              </w:rPr>
              <w:t>Fair Value</w:t>
            </w:r>
          </w:p>
        </w:tc>
        <w:tc>
          <w:tcPr>
            <w:tcW w:w="220" w:type="dxa"/>
            <w:vAlign w:val="bottom"/>
          </w:tcPr>
          <w:p>
            <w:pPr>
              <w:spacing w:after="0"/>
              <w:rPr>
                <w:sz w:val="17"/>
                <w:szCs w:val="17"/>
                <w:color w:val="auto"/>
              </w:rPr>
            </w:pPr>
          </w:p>
        </w:tc>
        <w:tc>
          <w:tcPr>
            <w:tcW w:w="1080" w:type="dxa"/>
            <w:vAlign w:val="bottom"/>
          </w:tcPr>
          <w:p>
            <w:pPr>
              <w:jc w:val="right"/>
              <w:ind w:right="279"/>
              <w:spacing w:after="0"/>
              <w:rPr>
                <w:sz w:val="20"/>
                <w:szCs w:val="20"/>
                <w:color w:val="auto"/>
              </w:rPr>
            </w:pPr>
            <w:r>
              <w:rPr>
                <w:rFonts w:ascii="Arial" w:cs="Arial" w:eastAsia="Arial" w:hAnsi="Arial"/>
                <w:sz w:val="16"/>
                <w:szCs w:val="16"/>
                <w:color w:val="auto"/>
              </w:rPr>
              <w:t>Amount</w:t>
            </w:r>
          </w:p>
        </w:tc>
        <w:tc>
          <w:tcPr>
            <w:tcW w:w="240" w:type="dxa"/>
            <w:vAlign w:val="bottom"/>
          </w:tcPr>
          <w:p>
            <w:pPr>
              <w:spacing w:after="0"/>
              <w:rPr>
                <w:sz w:val="17"/>
                <w:szCs w:val="17"/>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color w:val="auto"/>
              </w:rPr>
              <w:t>Fair Value</w:t>
            </w:r>
          </w:p>
        </w:tc>
      </w:tr>
      <w:tr>
        <w:trPr>
          <w:trHeight w:val="213"/>
        </w:trPr>
        <w:tc>
          <w:tcPr>
            <w:tcW w:w="5720" w:type="dxa"/>
            <w:vAlign w:val="bottom"/>
            <w:tcBorders>
              <w:top w:val="single" w:sz="8" w:color="auto"/>
            </w:tcBorders>
            <w:shd w:val="clear" w:color="auto" w:fill="CEFFE7"/>
          </w:tcPr>
          <w:p>
            <w:pPr>
              <w:ind w:left="20"/>
              <w:spacing w:after="0" w:line="213" w:lineRule="exact"/>
              <w:rPr>
                <w:sz w:val="20"/>
                <w:szCs w:val="20"/>
                <w:color w:val="auto"/>
              </w:rPr>
            </w:pPr>
            <w:r>
              <w:rPr>
                <w:rFonts w:ascii="Arial" w:cs="Arial" w:eastAsia="Arial" w:hAnsi="Arial"/>
                <w:sz w:val="16"/>
                <w:szCs w:val="16"/>
                <w:color w:val="auto"/>
              </w:rPr>
              <w:t xml:space="preserve">Long-term debt, including current maturities </w:t>
            </w:r>
            <w:r>
              <w:rPr>
                <w:rFonts w:ascii="Arial" w:cs="Arial" w:eastAsia="Arial" w:hAnsi="Arial"/>
                <w:sz w:val="21"/>
                <w:szCs w:val="21"/>
                <w:color w:val="auto"/>
                <w:vertAlign w:val="superscript"/>
              </w:rPr>
              <w:t>(a)</w:t>
            </w:r>
          </w:p>
        </w:tc>
        <w:tc>
          <w:tcPr>
            <w:tcW w:w="220" w:type="dxa"/>
            <w:vAlign w:val="bottom"/>
            <w:tcBorders>
              <w:top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3,537,216</w:t>
            </w:r>
          </w:p>
        </w:tc>
        <w:tc>
          <w:tcPr>
            <w:tcW w:w="22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4,035,612</w:t>
            </w:r>
          </w:p>
        </w:tc>
        <w:tc>
          <w:tcPr>
            <w:tcW w:w="140" w:type="dxa"/>
            <w:vAlign w:val="bottom"/>
            <w:tcBorders>
              <w:top w:val="single" w:sz="8" w:color="CEFFE7"/>
            </w:tcBorders>
            <w:shd w:val="clear" w:color="auto" w:fill="CEFFE7"/>
          </w:tcPr>
          <w:p>
            <w:pPr>
              <w:spacing w:after="0"/>
              <w:rPr>
                <w:sz w:val="18"/>
                <w:szCs w:val="18"/>
                <w:color w:val="auto"/>
              </w:rPr>
            </w:pPr>
          </w:p>
        </w:tc>
        <w:tc>
          <w:tcPr>
            <w:tcW w:w="220" w:type="dxa"/>
            <w:vAlign w:val="bottom"/>
            <w:tcBorders>
              <w:top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3,536,536</w:t>
            </w:r>
          </w:p>
        </w:tc>
        <w:tc>
          <w:tcPr>
            <w:tcW w:w="240" w:type="dxa"/>
            <w:vAlign w:val="bottom"/>
            <w:tcBorders>
              <w:top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4,208,167</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right="100" w:hanging="332"/>
        <w:spacing w:after="0" w:line="258" w:lineRule="auto"/>
        <w:tabs>
          <w:tab w:leader="none" w:pos="352" w:val="left"/>
        </w:tabs>
        <w:numPr>
          <w:ilvl w:val="0"/>
          <w:numId w:val="13"/>
        </w:numPr>
        <w:rPr>
          <w:rFonts w:ascii="Arial" w:cs="Arial" w:eastAsia="Arial" w:hAnsi="Arial"/>
          <w:sz w:val="14"/>
          <w:szCs w:val="14"/>
          <w:color w:val="auto"/>
        </w:rPr>
      </w:pPr>
      <w:r>
        <w:rPr>
          <w:rFonts w:ascii="Arial" w:cs="Arial" w:eastAsia="Arial" w:hAnsi="Arial"/>
          <w:sz w:val="14"/>
          <w:szCs w:val="14"/>
          <w:color w:val="auto"/>
        </w:rPr>
        <w:t>Long-term debt is valued based on observable inputs available either directly or indirectly for similar liabilities in active markets and therefore is classified as Level 2 in the fair value hierarchy. Carrying amount of long-term debt is net of deferred financing costs.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Other Comprehensive Income</w:t>
      </w:r>
    </w:p>
    <w:p>
      <w:pPr>
        <w:spacing w:after="0" w:line="268"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reclassifications out of AOCI and into Net income. The amounts in parentheses below indicate decreases to Net income in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Condensed Consolidated Statements of Income for the period (in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60" w:type="dxa"/>
            <w:vAlign w:val="bottom"/>
            <w:gridSpan w:val="4"/>
          </w:tcPr>
          <w:p>
            <w:pPr>
              <w:ind w:left="40"/>
              <w:spacing w:after="0"/>
              <w:rPr>
                <w:sz w:val="20"/>
                <w:szCs w:val="20"/>
                <w:color w:val="auto"/>
              </w:rPr>
            </w:pPr>
            <w:r>
              <w:rPr>
                <w:rFonts w:ascii="Arial" w:cs="Arial" w:eastAsia="Arial" w:hAnsi="Arial"/>
                <w:sz w:val="16"/>
                <w:szCs w:val="16"/>
                <w:color w:val="auto"/>
              </w:rPr>
              <w:t>Amount Reclassified from AOCI</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1"/>
        </w:trPr>
        <w:tc>
          <w:tcPr>
            <w:tcW w:w="3740" w:type="dxa"/>
            <w:vAlign w:val="bottom"/>
          </w:tcPr>
          <w:p>
            <w:pPr>
              <w:spacing w:after="0"/>
              <w:rPr>
                <w:sz w:val="24"/>
                <w:szCs w:val="24"/>
                <w:color w:val="auto"/>
              </w:rPr>
            </w:pPr>
          </w:p>
        </w:tc>
        <w:tc>
          <w:tcPr>
            <w:tcW w:w="2920" w:type="dxa"/>
            <w:vAlign w:val="bottom"/>
          </w:tcPr>
          <w:p>
            <w:pPr>
              <w:ind w:left="480"/>
              <w:spacing w:after="0"/>
              <w:rPr>
                <w:sz w:val="20"/>
                <w:szCs w:val="20"/>
                <w:color w:val="auto"/>
              </w:rPr>
            </w:pPr>
            <w:r>
              <w:rPr>
                <w:rFonts w:ascii="Arial" w:cs="Arial" w:eastAsia="Arial" w:hAnsi="Arial"/>
                <w:sz w:val="16"/>
                <w:szCs w:val="16"/>
                <w:color w:val="auto"/>
              </w:rPr>
              <w:t>Location on the Condensed</w:t>
            </w:r>
          </w:p>
        </w:tc>
        <w:tc>
          <w:tcPr>
            <w:tcW w:w="230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color w:val="auto"/>
              </w:rPr>
              <w:t>Three Months Ended June 30,</w:t>
            </w:r>
          </w:p>
        </w:tc>
        <w:tc>
          <w:tcPr>
            <w:tcW w:w="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color w:val="auto"/>
              </w:rPr>
              <w:t>Six Months Ended June 30,</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Consolidated Statements of Income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3"/>
        </w:trPr>
        <w:tc>
          <w:tcPr>
            <w:tcW w:w="3740" w:type="dxa"/>
            <w:vAlign w:val="bottom"/>
            <w:shd w:val="clear" w:color="auto" w:fill="CEFFE7"/>
          </w:tcPr>
          <w:p>
            <w:pPr>
              <w:ind w:left="20"/>
              <w:spacing w:after="0"/>
              <w:rPr>
                <w:sz w:val="20"/>
                <w:szCs w:val="20"/>
                <w:color w:val="auto"/>
              </w:rPr>
            </w:pPr>
            <w:r>
              <w:rPr>
                <w:rFonts w:ascii="Arial" w:cs="Arial" w:eastAsia="Arial" w:hAnsi="Arial"/>
                <w:sz w:val="16"/>
                <w:szCs w:val="16"/>
                <w:color w:val="auto"/>
              </w:rPr>
              <w:t>Gains and (losses) on cash flow hedges:</w:t>
            </w:r>
          </w:p>
        </w:tc>
        <w:tc>
          <w:tcPr>
            <w:tcW w:w="292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940" w:type="dxa"/>
            <w:vAlign w:val="bottom"/>
            <w:shd w:val="clear" w:color="auto" w:fill="CEFFE7"/>
          </w:tcPr>
          <w:p>
            <w:pPr>
              <w:spacing w:after="0"/>
              <w:rPr>
                <w:sz w:val="18"/>
                <w:szCs w:val="18"/>
                <w:color w:val="auto"/>
              </w:rPr>
            </w:pPr>
          </w:p>
        </w:tc>
        <w:tc>
          <w:tcPr>
            <w:tcW w:w="180" w:type="dxa"/>
            <w:vAlign w:val="bottom"/>
            <w:shd w:val="clear" w:color="auto" w:fill="CEFFE7"/>
          </w:tcPr>
          <w:p>
            <w:pPr>
              <w:spacing w:after="0"/>
              <w:rPr>
                <w:sz w:val="18"/>
                <w:szCs w:val="18"/>
                <w:color w:val="auto"/>
              </w:rPr>
            </w:pPr>
          </w:p>
        </w:tc>
        <w:tc>
          <w:tcPr>
            <w:tcW w:w="98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740" w:type="dxa"/>
            <w:vAlign w:val="bottom"/>
          </w:tcPr>
          <w:p>
            <w:pPr>
              <w:spacing w:after="0"/>
              <w:rPr>
                <w:sz w:val="15"/>
                <w:szCs w:val="15"/>
                <w:color w:val="auto"/>
              </w:rPr>
            </w:pPr>
          </w:p>
        </w:tc>
        <w:tc>
          <w:tcPr>
            <w:tcW w:w="2920" w:type="dxa"/>
            <w:vAlign w:val="bottom"/>
          </w:tcPr>
          <w:p>
            <w:pPr>
              <w:ind w:left="40"/>
              <w:spacing w:after="0" w:line="178" w:lineRule="exact"/>
              <w:rPr>
                <w:sz w:val="20"/>
                <w:szCs w:val="20"/>
                <w:color w:val="auto"/>
              </w:rPr>
            </w:pPr>
            <w:r>
              <w:rPr>
                <w:rFonts w:ascii="Arial" w:cs="Arial" w:eastAsia="Arial" w:hAnsi="Arial"/>
                <w:sz w:val="16"/>
                <w:szCs w:val="16"/>
                <w:color w:val="auto"/>
              </w:rPr>
              <w:t>Interest expense incurred net of</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2920" w:type="dxa"/>
            <w:vAlign w:val="bottom"/>
          </w:tcPr>
          <w:p>
            <w:pPr>
              <w:ind w:left="40"/>
              <w:spacing w:after="0" w:line="162" w:lineRule="exact"/>
              <w:rPr>
                <w:sz w:val="20"/>
                <w:szCs w:val="20"/>
                <w:color w:val="auto"/>
              </w:rPr>
            </w:pPr>
            <w:r>
              <w:rPr>
                <w:rFonts w:ascii="Arial" w:cs="Arial" w:eastAsia="Arial" w:hAnsi="Arial"/>
                <w:sz w:val="16"/>
                <w:szCs w:val="16"/>
                <w:color w:val="auto"/>
              </w:rPr>
              <w:t>amounts capitalized (including</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2920" w:type="dxa"/>
            <w:vAlign w:val="bottom"/>
          </w:tcPr>
          <w:p>
            <w:pPr>
              <w:ind w:left="40"/>
              <w:spacing w:after="0" w:line="162" w:lineRule="exact"/>
              <w:rPr>
                <w:sz w:val="20"/>
                <w:szCs w:val="20"/>
                <w:color w:val="auto"/>
              </w:rPr>
            </w:pPr>
            <w:r>
              <w:rPr>
                <w:rFonts w:ascii="Arial" w:cs="Arial" w:eastAsia="Arial" w:hAnsi="Arial"/>
                <w:sz w:val="16"/>
                <w:szCs w:val="16"/>
                <w:color w:val="auto"/>
              </w:rPr>
              <w:t>amortization of debt issuance costs,</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920" w:type="dxa"/>
            <w:vAlign w:val="bottom"/>
          </w:tcPr>
          <w:p>
            <w:pPr>
              <w:ind w:left="40"/>
              <w:spacing w:after="0"/>
              <w:rPr>
                <w:sz w:val="20"/>
                <w:szCs w:val="20"/>
                <w:color w:val="auto"/>
              </w:rPr>
            </w:pPr>
            <w:r>
              <w:rPr>
                <w:rFonts w:ascii="Arial" w:cs="Arial" w:eastAsia="Arial" w:hAnsi="Arial"/>
                <w:sz w:val="16"/>
                <w:szCs w:val="16"/>
                <w:color w:val="auto"/>
              </w:rPr>
              <w:t>premiums and discounts)</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(713)</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(713)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(1,426)</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(1,426)</w:t>
            </w:r>
          </w:p>
        </w:tc>
        <w:tc>
          <w:tcPr>
            <w:tcW w:w="0" w:type="dxa"/>
            <w:vAlign w:val="bottom"/>
          </w:tcPr>
          <w:p>
            <w:pPr>
              <w:spacing w:after="0"/>
              <w:rPr>
                <w:sz w:val="1"/>
                <w:szCs w:val="1"/>
                <w:color w:val="auto"/>
              </w:rPr>
            </w:pPr>
          </w:p>
        </w:tc>
      </w:tr>
      <w:tr>
        <w:trPr>
          <w:trHeight w:val="180"/>
        </w:trPr>
        <w:tc>
          <w:tcPr>
            <w:tcW w:w="3740" w:type="dxa"/>
            <w:vAlign w:val="bottom"/>
            <w:shd w:val="clear" w:color="auto" w:fill="CEFFE7"/>
          </w:tcPr>
          <w:p>
            <w:pPr>
              <w:spacing w:after="0"/>
              <w:rPr>
                <w:sz w:val="15"/>
                <w:szCs w:val="15"/>
                <w:color w:val="auto"/>
              </w:rPr>
            </w:pPr>
          </w:p>
        </w:tc>
        <w:tc>
          <w:tcPr>
            <w:tcW w:w="2920" w:type="dxa"/>
            <w:vAlign w:val="bottom"/>
            <w:shd w:val="clear" w:color="auto" w:fill="CEFFE7"/>
          </w:tcPr>
          <w:p>
            <w:pPr>
              <w:ind w:left="40"/>
              <w:spacing w:after="0" w:line="181" w:lineRule="exact"/>
              <w:rPr>
                <w:sz w:val="20"/>
                <w:szCs w:val="20"/>
                <w:color w:val="auto"/>
              </w:rPr>
            </w:pPr>
            <w:r>
              <w:rPr>
                <w:rFonts w:ascii="Arial" w:cs="Arial" w:eastAsia="Arial" w:hAnsi="Arial"/>
                <w:sz w:val="16"/>
                <w:szCs w:val="16"/>
                <w:color w:val="auto"/>
              </w:rPr>
              <w:t>Fuel, purchased power and cost of</w:t>
            </w:r>
          </w:p>
        </w:tc>
        <w:tc>
          <w:tcPr>
            <w:tcW w:w="240" w:type="dxa"/>
            <w:vAlign w:val="bottom"/>
            <w:shd w:val="clear" w:color="auto" w:fill="CEFFE7"/>
          </w:tcPr>
          <w:p>
            <w:pPr>
              <w:spacing w:after="0"/>
              <w:rPr>
                <w:sz w:val="15"/>
                <w:szCs w:val="15"/>
                <w:color w:val="auto"/>
              </w:rPr>
            </w:pPr>
          </w:p>
        </w:tc>
        <w:tc>
          <w:tcPr>
            <w:tcW w:w="860" w:type="dxa"/>
            <w:vAlign w:val="bottom"/>
            <w:shd w:val="clear" w:color="auto" w:fill="CEFFE7"/>
          </w:tcPr>
          <w:p>
            <w:pPr>
              <w:spacing w:after="0"/>
              <w:rPr>
                <w:sz w:val="15"/>
                <w:szCs w:val="15"/>
                <w:color w:val="auto"/>
              </w:rPr>
            </w:pPr>
          </w:p>
        </w:tc>
        <w:tc>
          <w:tcPr>
            <w:tcW w:w="260" w:type="dxa"/>
            <w:vAlign w:val="bottom"/>
            <w:shd w:val="clear" w:color="auto" w:fill="CEFFE7"/>
          </w:tcPr>
          <w:p>
            <w:pPr>
              <w:spacing w:after="0"/>
              <w:rPr>
                <w:sz w:val="15"/>
                <w:szCs w:val="15"/>
                <w:color w:val="auto"/>
              </w:rPr>
            </w:pPr>
          </w:p>
        </w:tc>
        <w:tc>
          <w:tcPr>
            <w:tcW w:w="940" w:type="dxa"/>
            <w:vAlign w:val="bottom"/>
            <w:shd w:val="clear" w:color="auto" w:fill="CEFFE7"/>
          </w:tcPr>
          <w:p>
            <w:pPr>
              <w:spacing w:after="0"/>
              <w:rPr>
                <w:sz w:val="15"/>
                <w:szCs w:val="15"/>
                <w:color w:val="auto"/>
              </w:rPr>
            </w:pPr>
          </w:p>
        </w:tc>
        <w:tc>
          <w:tcPr>
            <w:tcW w:w="180" w:type="dxa"/>
            <w:vAlign w:val="bottom"/>
            <w:shd w:val="clear" w:color="auto" w:fill="CEFFE7"/>
          </w:tcPr>
          <w:p>
            <w:pPr>
              <w:spacing w:after="0"/>
              <w:rPr>
                <w:sz w:val="15"/>
                <w:szCs w:val="15"/>
                <w:color w:val="auto"/>
              </w:rPr>
            </w:pPr>
          </w:p>
        </w:tc>
        <w:tc>
          <w:tcPr>
            <w:tcW w:w="980" w:type="dxa"/>
            <w:vAlign w:val="bottom"/>
            <w:shd w:val="clear" w:color="auto" w:fill="CEFFE7"/>
          </w:tcPr>
          <w:p>
            <w:pPr>
              <w:spacing w:after="0"/>
              <w:rPr>
                <w:sz w:val="15"/>
                <w:szCs w:val="15"/>
                <w:color w:val="auto"/>
              </w:rPr>
            </w:pPr>
          </w:p>
        </w:tc>
        <w:tc>
          <w:tcPr>
            <w:tcW w:w="260" w:type="dxa"/>
            <w:vAlign w:val="bottom"/>
            <w:shd w:val="clear" w:color="auto" w:fill="CEFFE7"/>
          </w:tcPr>
          <w:p>
            <w:pPr>
              <w:spacing w:after="0"/>
              <w:rPr>
                <w:sz w:val="15"/>
                <w:szCs w:val="15"/>
                <w:color w:val="auto"/>
              </w:rPr>
            </w:pPr>
          </w:p>
        </w:tc>
        <w:tc>
          <w:tcPr>
            <w:tcW w:w="860" w:type="dxa"/>
            <w:vAlign w:val="bottom"/>
            <w:shd w:val="clear" w:color="auto" w:fill="CEFFE7"/>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74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Commodity contracts</w:t>
            </w:r>
          </w:p>
        </w:tc>
        <w:tc>
          <w:tcPr>
            <w:tcW w:w="2920" w:type="dxa"/>
            <w:vAlign w:val="bottom"/>
            <w:shd w:val="clear" w:color="auto" w:fill="CEFFE7"/>
          </w:tcPr>
          <w:p>
            <w:pPr>
              <w:ind w:left="40"/>
              <w:spacing w:after="0"/>
              <w:rPr>
                <w:sz w:val="20"/>
                <w:szCs w:val="20"/>
                <w:color w:val="auto"/>
              </w:rPr>
            </w:pPr>
            <w:r>
              <w:rPr>
                <w:rFonts w:ascii="Arial" w:cs="Arial" w:eastAsia="Arial" w:hAnsi="Arial"/>
                <w:sz w:val="16"/>
                <w:szCs w:val="16"/>
                <w:color w:val="auto"/>
              </w:rPr>
              <w:t>natural gas sold</w:t>
            </w:r>
          </w:p>
        </w:tc>
        <w:tc>
          <w:tcPr>
            <w:tcW w:w="240" w:type="dxa"/>
            <w:vAlign w:val="bottom"/>
            <w:tcBorders>
              <w:bottom w:val="single" w:sz="8" w:color="auto"/>
            </w:tcBorders>
            <w:shd w:val="clear" w:color="auto" w:fill="CEFFE7"/>
          </w:tcPr>
          <w:p>
            <w:pPr>
              <w:spacing w:after="0"/>
              <w:rPr>
                <w:sz w:val="17"/>
                <w:szCs w:val="17"/>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56</w:t>
            </w:r>
          </w:p>
        </w:tc>
        <w:tc>
          <w:tcPr>
            <w:tcW w:w="260" w:type="dxa"/>
            <w:vAlign w:val="bottom"/>
            <w:tcBorders>
              <w:bottom w:val="single" w:sz="8" w:color="auto"/>
            </w:tcBorders>
            <w:shd w:val="clear" w:color="auto" w:fill="CEFFE7"/>
          </w:tcPr>
          <w:p>
            <w:pPr>
              <w:spacing w:after="0"/>
              <w:rPr>
                <w:sz w:val="17"/>
                <w:szCs w:val="17"/>
                <w:color w:val="auto"/>
              </w:rPr>
            </w:pPr>
          </w:p>
        </w:tc>
        <w:tc>
          <w:tcPr>
            <w:tcW w:w="9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(70)</w:t>
            </w:r>
          </w:p>
        </w:tc>
        <w:tc>
          <w:tcPr>
            <w:tcW w:w="180" w:type="dxa"/>
            <w:vAlign w:val="bottom"/>
            <w:tcBorders>
              <w:bottom w:val="single" w:sz="8" w:color="auto"/>
            </w:tcBorders>
            <w:shd w:val="clear" w:color="auto" w:fill="CEFFE7"/>
          </w:tcPr>
          <w:p>
            <w:pPr>
              <w:spacing w:after="0"/>
              <w:rPr>
                <w:sz w:val="17"/>
                <w:szCs w:val="17"/>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w:t>
            </w:r>
          </w:p>
        </w:tc>
        <w:tc>
          <w:tcPr>
            <w:tcW w:w="260" w:type="dxa"/>
            <w:vAlign w:val="bottom"/>
            <w:tcBorders>
              <w:bottom w:val="single" w:sz="8" w:color="auto"/>
            </w:tcBorders>
            <w:shd w:val="clear" w:color="auto" w:fill="CEFFE7"/>
          </w:tcPr>
          <w:p>
            <w:pPr>
              <w:spacing w:after="0"/>
              <w:rPr>
                <w:sz w:val="17"/>
                <w:szCs w:val="17"/>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(657)</w:t>
            </w:r>
          </w:p>
        </w:tc>
        <w:tc>
          <w:tcPr>
            <w:tcW w:w="26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(783)</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(1,401)</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(1,982)</w:t>
            </w:r>
          </w:p>
        </w:tc>
        <w:tc>
          <w:tcPr>
            <w:tcW w:w="0" w:type="dxa"/>
            <w:vAlign w:val="bottom"/>
          </w:tcPr>
          <w:p>
            <w:pPr>
              <w:spacing w:after="0"/>
              <w:rPr>
                <w:sz w:val="1"/>
                <w:szCs w:val="1"/>
                <w:color w:val="auto"/>
              </w:rPr>
            </w:pPr>
          </w:p>
        </w:tc>
      </w:tr>
      <w:tr>
        <w:trPr>
          <w:trHeight w:val="219"/>
        </w:trPr>
        <w:tc>
          <w:tcPr>
            <w:tcW w:w="374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Income tax</w:t>
            </w:r>
          </w:p>
        </w:tc>
        <w:tc>
          <w:tcPr>
            <w:tcW w:w="2920" w:type="dxa"/>
            <w:vAlign w:val="bottom"/>
            <w:shd w:val="clear" w:color="auto" w:fill="CEFFE7"/>
          </w:tcPr>
          <w:p>
            <w:pPr>
              <w:ind w:left="4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shd w:val="clear" w:color="auto" w:fill="CEFFE7"/>
          </w:tcPr>
          <w:p>
            <w:pPr>
              <w:spacing w:after="0"/>
              <w:rPr>
                <w:sz w:val="19"/>
                <w:szCs w:val="19"/>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136</w:t>
            </w:r>
          </w:p>
        </w:tc>
        <w:tc>
          <w:tcPr>
            <w:tcW w:w="260" w:type="dxa"/>
            <w:vAlign w:val="bottom"/>
            <w:tcBorders>
              <w:bottom w:val="single" w:sz="8" w:color="auto"/>
            </w:tcBorders>
            <w:shd w:val="clear" w:color="auto" w:fill="CEFFE7"/>
          </w:tcPr>
          <w:p>
            <w:pPr>
              <w:spacing w:after="0"/>
              <w:rPr>
                <w:sz w:val="19"/>
                <w:szCs w:val="19"/>
                <w:color w:val="auto"/>
              </w:rPr>
            </w:pPr>
          </w:p>
        </w:tc>
        <w:tc>
          <w:tcPr>
            <w:tcW w:w="9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186</w:t>
            </w:r>
          </w:p>
        </w:tc>
        <w:tc>
          <w:tcPr>
            <w:tcW w:w="180" w:type="dxa"/>
            <w:vAlign w:val="bottom"/>
            <w:tcBorders>
              <w:bottom w:val="single" w:sz="8" w:color="auto"/>
            </w:tcBorders>
            <w:shd w:val="clear" w:color="auto" w:fill="CEFFE7"/>
          </w:tcPr>
          <w:p>
            <w:pPr>
              <w:spacing w:after="0"/>
              <w:rPr>
                <w:sz w:val="19"/>
                <w:szCs w:val="19"/>
                <w:color w:val="auto"/>
              </w:rPr>
            </w:pP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334</w:t>
            </w:r>
          </w:p>
        </w:tc>
        <w:tc>
          <w:tcPr>
            <w:tcW w:w="260" w:type="dxa"/>
            <w:vAlign w:val="bottom"/>
            <w:tcBorders>
              <w:bottom w:val="single" w:sz="8" w:color="auto"/>
            </w:tcBorders>
            <w:shd w:val="clear" w:color="auto" w:fill="CEFFE7"/>
          </w:tcPr>
          <w:p>
            <w:pPr>
              <w:spacing w:after="0"/>
              <w:rPr>
                <w:sz w:val="19"/>
                <w:szCs w:val="19"/>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157"/>
        </w:trPr>
        <w:tc>
          <w:tcPr>
            <w:tcW w:w="3740" w:type="dxa"/>
            <w:vAlign w:val="bottom"/>
          </w:tcPr>
          <w:p>
            <w:pPr>
              <w:ind w:left="20"/>
              <w:spacing w:after="0" w:line="158" w:lineRule="exact"/>
              <w:rPr>
                <w:sz w:val="20"/>
                <w:szCs w:val="20"/>
                <w:color w:val="auto"/>
              </w:rPr>
            </w:pPr>
            <w:r>
              <w:rPr>
                <w:rFonts w:ascii="Arial" w:cs="Arial" w:eastAsia="Arial" w:hAnsi="Arial"/>
                <w:sz w:val="16"/>
                <w:szCs w:val="16"/>
                <w:color w:val="auto"/>
              </w:rPr>
              <w:t>Total reclassification adjustments related to cash</w:t>
            </w:r>
          </w:p>
        </w:tc>
        <w:tc>
          <w:tcPr>
            <w:tcW w:w="2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74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flow hedges, net of tax</w:t>
            </w:r>
          </w:p>
        </w:tc>
        <w:tc>
          <w:tcPr>
            <w:tcW w:w="2920" w:type="dxa"/>
            <w:vAlign w:val="bottom"/>
            <w:tcBorders>
              <w:bottom w:val="single" w:sz="8" w:color="CEFFE7"/>
            </w:tcBorders>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w:t>
            </w:r>
          </w:p>
        </w:tc>
        <w:tc>
          <w:tcPr>
            <w:tcW w:w="0" w:type="dxa"/>
            <w:vAlign w:val="bottom"/>
          </w:tcPr>
          <w:p>
            <w:pPr>
              <w:spacing w:after="0"/>
              <w:rPr>
                <w:sz w:val="1"/>
                <w:szCs w:val="1"/>
                <w:color w:val="auto"/>
              </w:rPr>
            </w:pPr>
          </w:p>
        </w:tc>
      </w:tr>
      <w:tr>
        <w:trPr>
          <w:trHeight w:val="253"/>
        </w:trPr>
        <w:tc>
          <w:tcPr>
            <w:tcW w:w="3740" w:type="dxa"/>
            <w:vAlign w:val="bottom"/>
            <w:shd w:val="clear" w:color="auto" w:fill="CEFFE7"/>
          </w:tcPr>
          <w:p>
            <w:pPr>
              <w:spacing w:after="0"/>
              <w:rPr>
                <w:sz w:val="22"/>
                <w:szCs w:val="22"/>
                <w:color w:val="auto"/>
              </w:rPr>
            </w:pPr>
          </w:p>
        </w:tc>
        <w:tc>
          <w:tcPr>
            <w:tcW w:w="2920" w:type="dxa"/>
            <w:vAlign w:val="bottom"/>
            <w:shd w:val="clear" w:color="auto" w:fill="CEFFE7"/>
          </w:tcPr>
          <w:p>
            <w:pPr>
              <w:spacing w:after="0"/>
              <w:rPr>
                <w:sz w:val="22"/>
                <w:szCs w:val="22"/>
                <w:color w:val="auto"/>
              </w:rPr>
            </w:pPr>
          </w:p>
        </w:tc>
        <w:tc>
          <w:tcPr>
            <w:tcW w:w="240" w:type="dxa"/>
            <w:vAlign w:val="bottom"/>
            <w:shd w:val="clear" w:color="auto" w:fill="CEFFE7"/>
          </w:tcPr>
          <w:p>
            <w:pPr>
              <w:spacing w:after="0"/>
              <w:rPr>
                <w:sz w:val="22"/>
                <w:szCs w:val="22"/>
                <w:color w:val="auto"/>
              </w:rPr>
            </w:pPr>
          </w:p>
        </w:tc>
        <w:tc>
          <w:tcPr>
            <w:tcW w:w="860" w:type="dxa"/>
            <w:vAlign w:val="bottom"/>
            <w:shd w:val="clear" w:color="auto" w:fill="CEFFE7"/>
          </w:tcPr>
          <w:p>
            <w:pPr>
              <w:spacing w:after="0"/>
              <w:rPr>
                <w:sz w:val="22"/>
                <w:szCs w:val="22"/>
                <w:color w:val="auto"/>
              </w:rPr>
            </w:pPr>
          </w:p>
        </w:tc>
        <w:tc>
          <w:tcPr>
            <w:tcW w:w="260" w:type="dxa"/>
            <w:vAlign w:val="bottom"/>
            <w:shd w:val="clear" w:color="auto" w:fill="CEFFE7"/>
          </w:tcPr>
          <w:p>
            <w:pPr>
              <w:spacing w:after="0"/>
              <w:rPr>
                <w:sz w:val="22"/>
                <w:szCs w:val="22"/>
                <w:color w:val="auto"/>
              </w:rPr>
            </w:pPr>
          </w:p>
        </w:tc>
        <w:tc>
          <w:tcPr>
            <w:tcW w:w="940" w:type="dxa"/>
            <w:vAlign w:val="bottom"/>
            <w:shd w:val="clear" w:color="auto" w:fill="CEFFE7"/>
          </w:tcPr>
          <w:p>
            <w:pPr>
              <w:spacing w:after="0"/>
              <w:rPr>
                <w:sz w:val="22"/>
                <w:szCs w:val="22"/>
                <w:color w:val="auto"/>
              </w:rPr>
            </w:pPr>
          </w:p>
        </w:tc>
        <w:tc>
          <w:tcPr>
            <w:tcW w:w="180" w:type="dxa"/>
            <w:vAlign w:val="bottom"/>
            <w:shd w:val="clear" w:color="auto" w:fill="CEFFE7"/>
          </w:tcPr>
          <w:p>
            <w:pPr>
              <w:spacing w:after="0"/>
              <w:rPr>
                <w:sz w:val="22"/>
                <w:szCs w:val="22"/>
                <w:color w:val="auto"/>
              </w:rPr>
            </w:pPr>
          </w:p>
        </w:tc>
        <w:tc>
          <w:tcPr>
            <w:tcW w:w="980" w:type="dxa"/>
            <w:vAlign w:val="bottom"/>
            <w:shd w:val="clear" w:color="auto" w:fill="CEFFE7"/>
          </w:tcPr>
          <w:p>
            <w:pPr>
              <w:spacing w:after="0"/>
              <w:rPr>
                <w:sz w:val="22"/>
                <w:szCs w:val="22"/>
                <w:color w:val="auto"/>
              </w:rPr>
            </w:pPr>
          </w:p>
        </w:tc>
        <w:tc>
          <w:tcPr>
            <w:tcW w:w="260" w:type="dxa"/>
            <w:vAlign w:val="bottom"/>
            <w:shd w:val="clear" w:color="auto" w:fill="CEFFE7"/>
          </w:tcPr>
          <w:p>
            <w:pPr>
              <w:spacing w:after="0"/>
              <w:rPr>
                <w:sz w:val="22"/>
                <w:szCs w:val="22"/>
                <w:color w:val="auto"/>
              </w:rPr>
            </w:pPr>
          </w:p>
        </w:tc>
        <w:tc>
          <w:tcPr>
            <w:tcW w:w="860" w:type="dxa"/>
            <w:vAlign w:val="bottom"/>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3740" w:type="dxa"/>
            <w:vAlign w:val="bottom"/>
          </w:tcPr>
          <w:p>
            <w:pPr>
              <w:ind w:left="20"/>
              <w:spacing w:after="0" w:line="178" w:lineRule="exact"/>
              <w:rPr>
                <w:sz w:val="20"/>
                <w:szCs w:val="20"/>
                <w:color w:val="auto"/>
              </w:rPr>
            </w:pPr>
            <w:r>
              <w:rPr>
                <w:rFonts w:ascii="Arial" w:cs="Arial" w:eastAsia="Arial" w:hAnsi="Arial"/>
                <w:sz w:val="16"/>
                <w:szCs w:val="16"/>
                <w:color w:val="auto"/>
              </w:rPr>
              <w:t>Amortization of components of defined benefit</w:t>
            </w:r>
          </w:p>
        </w:tc>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rPr>
                <w:sz w:val="20"/>
                <w:szCs w:val="20"/>
                <w:color w:val="auto"/>
              </w:rPr>
            </w:pPr>
            <w:r>
              <w:rPr>
                <w:rFonts w:ascii="Arial" w:cs="Arial" w:eastAsia="Arial" w:hAnsi="Arial"/>
                <w:sz w:val="16"/>
                <w:szCs w:val="16"/>
                <w:color w:val="auto"/>
              </w:rPr>
              <w:t>plans:</w:t>
            </w: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EFFE7"/>
          </w:tcPr>
          <w:p>
            <w:pPr>
              <w:ind w:left="20"/>
              <w:spacing w:after="0"/>
              <w:rPr>
                <w:sz w:val="20"/>
                <w:szCs w:val="20"/>
                <w:color w:val="auto"/>
              </w:rPr>
            </w:pPr>
            <w:r>
              <w:rPr>
                <w:rFonts w:ascii="Arial" w:cs="Arial" w:eastAsia="Arial" w:hAnsi="Arial"/>
                <w:sz w:val="16"/>
                <w:szCs w:val="16"/>
                <w:color w:val="auto"/>
              </w:rPr>
              <w:t>Prior service cost</w:t>
            </w:r>
          </w:p>
        </w:tc>
        <w:tc>
          <w:tcPr>
            <w:tcW w:w="2920" w:type="dxa"/>
            <w:vAlign w:val="bottom"/>
            <w:shd w:val="clear" w:color="auto" w:fill="CEFFE7"/>
          </w:tcPr>
          <w:p>
            <w:pPr>
              <w:ind w:left="40"/>
              <w:spacing w:after="0"/>
              <w:rPr>
                <w:sz w:val="20"/>
                <w:szCs w:val="20"/>
                <w:color w:val="auto"/>
              </w:rPr>
            </w:pPr>
            <w:r>
              <w:rPr>
                <w:rFonts w:ascii="Arial" w:cs="Arial" w:eastAsia="Arial" w:hAnsi="Arial"/>
                <w:sz w:val="16"/>
                <w:szCs w:val="16"/>
                <w:color w:val="auto"/>
              </w:rPr>
              <w:t>Operations and maintenance</w:t>
            </w:r>
          </w:p>
        </w:tc>
        <w:tc>
          <w:tcPr>
            <w:tcW w:w="240" w:type="dxa"/>
            <w:vAlign w:val="bottom"/>
            <w:shd w:val="clear" w:color="auto" w:fill="CEFFE7"/>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w:t>
            </w:r>
          </w:p>
        </w:tc>
        <w:tc>
          <w:tcPr>
            <w:tcW w:w="260" w:type="dxa"/>
            <w:vAlign w:val="bottom"/>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25</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49</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3"/>
        </w:trPr>
        <w:tc>
          <w:tcPr>
            <w:tcW w:w="374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Actuarial gain (loss)</w:t>
            </w:r>
          </w:p>
        </w:tc>
        <w:tc>
          <w:tcPr>
            <w:tcW w:w="2920" w:type="dxa"/>
            <w:vAlign w:val="bottom"/>
            <w:tcBorders>
              <w:bottom w:val="single" w:sz="8" w:color="CEFFE7"/>
            </w:tcBorders>
          </w:tcPr>
          <w:p>
            <w:pPr>
              <w:ind w:left="40"/>
              <w:spacing w:after="0"/>
              <w:rPr>
                <w:sz w:val="20"/>
                <w:szCs w:val="20"/>
                <w:color w:val="auto"/>
              </w:rPr>
            </w:pPr>
            <w:r>
              <w:rPr>
                <w:rFonts w:ascii="Arial" w:cs="Arial" w:eastAsia="Arial" w:hAnsi="Arial"/>
                <w:sz w:val="16"/>
                <w:szCs w:val="16"/>
                <w:color w:val="auto"/>
              </w:rPr>
              <w:t>Operations and maintenance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(597)</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w:t>
            </w:r>
          </w:p>
        </w:tc>
        <w:tc>
          <w:tcPr>
            <w:tcW w:w="0" w:type="dxa"/>
            <w:vAlign w:val="bottom"/>
          </w:tcPr>
          <w:p>
            <w:pPr>
              <w:spacing w:after="0"/>
              <w:rPr>
                <w:sz w:val="1"/>
                <w:szCs w:val="1"/>
                <w:color w:val="auto"/>
              </w:rPr>
            </w:pPr>
          </w:p>
        </w:tc>
      </w:tr>
      <w:tr>
        <w:trPr>
          <w:trHeight w:val="213"/>
        </w:trPr>
        <w:tc>
          <w:tcPr>
            <w:tcW w:w="3740" w:type="dxa"/>
            <w:vAlign w:val="bottom"/>
            <w:shd w:val="clear" w:color="auto" w:fill="CEFFE7"/>
          </w:tcPr>
          <w:p>
            <w:pPr>
              <w:spacing w:after="0"/>
              <w:rPr>
                <w:sz w:val="18"/>
                <w:szCs w:val="18"/>
                <w:color w:val="auto"/>
              </w:rPr>
            </w:pPr>
          </w:p>
        </w:tc>
        <w:tc>
          <w:tcPr>
            <w:tcW w:w="292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(573)</w:t>
            </w:r>
          </w:p>
        </w:tc>
        <w:tc>
          <w:tcPr>
            <w:tcW w:w="260" w:type="dxa"/>
            <w:vAlign w:val="bottom"/>
            <w:shd w:val="clear" w:color="auto" w:fill="CEFFE7"/>
          </w:tcPr>
          <w:p>
            <w:pPr>
              <w:spacing w:after="0"/>
              <w:rPr>
                <w:sz w:val="18"/>
                <w:szCs w:val="18"/>
                <w:color w:val="auto"/>
              </w:rPr>
            </w:pPr>
          </w:p>
        </w:tc>
        <w:tc>
          <w:tcPr>
            <w:tcW w:w="9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(572)</w:t>
            </w:r>
          </w:p>
        </w:tc>
        <w:tc>
          <w:tcPr>
            <w:tcW w:w="18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(1,146)</w:t>
            </w:r>
          </w:p>
        </w:tc>
        <w:tc>
          <w:tcPr>
            <w:tcW w:w="260" w:type="dxa"/>
            <w:vAlign w:val="bottom"/>
            <w:shd w:val="clear" w:color="auto" w:fill="CEFFE7"/>
          </w:tcPr>
          <w:p>
            <w:pPr>
              <w:spacing w:after="0"/>
              <w:rPr>
                <w:sz w:val="18"/>
                <w:szCs w:val="18"/>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(1,139)</w:t>
            </w:r>
          </w:p>
        </w:tc>
        <w:tc>
          <w:tcPr>
            <w:tcW w:w="0" w:type="dxa"/>
            <w:vAlign w:val="bottom"/>
          </w:tcPr>
          <w:p>
            <w:pPr>
              <w:spacing w:after="0"/>
              <w:rPr>
                <w:sz w:val="1"/>
                <w:szCs w:val="1"/>
                <w:color w:val="auto"/>
              </w:rPr>
            </w:pPr>
          </w:p>
        </w:tc>
      </w:tr>
      <w:tr>
        <w:trPr>
          <w:trHeight w:val="213"/>
        </w:trPr>
        <w:tc>
          <w:tcPr>
            <w:tcW w:w="374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Income tax</w:t>
            </w:r>
          </w:p>
        </w:tc>
        <w:tc>
          <w:tcPr>
            <w:tcW w:w="2920" w:type="dxa"/>
            <w:vAlign w:val="bottom"/>
            <w:tcBorders>
              <w:bottom w:val="single" w:sz="8" w:color="CEFFE7"/>
            </w:tcBorders>
          </w:tcPr>
          <w:p>
            <w:pPr>
              <w:ind w:left="4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176</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160"/>
        </w:trPr>
        <w:tc>
          <w:tcPr>
            <w:tcW w:w="3740" w:type="dxa"/>
            <w:vAlign w:val="bottom"/>
            <w:shd w:val="clear" w:color="auto" w:fill="CEFFE7"/>
          </w:tcPr>
          <w:p>
            <w:pPr>
              <w:ind w:left="20"/>
              <w:spacing w:after="0" w:line="161" w:lineRule="exact"/>
              <w:rPr>
                <w:sz w:val="20"/>
                <w:szCs w:val="20"/>
                <w:color w:val="auto"/>
              </w:rPr>
            </w:pPr>
            <w:r>
              <w:rPr>
                <w:rFonts w:ascii="Arial" w:cs="Arial" w:eastAsia="Arial" w:hAnsi="Arial"/>
                <w:sz w:val="16"/>
                <w:szCs w:val="16"/>
                <w:color w:val="auto"/>
              </w:rPr>
              <w:t>Total reclassification adjustments related to defined</w:t>
            </w:r>
          </w:p>
        </w:tc>
        <w:tc>
          <w:tcPr>
            <w:tcW w:w="2920" w:type="dxa"/>
            <w:vAlign w:val="bottom"/>
            <w:shd w:val="clear" w:color="auto" w:fill="CEFFE7"/>
          </w:tcPr>
          <w:p>
            <w:pPr>
              <w:spacing w:after="0"/>
              <w:rPr>
                <w:sz w:val="13"/>
                <w:szCs w:val="13"/>
                <w:color w:val="auto"/>
              </w:rPr>
            </w:pPr>
          </w:p>
        </w:tc>
        <w:tc>
          <w:tcPr>
            <w:tcW w:w="240" w:type="dxa"/>
            <w:vAlign w:val="bottom"/>
            <w:shd w:val="clear" w:color="auto" w:fill="CEFFE7"/>
          </w:tcPr>
          <w:p>
            <w:pPr>
              <w:spacing w:after="0"/>
              <w:rPr>
                <w:sz w:val="13"/>
                <w:szCs w:val="13"/>
                <w:color w:val="auto"/>
              </w:rPr>
            </w:pPr>
          </w:p>
        </w:tc>
        <w:tc>
          <w:tcPr>
            <w:tcW w:w="860" w:type="dxa"/>
            <w:vAlign w:val="bottom"/>
            <w:shd w:val="clear" w:color="auto" w:fill="CEFFE7"/>
          </w:tcPr>
          <w:p>
            <w:pPr>
              <w:spacing w:after="0"/>
              <w:rPr>
                <w:sz w:val="13"/>
                <w:szCs w:val="13"/>
                <w:color w:val="auto"/>
              </w:rPr>
            </w:pPr>
          </w:p>
        </w:tc>
        <w:tc>
          <w:tcPr>
            <w:tcW w:w="260" w:type="dxa"/>
            <w:vAlign w:val="bottom"/>
            <w:shd w:val="clear" w:color="auto" w:fill="CEFFE7"/>
          </w:tcPr>
          <w:p>
            <w:pPr>
              <w:spacing w:after="0"/>
              <w:rPr>
                <w:sz w:val="13"/>
                <w:szCs w:val="13"/>
                <w:color w:val="auto"/>
              </w:rPr>
            </w:pPr>
          </w:p>
        </w:tc>
        <w:tc>
          <w:tcPr>
            <w:tcW w:w="940" w:type="dxa"/>
            <w:vAlign w:val="bottom"/>
            <w:shd w:val="clear" w:color="auto" w:fill="CEFFE7"/>
          </w:tcPr>
          <w:p>
            <w:pPr>
              <w:spacing w:after="0"/>
              <w:rPr>
                <w:sz w:val="13"/>
                <w:szCs w:val="13"/>
                <w:color w:val="auto"/>
              </w:rPr>
            </w:pPr>
          </w:p>
        </w:tc>
        <w:tc>
          <w:tcPr>
            <w:tcW w:w="180" w:type="dxa"/>
            <w:vAlign w:val="bottom"/>
            <w:shd w:val="clear" w:color="auto" w:fill="CEFFE7"/>
          </w:tcPr>
          <w:p>
            <w:pPr>
              <w:spacing w:after="0"/>
              <w:rPr>
                <w:sz w:val="13"/>
                <w:szCs w:val="13"/>
                <w:color w:val="auto"/>
              </w:rPr>
            </w:pPr>
          </w:p>
        </w:tc>
        <w:tc>
          <w:tcPr>
            <w:tcW w:w="980" w:type="dxa"/>
            <w:vAlign w:val="bottom"/>
            <w:shd w:val="clear" w:color="auto" w:fill="CEFFE7"/>
          </w:tcPr>
          <w:p>
            <w:pPr>
              <w:spacing w:after="0"/>
              <w:rPr>
                <w:sz w:val="13"/>
                <w:szCs w:val="13"/>
                <w:color w:val="auto"/>
              </w:rPr>
            </w:pPr>
          </w:p>
        </w:tc>
        <w:tc>
          <w:tcPr>
            <w:tcW w:w="260" w:type="dxa"/>
            <w:vAlign w:val="bottom"/>
            <w:shd w:val="clear" w:color="auto" w:fill="CEFFE7"/>
          </w:tcPr>
          <w:p>
            <w:pPr>
              <w:spacing w:after="0"/>
              <w:rPr>
                <w:sz w:val="13"/>
                <w:szCs w:val="13"/>
                <w:color w:val="auto"/>
              </w:rPr>
            </w:pPr>
          </w:p>
        </w:tc>
        <w:tc>
          <w:tcPr>
            <w:tcW w:w="860" w:type="dxa"/>
            <w:vAlign w:val="bottom"/>
            <w:shd w:val="clear" w:color="auto" w:fill="CEFFE7"/>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740" w:type="dxa"/>
            <w:vAlign w:val="bottom"/>
            <w:shd w:val="clear" w:color="auto" w:fill="CEFFE7"/>
          </w:tcPr>
          <w:p>
            <w:pPr>
              <w:ind w:left="20"/>
              <w:spacing w:after="0"/>
              <w:rPr>
                <w:sz w:val="20"/>
                <w:szCs w:val="20"/>
                <w:color w:val="auto"/>
              </w:rPr>
            </w:pPr>
            <w:r>
              <w:rPr>
                <w:rFonts w:ascii="Arial" w:cs="Arial" w:eastAsia="Arial" w:hAnsi="Arial"/>
                <w:sz w:val="16"/>
                <w:szCs w:val="16"/>
                <w:color w:val="auto"/>
              </w:rPr>
              <w:t>benefit plans, net of tax</w:t>
            </w:r>
          </w:p>
        </w:tc>
        <w:tc>
          <w:tcPr>
            <w:tcW w:w="2920" w:type="dxa"/>
            <w:vAlign w:val="bottom"/>
            <w:shd w:val="clear" w:color="auto" w:fill="CEFFE7"/>
          </w:tcPr>
          <w:p>
            <w:pPr>
              <w:spacing w:after="0"/>
              <w:rPr>
                <w:sz w:val="17"/>
                <w:szCs w:val="17"/>
                <w:color w:val="auto"/>
              </w:rPr>
            </w:pPr>
          </w:p>
        </w:tc>
        <w:tc>
          <w:tcPr>
            <w:tcW w:w="2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(422)</w:t>
            </w:r>
          </w:p>
        </w:tc>
        <w:tc>
          <w:tcPr>
            <w:tcW w:w="26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(396)</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(787)</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color w:val="auto"/>
              </w:rPr>
              <w:t>Total reclassifications</w:t>
            </w:r>
          </w:p>
        </w:tc>
        <w:tc>
          <w:tcPr>
            <w:tcW w:w="292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(2,386)</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920" w:type="dxa"/>
            <w:vAlign w:val="bottom"/>
            <w:vMerge w:val="restart"/>
          </w:tcPr>
          <w:p>
            <w:pPr>
              <w:ind w:left="1800"/>
              <w:spacing w:after="0"/>
              <w:rPr>
                <w:sz w:val="20"/>
                <w:szCs w:val="20"/>
                <w:color w:val="auto"/>
              </w:rPr>
            </w:pPr>
            <w:r>
              <w:rPr>
                <w:rFonts w:ascii="Arial" w:cs="Arial" w:eastAsia="Arial" w:hAnsi="Arial"/>
                <w:sz w:val="16"/>
                <w:szCs w:val="16"/>
                <w:color w:val="auto"/>
              </w:rPr>
              <w:t>27</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2"/>
        </w:trPr>
        <w:tc>
          <w:tcPr>
            <w:tcW w:w="374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7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Balances by classification included within AOCI, net of tax on the accompanying Condensed Consolidated Balance Sheets were as follows (in thousands):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color w:val="auto"/>
              </w:rPr>
              <w:t>Derivatives Designated as Cash Flow Hedges</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63"/>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79"/>
              <w:spacing w:after="0" w:line="164" w:lineRule="exact"/>
              <w:rPr>
                <w:sz w:val="20"/>
                <w:szCs w:val="20"/>
                <w:color w:val="auto"/>
              </w:rPr>
            </w:pPr>
            <w:r>
              <w:rPr>
                <w:rFonts w:ascii="Arial" w:cs="Arial" w:eastAsia="Arial" w:hAnsi="Arial"/>
                <w:sz w:val="16"/>
                <w:szCs w:val="16"/>
                <w:color w:val="auto"/>
              </w:rPr>
              <w:t>Employee Benefit</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98"/>
        </w:trPr>
        <w:tc>
          <w:tcPr>
            <w:tcW w:w="3820" w:type="dxa"/>
            <w:vAlign w:val="bottom"/>
            <w:tcBorders>
              <w:bottom w:val="single" w:sz="8" w:color="CEFFE7"/>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Interest Rate Swaps</w:t>
            </w:r>
          </w:p>
        </w:tc>
        <w:tc>
          <w:tcPr>
            <w:tcW w:w="1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Commodity Derivatives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Plans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Total</w:t>
            </w:r>
          </w:p>
        </w:tc>
      </w:tr>
      <w:tr>
        <w:trPr>
          <w:trHeight w:val="213"/>
        </w:trPr>
        <w:tc>
          <w:tcPr>
            <w:tcW w:w="3820" w:type="dxa"/>
            <w:vAlign w:val="bottom"/>
            <w:shd w:val="clear" w:color="auto" w:fill="CEFFE7"/>
          </w:tcPr>
          <w:p>
            <w:pPr>
              <w:ind w:left="20"/>
              <w:spacing w:after="0"/>
              <w:rPr>
                <w:sz w:val="20"/>
                <w:szCs w:val="20"/>
                <w:color w:val="auto"/>
              </w:rPr>
            </w:pPr>
            <w:r>
              <w:rPr>
                <w:rFonts w:ascii="Arial" w:cs="Arial" w:eastAsia="Arial" w:hAnsi="Arial"/>
                <w:sz w:val="16"/>
                <w:szCs w:val="16"/>
                <w:color w:val="auto"/>
              </w:rPr>
              <w:t>As of December 31, 2020</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(12,558)</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(14,790)</w:t>
            </w:r>
          </w:p>
        </w:tc>
        <w:tc>
          <w:tcPr>
            <w:tcW w:w="3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(27,346)</w:t>
            </w: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3820" w:type="dxa"/>
            <w:vAlign w:val="bottom"/>
            <w:shd w:val="clear" w:color="auto" w:fill="CEFFE7"/>
          </w:tcPr>
          <w:p>
            <w:pPr>
              <w:ind w:left="140"/>
              <w:spacing w:after="0"/>
              <w:rPr>
                <w:sz w:val="20"/>
                <w:szCs w:val="20"/>
                <w:color w:val="auto"/>
              </w:rPr>
            </w:pPr>
            <w:r>
              <w:rPr>
                <w:rFonts w:ascii="Arial" w:cs="Arial" w:eastAsia="Arial" w:hAnsi="Arial"/>
                <w:sz w:val="16"/>
                <w:szCs w:val="16"/>
                <w:color w:val="auto"/>
              </w:rPr>
              <w:t>before reclassifications</w:t>
            </w:r>
          </w:p>
        </w:tc>
        <w:tc>
          <w:tcPr>
            <w:tcW w:w="260" w:type="dxa"/>
            <w:vAlign w:val="bottom"/>
            <w:shd w:val="clear" w:color="auto" w:fill="CEFFE7"/>
          </w:tcPr>
          <w:p>
            <w:pPr>
              <w:spacing w:after="0"/>
              <w:rPr>
                <w:sz w:val="19"/>
                <w:szCs w:val="19"/>
                <w:color w:val="auto"/>
              </w:rPr>
            </w:pP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9"/>
                <w:szCs w:val="19"/>
                <w:color w:val="auto"/>
              </w:rPr>
            </w:pPr>
          </w:p>
        </w:tc>
        <w:tc>
          <w:tcPr>
            <w:tcW w:w="1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1,046</w:t>
            </w:r>
          </w:p>
        </w:tc>
        <w:tc>
          <w:tcPr>
            <w:tcW w:w="160" w:type="dxa"/>
            <w:vAlign w:val="bottom"/>
            <w:shd w:val="clear" w:color="auto" w:fill="CEFFE7"/>
          </w:tcPr>
          <w:p>
            <w:pPr>
              <w:spacing w:after="0"/>
              <w:rPr>
                <w:sz w:val="19"/>
                <w:szCs w:val="19"/>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EFFE7"/>
          </w:tcPr>
          <w:p>
            <w:pPr>
              <w:spacing w:after="0"/>
              <w:rPr>
                <w:sz w:val="19"/>
                <w:szCs w:val="19"/>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1,046</w:t>
            </w:r>
          </w:p>
        </w:tc>
      </w:tr>
      <w:tr>
        <w:trPr>
          <w:trHeight w:val="213"/>
        </w:trPr>
        <w:tc>
          <w:tcPr>
            <w:tcW w:w="38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Amounts reclassified from AOCI</w:t>
            </w: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w:t>
            </w: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w:t>
            </w:r>
          </w:p>
        </w:tc>
      </w:tr>
      <w:tr>
        <w:trPr>
          <w:trHeight w:val="238"/>
        </w:trPr>
        <w:tc>
          <w:tcPr>
            <w:tcW w:w="38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As of June 30, 2021</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(11,472)</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1,029</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(14,003)</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(24,446)</w:t>
            </w:r>
          </w:p>
        </w:tc>
      </w:tr>
      <w:tr>
        <w:trPr>
          <w:trHeight w:val="20"/>
        </w:trPr>
        <w:tc>
          <w:tcPr>
            <w:tcW w:w="382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4000" w:type="dxa"/>
            <w:vAlign w:val="bottom"/>
            <w:tcBorders>
              <w:top w:val="single" w:sz="8" w:color="CEFFE7"/>
              <w:bottom w:val="single" w:sz="8" w:color="auto"/>
            </w:tcBorders>
            <w:gridSpan w:val="3"/>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r>
      <w:tr>
        <w:trPr>
          <w:trHeight w:val="427"/>
        </w:trPr>
        <w:tc>
          <w:tcPr>
            <w:tcW w:w="3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color w:val="auto"/>
              </w:rPr>
              <w:t>Derivatives Designated as Cash Flow Hedges</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3"/>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79"/>
              <w:spacing w:after="0" w:line="164" w:lineRule="exact"/>
              <w:rPr>
                <w:sz w:val="20"/>
                <w:szCs w:val="20"/>
                <w:color w:val="auto"/>
              </w:rPr>
            </w:pPr>
            <w:r>
              <w:rPr>
                <w:rFonts w:ascii="Arial" w:cs="Arial" w:eastAsia="Arial" w:hAnsi="Arial"/>
                <w:sz w:val="16"/>
                <w:szCs w:val="16"/>
                <w:color w:val="auto"/>
              </w:rPr>
              <w:t>Employee Benefit</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98"/>
        </w:trPr>
        <w:tc>
          <w:tcPr>
            <w:tcW w:w="3820" w:type="dxa"/>
            <w:vAlign w:val="bottom"/>
            <w:tcBorders>
              <w:bottom w:val="single" w:sz="8" w:color="CEFFE7"/>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Interest Rate Swaps</w:t>
            </w:r>
          </w:p>
        </w:tc>
        <w:tc>
          <w:tcPr>
            <w:tcW w:w="1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Commodity Derivatives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Plans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Total</w:t>
            </w:r>
          </w:p>
        </w:tc>
      </w:tr>
      <w:tr>
        <w:trPr>
          <w:trHeight w:val="213"/>
        </w:trPr>
        <w:tc>
          <w:tcPr>
            <w:tcW w:w="3820" w:type="dxa"/>
            <w:vAlign w:val="bottom"/>
            <w:shd w:val="clear" w:color="auto" w:fill="CEFFE7"/>
          </w:tcPr>
          <w:p>
            <w:pPr>
              <w:ind w:left="20"/>
              <w:spacing w:after="0"/>
              <w:rPr>
                <w:sz w:val="20"/>
                <w:szCs w:val="20"/>
                <w:color w:val="auto"/>
              </w:rPr>
            </w:pPr>
            <w:r>
              <w:rPr>
                <w:rFonts w:ascii="Arial" w:cs="Arial" w:eastAsia="Arial" w:hAnsi="Arial"/>
                <w:sz w:val="16"/>
                <w:szCs w:val="16"/>
                <w:color w:val="auto"/>
              </w:rPr>
              <w:t>As of December 31, 2019</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(15,122)</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(456)</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(15,077)</w:t>
            </w:r>
          </w:p>
        </w:tc>
        <w:tc>
          <w:tcPr>
            <w:tcW w:w="3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(30,655)</w:t>
            </w:r>
          </w:p>
        </w:tc>
      </w:tr>
      <w:tr>
        <w:trPr>
          <w:trHeight w:val="213"/>
        </w:trPr>
        <w:tc>
          <w:tcPr>
            <w:tcW w:w="38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3820" w:type="dxa"/>
            <w:vAlign w:val="bottom"/>
            <w:shd w:val="clear" w:color="auto" w:fill="CEFFE7"/>
          </w:tcPr>
          <w:p>
            <w:pPr>
              <w:ind w:left="140"/>
              <w:spacing w:after="0"/>
              <w:rPr>
                <w:sz w:val="20"/>
                <w:szCs w:val="20"/>
                <w:color w:val="auto"/>
              </w:rPr>
            </w:pPr>
            <w:r>
              <w:rPr>
                <w:rFonts w:ascii="Arial" w:cs="Arial" w:eastAsia="Arial" w:hAnsi="Arial"/>
                <w:sz w:val="16"/>
                <w:szCs w:val="16"/>
                <w:color w:val="auto"/>
              </w:rPr>
              <w:t>before reclassifications</w:t>
            </w:r>
          </w:p>
        </w:tc>
        <w:tc>
          <w:tcPr>
            <w:tcW w:w="260" w:type="dxa"/>
            <w:vAlign w:val="bottom"/>
            <w:shd w:val="clear" w:color="auto" w:fill="CEFFE7"/>
          </w:tcPr>
          <w:p>
            <w:pPr>
              <w:spacing w:after="0"/>
              <w:rPr>
                <w:sz w:val="19"/>
                <w:szCs w:val="19"/>
                <w:color w:val="auto"/>
              </w:rPr>
            </w:pP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9"/>
                <w:szCs w:val="19"/>
                <w:color w:val="auto"/>
              </w:rPr>
            </w:pPr>
          </w:p>
        </w:tc>
        <w:tc>
          <w:tcPr>
            <w:tcW w:w="1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(220)</w:t>
            </w:r>
          </w:p>
        </w:tc>
        <w:tc>
          <w:tcPr>
            <w:tcW w:w="160" w:type="dxa"/>
            <w:vAlign w:val="bottom"/>
            <w:shd w:val="clear" w:color="auto" w:fill="CEFFE7"/>
          </w:tcPr>
          <w:p>
            <w:pPr>
              <w:spacing w:after="0"/>
              <w:rPr>
                <w:sz w:val="19"/>
                <w:szCs w:val="19"/>
                <w:color w:val="auto"/>
              </w:rPr>
            </w:pP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w:t>
            </w:r>
          </w:p>
        </w:tc>
        <w:tc>
          <w:tcPr>
            <w:tcW w:w="340" w:type="dxa"/>
            <w:vAlign w:val="bottom"/>
            <w:shd w:val="clear" w:color="auto" w:fill="CEFFE7"/>
          </w:tcPr>
          <w:p>
            <w:pPr>
              <w:spacing w:after="0"/>
              <w:rPr>
                <w:sz w:val="19"/>
                <w:szCs w:val="19"/>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(165)</w:t>
            </w:r>
          </w:p>
        </w:tc>
      </w:tr>
      <w:tr>
        <w:trPr>
          <w:trHeight w:val="213"/>
        </w:trPr>
        <w:tc>
          <w:tcPr>
            <w:tcW w:w="38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Amounts reclassified from AOCI</w:t>
            </w: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2,386</w:t>
            </w:r>
          </w:p>
        </w:tc>
      </w:tr>
      <w:tr>
        <w:trPr>
          <w:trHeight w:val="238"/>
        </w:trPr>
        <w:tc>
          <w:tcPr>
            <w:tcW w:w="38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As of June 30, 2020</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(14,035)</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(252)</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(14,147)</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(28,434)</w:t>
            </w:r>
          </w:p>
        </w:tc>
      </w:tr>
      <w:tr>
        <w:trPr>
          <w:trHeight w:val="20"/>
        </w:trPr>
        <w:tc>
          <w:tcPr>
            <w:tcW w:w="382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202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84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154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480" w:hanging="472"/>
        <w:spacing w:after="0"/>
        <w:tabs>
          <w:tab w:leader="none" w:pos="48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Defined Benefit Pension Plan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net periodic benefit cost for the Defined Benefit Pension Plan were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3100" w:type="dxa"/>
            <w:vAlign w:val="bottom"/>
            <w:gridSpan w:val="5"/>
          </w:tcPr>
          <w:p>
            <w:pPr>
              <w:ind w:left="400"/>
              <w:spacing w:after="0"/>
              <w:rPr>
                <w:sz w:val="20"/>
                <w:szCs w:val="20"/>
                <w:color w:val="auto"/>
              </w:rPr>
            </w:pPr>
            <w:r>
              <w:rPr>
                <w:rFonts w:ascii="Arial" w:cs="Arial" w:eastAsia="Arial" w:hAnsi="Arial"/>
                <w:sz w:val="16"/>
                <w:szCs w:val="16"/>
                <w:color w:val="auto"/>
              </w:rPr>
              <w:t>Three Months Ended June 30,</w:t>
            </w:r>
          </w:p>
        </w:tc>
        <w:tc>
          <w:tcPr>
            <w:tcW w:w="320" w:type="dxa"/>
            <w:vAlign w:val="bottom"/>
          </w:tcPr>
          <w:p>
            <w:pPr>
              <w:spacing w:after="0"/>
              <w:rPr>
                <w:sz w:val="16"/>
                <w:szCs w:val="16"/>
                <w:color w:val="auto"/>
              </w:rPr>
            </w:pPr>
          </w:p>
        </w:tc>
        <w:tc>
          <w:tcPr>
            <w:tcW w:w="2700" w:type="dxa"/>
            <w:vAlign w:val="bottom"/>
            <w:gridSpan w:val="3"/>
          </w:tcPr>
          <w:p>
            <w:pPr>
              <w:jc w:val="right"/>
              <w:ind w:right="439"/>
              <w:spacing w:after="0"/>
              <w:rPr>
                <w:sz w:val="20"/>
                <w:szCs w:val="20"/>
                <w:color w:val="auto"/>
              </w:rPr>
            </w:pPr>
            <w:r>
              <w:rPr>
                <w:rFonts w:ascii="Arial" w:cs="Arial" w:eastAsia="Arial" w:hAnsi="Arial"/>
                <w:sz w:val="16"/>
                <w:szCs w:val="16"/>
                <w:color w:val="auto"/>
              </w:rPr>
              <w:t>Six Months Ended June 30,</w:t>
            </w:r>
          </w:p>
        </w:tc>
      </w:tr>
      <w:tr>
        <w:trPr>
          <w:trHeight w:val="219"/>
        </w:trPr>
        <w:tc>
          <w:tcPr>
            <w:tcW w:w="5120" w:type="dxa"/>
            <w:vAlign w:val="bottom"/>
            <w:tcBorders>
              <w:bottom w:val="single" w:sz="8" w:color="CEFFE7"/>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5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EFFE7"/>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2021</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2020</w:t>
            </w:r>
          </w:p>
        </w:tc>
      </w:tr>
      <w:tr>
        <w:trPr>
          <w:trHeight w:val="213"/>
        </w:trPr>
        <w:tc>
          <w:tcPr>
            <w:tcW w:w="5120" w:type="dxa"/>
            <w:vAlign w:val="bottom"/>
            <w:shd w:val="clear" w:color="auto" w:fill="CEFFE7"/>
          </w:tcPr>
          <w:p>
            <w:pPr>
              <w:ind w:left="20"/>
              <w:spacing w:after="0"/>
              <w:rPr>
                <w:sz w:val="20"/>
                <w:szCs w:val="20"/>
                <w:color w:val="auto"/>
              </w:rPr>
            </w:pPr>
            <w:r>
              <w:rPr>
                <w:rFonts w:ascii="Arial" w:cs="Arial" w:eastAsia="Arial" w:hAnsi="Arial"/>
                <w:sz w:val="16"/>
                <w:szCs w:val="16"/>
                <w:color w:val="auto"/>
              </w:rPr>
              <w:t>Service cost</w:t>
            </w:r>
          </w:p>
        </w:tc>
        <w:tc>
          <w:tcPr>
            <w:tcW w:w="940" w:type="dxa"/>
            <w:vAlign w:val="bottom"/>
            <w:shd w:val="clear" w:color="auto" w:fill="CEFFE7"/>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1,260</w:t>
            </w:r>
          </w:p>
        </w:tc>
        <w:tc>
          <w:tcPr>
            <w:tcW w:w="3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FE7"/>
          </w:tcPr>
          <w:p>
            <w:pPr>
              <w:jc w:val="center"/>
              <w:ind w:left="559"/>
              <w:spacing w:after="0"/>
              <w:rPr>
                <w:sz w:val="20"/>
                <w:szCs w:val="20"/>
                <w:color w:val="auto"/>
              </w:rPr>
            </w:pPr>
            <w:r>
              <w:rPr>
                <w:rFonts w:ascii="Arial" w:cs="Arial" w:eastAsia="Arial" w:hAnsi="Arial"/>
                <w:sz w:val="16"/>
                <w:szCs w:val="16"/>
                <w:color w:val="auto"/>
                <w:w w:val="99"/>
              </w:rPr>
              <w:t>1,353</w:t>
            </w:r>
          </w:p>
        </w:tc>
        <w:tc>
          <w:tcPr>
            <w:tcW w:w="120" w:type="dxa"/>
            <w:vAlign w:val="bottom"/>
            <w:shd w:val="clear" w:color="auto" w:fill="CEFFE7"/>
          </w:tcPr>
          <w:p>
            <w:pPr>
              <w:spacing w:after="0"/>
              <w:rPr>
                <w:sz w:val="18"/>
                <w:szCs w:val="18"/>
                <w:color w:val="auto"/>
              </w:rPr>
            </w:pPr>
          </w:p>
        </w:tc>
        <w:tc>
          <w:tcPr>
            <w:tcW w:w="32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2,519</w:t>
            </w:r>
          </w:p>
        </w:tc>
        <w:tc>
          <w:tcPr>
            <w:tcW w:w="3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2,706</w:t>
            </w: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2,328</w:t>
            </w:r>
          </w:p>
        </w:tc>
        <w:tc>
          <w:tcPr>
            <w:tcW w:w="340" w:type="dxa"/>
            <w:vAlign w:val="bottom"/>
          </w:tcPr>
          <w:p>
            <w:pPr>
              <w:spacing w:after="0"/>
              <w:rPr>
                <w:sz w:val="18"/>
                <w:szCs w:val="18"/>
                <w:color w:val="auto"/>
              </w:rPr>
            </w:pPr>
          </w:p>
        </w:tc>
        <w:tc>
          <w:tcPr>
            <w:tcW w:w="1160" w:type="dxa"/>
            <w:vAlign w:val="bottom"/>
          </w:tcPr>
          <w:p>
            <w:pPr>
              <w:jc w:val="center"/>
              <w:ind w:left="559"/>
              <w:spacing w:after="0"/>
              <w:rPr>
                <w:sz w:val="20"/>
                <w:szCs w:val="20"/>
                <w:color w:val="auto"/>
              </w:rPr>
            </w:pPr>
            <w:r>
              <w:rPr>
                <w:rFonts w:ascii="Arial" w:cs="Arial" w:eastAsia="Arial" w:hAnsi="Arial"/>
                <w:sz w:val="16"/>
                <w:szCs w:val="16"/>
                <w:color w:val="auto"/>
                <w:w w:val="99"/>
              </w:rPr>
              <w:t>3,356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4,656</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6,713</w:t>
            </w:r>
          </w:p>
        </w:tc>
      </w:tr>
      <w:tr>
        <w:trPr>
          <w:trHeight w:val="219"/>
        </w:trPr>
        <w:tc>
          <w:tcPr>
            <w:tcW w:w="5120" w:type="dxa"/>
            <w:vAlign w:val="bottom"/>
            <w:shd w:val="clear" w:color="auto" w:fill="CEFFE7"/>
          </w:tcPr>
          <w:p>
            <w:pPr>
              <w:ind w:left="20"/>
              <w:spacing w:after="0"/>
              <w:rPr>
                <w:sz w:val="20"/>
                <w:szCs w:val="20"/>
                <w:color w:val="auto"/>
              </w:rPr>
            </w:pPr>
            <w:r>
              <w:rPr>
                <w:rFonts w:ascii="Arial" w:cs="Arial" w:eastAsia="Arial" w:hAnsi="Arial"/>
                <w:sz w:val="16"/>
                <w:szCs w:val="16"/>
                <w:color w:val="auto"/>
              </w:rPr>
              <w:t>Expected return on plan assets</w:t>
            </w:r>
          </w:p>
        </w:tc>
        <w:tc>
          <w:tcPr>
            <w:tcW w:w="940" w:type="dxa"/>
            <w:vAlign w:val="bottom"/>
            <w:shd w:val="clear" w:color="auto" w:fill="CEFFE7"/>
          </w:tcPr>
          <w:p>
            <w:pPr>
              <w:spacing w:after="0"/>
              <w:rPr>
                <w:sz w:val="19"/>
                <w:szCs w:val="19"/>
                <w:color w:val="auto"/>
              </w:rPr>
            </w:pPr>
          </w:p>
        </w:tc>
        <w:tc>
          <w:tcPr>
            <w:tcW w:w="5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98"/>
              </w:rPr>
              <w:t>(5,219)</w:t>
            </w:r>
          </w:p>
        </w:tc>
        <w:tc>
          <w:tcPr>
            <w:tcW w:w="340" w:type="dxa"/>
            <w:vAlign w:val="bottom"/>
            <w:shd w:val="clear" w:color="auto" w:fill="CEFFE7"/>
          </w:tcPr>
          <w:p>
            <w:pPr>
              <w:spacing w:after="0"/>
              <w:rPr>
                <w:sz w:val="19"/>
                <w:szCs w:val="19"/>
                <w:color w:val="auto"/>
              </w:rPr>
            </w:pPr>
          </w:p>
        </w:tc>
        <w:tc>
          <w:tcPr>
            <w:tcW w:w="1160" w:type="dxa"/>
            <w:vAlign w:val="bottom"/>
            <w:shd w:val="clear" w:color="auto" w:fill="CEFFE7"/>
          </w:tcPr>
          <w:p>
            <w:pPr>
              <w:jc w:val="center"/>
              <w:ind w:left="519"/>
              <w:spacing w:after="0"/>
              <w:rPr>
                <w:sz w:val="20"/>
                <w:szCs w:val="20"/>
                <w:color w:val="auto"/>
              </w:rPr>
            </w:pPr>
            <w:r>
              <w:rPr>
                <w:rFonts w:ascii="Arial" w:cs="Arial" w:eastAsia="Arial" w:hAnsi="Arial"/>
                <w:sz w:val="16"/>
                <w:szCs w:val="16"/>
                <w:color w:val="auto"/>
              </w:rPr>
              <w:t>(5,648)</w:t>
            </w:r>
          </w:p>
        </w:tc>
        <w:tc>
          <w:tcPr>
            <w:tcW w:w="12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(10,438)</w:t>
            </w:r>
          </w:p>
        </w:tc>
        <w:tc>
          <w:tcPr>
            <w:tcW w:w="340" w:type="dxa"/>
            <w:vAlign w:val="bottom"/>
            <w:shd w:val="clear" w:color="auto" w:fill="CEFFE7"/>
          </w:tcPr>
          <w:p>
            <w:pPr>
              <w:spacing w:after="0"/>
              <w:rPr>
                <w:sz w:val="19"/>
                <w:szCs w:val="19"/>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(11,296)</w:t>
            </w:r>
          </w:p>
        </w:tc>
      </w:tr>
      <w:tr>
        <w:trPr>
          <w:trHeight w:val="213"/>
        </w:trPr>
        <w:tc>
          <w:tcPr>
            <w:tcW w:w="512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Net loss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1,829</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left="559"/>
              <w:spacing w:after="0"/>
              <w:rPr>
                <w:sz w:val="20"/>
                <w:szCs w:val="20"/>
                <w:color w:val="auto"/>
              </w:rPr>
            </w:pPr>
            <w:r>
              <w:rPr>
                <w:rFonts w:ascii="Arial" w:cs="Arial" w:eastAsia="Arial" w:hAnsi="Arial"/>
                <w:sz w:val="16"/>
                <w:szCs w:val="16"/>
                <w:color w:val="auto"/>
                <w:w w:val="99"/>
              </w:rPr>
              <w:t>2,093</w:t>
            </w:r>
          </w:p>
        </w:tc>
        <w:tc>
          <w:tcPr>
            <w:tcW w:w="120" w:type="dxa"/>
            <w:vAlign w:val="bottom"/>
            <w:tcBorders>
              <w:bottom w:val="single" w:sz="8" w:color="CEFFE7"/>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3,658</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4,186</w:t>
            </w:r>
          </w:p>
        </w:tc>
      </w:tr>
      <w:tr>
        <w:trPr>
          <w:trHeight w:val="238"/>
        </w:trPr>
        <w:tc>
          <w:tcPr>
            <w:tcW w:w="51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Net periodic benefit cost</w:t>
            </w:r>
          </w:p>
        </w:tc>
        <w:tc>
          <w:tcPr>
            <w:tcW w:w="940" w:type="dxa"/>
            <w:vAlign w:val="bottom"/>
            <w:tcBorders>
              <w:bottom w:val="single" w:sz="8" w:color="auto"/>
            </w:tcBorders>
            <w:shd w:val="clear" w:color="auto" w:fill="CEFFE7"/>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198</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EFFE7"/>
          </w:tcPr>
          <w:p>
            <w:pPr>
              <w:jc w:val="center"/>
              <w:ind w:left="559"/>
              <w:spacing w:after="0"/>
              <w:rPr>
                <w:sz w:val="20"/>
                <w:szCs w:val="20"/>
                <w:color w:val="auto"/>
              </w:rPr>
            </w:pPr>
            <w:r>
              <w:rPr>
                <w:rFonts w:ascii="Arial" w:cs="Arial" w:eastAsia="Arial" w:hAnsi="Arial"/>
                <w:sz w:val="16"/>
                <w:szCs w:val="16"/>
                <w:color w:val="auto"/>
                <w:w w:val="99"/>
              </w:rPr>
              <w:t>1,154</w:t>
            </w:r>
          </w:p>
        </w:tc>
        <w:tc>
          <w:tcPr>
            <w:tcW w:w="120" w:type="dxa"/>
            <w:vAlign w:val="bottom"/>
            <w:tcBorders>
              <w:bottom w:val="single" w:sz="8" w:color="CEFFE7"/>
            </w:tcBorders>
            <w:shd w:val="clear" w:color="auto" w:fill="CEFFE7"/>
          </w:tcPr>
          <w:p>
            <w:pPr>
              <w:spacing w:after="0"/>
              <w:rPr>
                <w:sz w:val="20"/>
                <w:szCs w:val="20"/>
                <w:color w:val="auto"/>
              </w:rPr>
            </w:pPr>
          </w:p>
        </w:tc>
        <w:tc>
          <w:tcPr>
            <w:tcW w:w="32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395</w:t>
            </w:r>
          </w:p>
        </w:tc>
        <w:tc>
          <w:tcPr>
            <w:tcW w:w="34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2,309</w:t>
            </w:r>
          </w:p>
        </w:tc>
      </w:tr>
      <w:tr>
        <w:trPr>
          <w:trHeight w:val="20"/>
        </w:trPr>
        <w:tc>
          <w:tcPr>
            <w:tcW w:w="5120" w:type="dxa"/>
            <w:vAlign w:val="bottom"/>
            <w:tcBorders>
              <w:top w:val="single" w:sz="8" w:color="CEFFE7"/>
            </w:tcBorders>
          </w:tcPr>
          <w:p>
            <w:pPr>
              <w:spacing w:after="0" w:line="20" w:lineRule="exact"/>
              <w:rPr>
                <w:sz w:val="1"/>
                <w:szCs w:val="1"/>
                <w:color w:val="auto"/>
              </w:rPr>
            </w:pPr>
          </w:p>
        </w:tc>
        <w:tc>
          <w:tcPr>
            <w:tcW w:w="940" w:type="dxa"/>
            <w:vAlign w:val="bottom"/>
            <w:tcBorders>
              <w:top w:val="single" w:sz="8" w:color="CEFFE7"/>
              <w:bottom w:val="single" w:sz="8" w:color="auto"/>
            </w:tcBorders>
          </w:tcPr>
          <w:p>
            <w:pPr>
              <w:spacing w:after="0" w:line="20" w:lineRule="exact"/>
              <w:rPr>
                <w:sz w:val="1"/>
                <w:szCs w:val="1"/>
                <w:color w:val="auto"/>
              </w:rPr>
            </w:pPr>
          </w:p>
        </w:tc>
        <w:tc>
          <w:tcPr>
            <w:tcW w:w="54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16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118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1180" w:type="dxa"/>
            <w:vAlign w:val="bottom"/>
            <w:tcBorders>
              <w:top w:val="single" w:sz="8" w:color="CEFFE7"/>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Defined Benefit Postretirement Healthcare Plan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net periodic benefit cost for the Defined Benefit Postretirement Healthcare Plan were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2600" w:type="dxa"/>
            <w:vAlign w:val="bottom"/>
            <w:gridSpan w:val="3"/>
          </w:tcPr>
          <w:p>
            <w:pPr>
              <w:ind w:left="420"/>
              <w:spacing w:after="0"/>
              <w:rPr>
                <w:sz w:val="20"/>
                <w:szCs w:val="20"/>
                <w:color w:val="auto"/>
              </w:rPr>
            </w:pPr>
            <w:r>
              <w:rPr>
                <w:rFonts w:ascii="Arial" w:cs="Arial" w:eastAsia="Arial" w:hAnsi="Arial"/>
                <w:sz w:val="16"/>
                <w:szCs w:val="16"/>
                <w:color w:val="auto"/>
              </w:rPr>
              <w:t>Three Months Ended June 30,</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ind w:left="200"/>
              <w:spacing w:after="0"/>
              <w:rPr>
                <w:sz w:val="20"/>
                <w:szCs w:val="20"/>
                <w:color w:val="auto"/>
              </w:rPr>
            </w:pPr>
            <w:r>
              <w:rPr>
                <w:rFonts w:ascii="Arial" w:cs="Arial" w:eastAsia="Arial" w:hAnsi="Arial"/>
                <w:sz w:val="16"/>
                <w:szCs w:val="16"/>
                <w:color w:val="auto"/>
              </w:rPr>
              <w:t>Six Months Ended June 30,</w:t>
            </w:r>
          </w:p>
        </w:tc>
      </w:tr>
      <w:tr>
        <w:trPr>
          <w:trHeight w:val="219"/>
        </w:trPr>
        <w:tc>
          <w:tcPr>
            <w:tcW w:w="20" w:type="dxa"/>
            <w:vAlign w:val="bottom"/>
          </w:tcPr>
          <w:p>
            <w:pPr>
              <w:spacing w:after="0"/>
              <w:rPr>
                <w:sz w:val="19"/>
                <w:szCs w:val="19"/>
                <w:color w:val="auto"/>
              </w:rPr>
            </w:pPr>
          </w:p>
        </w:tc>
        <w:tc>
          <w:tcPr>
            <w:tcW w:w="5100" w:type="dxa"/>
            <w:vAlign w:val="bottom"/>
            <w:tcBorders>
              <w:bottom w:val="single" w:sz="8" w:color="CEFFE7"/>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2020</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EFFE7"/>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2021</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2020</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100" w:type="dxa"/>
            <w:vAlign w:val="bottom"/>
            <w:shd w:val="clear" w:color="auto" w:fill="CEFFE7"/>
          </w:tcPr>
          <w:p>
            <w:pPr>
              <w:ind w:left="20"/>
              <w:spacing w:after="0"/>
              <w:rPr>
                <w:sz w:val="20"/>
                <w:szCs w:val="20"/>
                <w:color w:val="auto"/>
              </w:rPr>
            </w:pPr>
            <w:r>
              <w:rPr>
                <w:rFonts w:ascii="Arial" w:cs="Arial" w:eastAsia="Arial" w:hAnsi="Arial"/>
                <w:sz w:val="16"/>
                <w:szCs w:val="16"/>
                <w:color w:val="auto"/>
              </w:rPr>
              <w:t>Service cost</w:t>
            </w:r>
          </w:p>
        </w:tc>
        <w:tc>
          <w:tcPr>
            <w:tcW w:w="1020" w:type="dxa"/>
            <w:vAlign w:val="bottom"/>
            <w:shd w:val="clear" w:color="auto" w:fill="CEFFE7"/>
          </w:tcPr>
          <w:p>
            <w:pPr>
              <w:jc w:val="right"/>
              <w:ind w:right="8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559</w:t>
            </w:r>
          </w:p>
        </w:tc>
        <w:tc>
          <w:tcPr>
            <w:tcW w:w="1100" w:type="dxa"/>
            <w:vAlign w:val="bottom"/>
            <w:shd w:val="clear" w:color="auto" w:fill="CEFFE7"/>
          </w:tcPr>
          <w:p>
            <w:pPr>
              <w:jc w:val="right"/>
              <w:ind w:right="899"/>
              <w:spacing w:after="0"/>
              <w:rPr>
                <w:sz w:val="20"/>
                <w:szCs w:val="20"/>
                <w:color w:val="auto"/>
              </w:rPr>
            </w:pPr>
            <w:r>
              <w:rPr>
                <w:rFonts w:ascii="Arial" w:cs="Arial" w:eastAsia="Arial" w:hAnsi="Arial"/>
                <w:sz w:val="16"/>
                <w:szCs w:val="16"/>
                <w:color w:val="auto"/>
              </w:rPr>
              <w:t>$</w:t>
            </w:r>
          </w:p>
        </w:tc>
        <w:tc>
          <w:tcPr>
            <w:tcW w:w="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EFFE7"/>
          </w:tcPr>
          <w:p>
            <w:pPr>
              <w:spacing w:after="0"/>
              <w:rPr>
                <w:sz w:val="18"/>
                <w:szCs w:val="18"/>
                <w:color w:val="auto"/>
              </w:rPr>
            </w:pPr>
          </w:p>
        </w:tc>
        <w:tc>
          <w:tcPr>
            <w:tcW w:w="3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1,118</w:t>
            </w:r>
          </w:p>
        </w:tc>
        <w:tc>
          <w:tcPr>
            <w:tcW w:w="34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1,028</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264</w:t>
            </w:r>
          </w:p>
        </w:tc>
        <w:tc>
          <w:tcPr>
            <w:tcW w:w="1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529</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825</w:t>
            </w: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100" w:type="dxa"/>
            <w:vAlign w:val="bottom"/>
            <w:shd w:val="clear" w:color="auto" w:fill="CEFFE7"/>
          </w:tcPr>
          <w:p>
            <w:pPr>
              <w:ind w:left="20"/>
              <w:spacing w:after="0"/>
              <w:rPr>
                <w:sz w:val="20"/>
                <w:szCs w:val="20"/>
                <w:color w:val="auto"/>
              </w:rPr>
            </w:pPr>
            <w:r>
              <w:rPr>
                <w:rFonts w:ascii="Arial" w:cs="Arial" w:eastAsia="Arial" w:hAnsi="Arial"/>
                <w:sz w:val="16"/>
                <w:szCs w:val="16"/>
                <w:color w:val="auto"/>
              </w:rPr>
              <w:t>Expected return on plan assets</w:t>
            </w:r>
          </w:p>
        </w:tc>
        <w:tc>
          <w:tcPr>
            <w:tcW w:w="1020" w:type="dxa"/>
            <w:vAlign w:val="bottom"/>
            <w:shd w:val="clear" w:color="auto" w:fill="CEFFE7"/>
          </w:tcPr>
          <w:p>
            <w:pPr>
              <w:spacing w:after="0"/>
              <w:rPr>
                <w:sz w:val="19"/>
                <w:szCs w:val="19"/>
                <w:color w:val="auto"/>
              </w:rPr>
            </w:pPr>
          </w:p>
        </w:tc>
        <w:tc>
          <w:tcPr>
            <w:tcW w:w="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w:t>
            </w:r>
          </w:p>
        </w:tc>
        <w:tc>
          <w:tcPr>
            <w:tcW w:w="1100" w:type="dxa"/>
            <w:vAlign w:val="bottom"/>
            <w:shd w:val="clear" w:color="auto" w:fill="CEFFE7"/>
          </w:tcPr>
          <w:p>
            <w:pPr>
              <w:spacing w:after="0"/>
              <w:rPr>
                <w:sz w:val="19"/>
                <w:szCs w:val="19"/>
                <w:color w:val="auto"/>
              </w:rPr>
            </w:pPr>
          </w:p>
        </w:tc>
        <w:tc>
          <w:tcPr>
            <w:tcW w:w="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(68)</w:t>
            </w:r>
          </w:p>
        </w:tc>
        <w:tc>
          <w:tcPr>
            <w:tcW w:w="340" w:type="dxa"/>
            <w:vAlign w:val="bottom"/>
            <w:shd w:val="clear" w:color="auto" w:fill="CEFFE7"/>
          </w:tcPr>
          <w:p>
            <w:pPr>
              <w:spacing w:after="0"/>
              <w:rPr>
                <w:sz w:val="19"/>
                <w:szCs w:val="19"/>
                <w:color w:val="auto"/>
              </w:rPr>
            </w:pP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(91)</w:t>
            </w: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Arial" w:cs="Arial" w:eastAsia="Arial" w:hAnsi="Arial"/>
                <w:sz w:val="16"/>
                <w:szCs w:val="16"/>
                <w:color w:val="auto"/>
              </w:rPr>
              <w:t>Prior service cost (benefit)</w:t>
            </w: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(109)</w:t>
            </w:r>
          </w:p>
        </w:tc>
        <w:tc>
          <w:tcPr>
            <w:tcW w:w="1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(137)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(218)</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EFFE7"/>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tcBorders>
              <w:bottom w:val="single" w:sz="8" w:color="auto"/>
            </w:tcBorders>
            <w:shd w:val="clear" w:color="auto" w:fill="CEFFE7"/>
          </w:tcPr>
          <w:p>
            <w:pPr>
              <w:spacing w:after="0"/>
              <w:rPr>
                <w:sz w:val="18"/>
                <w:szCs w:val="18"/>
                <w:color w:val="auto"/>
              </w:rPr>
            </w:pPr>
          </w:p>
        </w:tc>
        <w:tc>
          <w:tcPr>
            <w:tcW w:w="4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117</w:t>
            </w:r>
          </w:p>
        </w:tc>
        <w:tc>
          <w:tcPr>
            <w:tcW w:w="1100" w:type="dxa"/>
            <w:vAlign w:val="bottom"/>
            <w:tcBorders>
              <w:bottom w:val="single" w:sz="8" w:color="auto"/>
            </w:tcBorders>
            <w:shd w:val="clear" w:color="auto" w:fill="CEFFE7"/>
          </w:tcPr>
          <w:p>
            <w:pPr>
              <w:spacing w:after="0"/>
              <w:rPr>
                <w:sz w:val="18"/>
                <w:szCs w:val="18"/>
                <w:color w:val="auto"/>
              </w:rPr>
            </w:pPr>
          </w:p>
        </w:tc>
        <w:tc>
          <w:tcPr>
            <w:tcW w:w="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EFFE7"/>
          </w:tcPr>
          <w:p>
            <w:pPr>
              <w:spacing w:after="0"/>
              <w:rPr>
                <w:sz w:val="18"/>
                <w:szCs w:val="18"/>
                <w:color w:val="auto"/>
              </w:rPr>
            </w:pPr>
          </w:p>
        </w:tc>
        <w:tc>
          <w:tcPr>
            <w:tcW w:w="32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234</w:t>
            </w:r>
          </w:p>
        </w:tc>
        <w:tc>
          <w:tcPr>
            <w:tcW w:w="340" w:type="dxa"/>
            <w:vAlign w:val="bottom"/>
            <w:tcBorders>
              <w:bottom w:val="single" w:sz="8" w:color="auto"/>
            </w:tcBorders>
            <w:shd w:val="clear" w:color="auto" w:fill="CEFFE7"/>
          </w:tcPr>
          <w:p>
            <w:pPr>
              <w:spacing w:after="0"/>
              <w:rPr>
                <w:sz w:val="18"/>
                <w:szCs w:val="18"/>
                <w:color w:val="auto"/>
              </w:rPr>
            </w:pP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Arial" w:cs="Arial" w:eastAsia="Arial" w:hAnsi="Arial"/>
                <w:sz w:val="16"/>
                <w:szCs w:val="16"/>
                <w:color w:val="auto"/>
              </w:rPr>
              <w:t>Net periodic benefit cost</w:t>
            </w: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w:t>
            </w:r>
          </w:p>
        </w:tc>
        <w:tc>
          <w:tcPr>
            <w:tcW w:w="110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1,595</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020" w:type="dxa"/>
            <w:vAlign w:val="bottom"/>
          </w:tcPr>
          <w:p>
            <w:pPr>
              <w:ind w:left="420"/>
              <w:spacing w:after="0"/>
              <w:rPr>
                <w:sz w:val="20"/>
                <w:szCs w:val="20"/>
                <w:color w:val="auto"/>
              </w:rPr>
            </w:pPr>
            <w:r>
              <w:rPr>
                <w:rFonts w:ascii="Arial" w:cs="Arial" w:eastAsia="Arial" w:hAnsi="Arial"/>
                <w:sz w:val="16"/>
                <w:szCs w:val="16"/>
                <w:color w:val="auto"/>
              </w:rPr>
              <w:t>28</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2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Supplemental Non-qualified Defined Benefit and Defined Contribution Plans</w:t>
      </w:r>
    </w:p>
    <w:p>
      <w:pPr>
        <w:spacing w:after="0" w:line="248" w:lineRule="exact"/>
        <w:rPr>
          <w:sz w:val="20"/>
          <w:szCs w:val="20"/>
          <w:color w:val="auto"/>
        </w:rPr>
      </w:pPr>
    </w:p>
    <w:p>
      <w:pPr>
        <w:ind w:right="740"/>
        <w:spacing w:after="0" w:line="260" w:lineRule="auto"/>
        <w:rPr>
          <w:sz w:val="20"/>
          <w:szCs w:val="20"/>
          <w:color w:val="auto"/>
        </w:rPr>
      </w:pPr>
      <w:r>
        <w:rPr>
          <w:rFonts w:ascii="Arial" w:cs="Arial" w:eastAsia="Arial" w:hAnsi="Arial"/>
          <w:sz w:val="16"/>
          <w:szCs w:val="16"/>
          <w:color w:val="auto"/>
        </w:rPr>
        <w:t>The components of net periodic benefit cost for the Supplemental Non-qualified Defined Benefit and Defined Contribution Plans were as follows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3100" w:type="dxa"/>
            <w:vAlign w:val="bottom"/>
            <w:gridSpan w:val="5"/>
          </w:tcPr>
          <w:p>
            <w:pPr>
              <w:ind w:left="400"/>
              <w:spacing w:after="0"/>
              <w:rPr>
                <w:sz w:val="20"/>
                <w:szCs w:val="20"/>
                <w:color w:val="auto"/>
              </w:rPr>
            </w:pPr>
            <w:r>
              <w:rPr>
                <w:rFonts w:ascii="Arial" w:cs="Arial" w:eastAsia="Arial" w:hAnsi="Arial"/>
                <w:sz w:val="16"/>
                <w:szCs w:val="16"/>
                <w:color w:val="auto"/>
              </w:rPr>
              <w:t>Three Months Ended June 30,</w:t>
            </w:r>
          </w:p>
        </w:tc>
        <w:tc>
          <w:tcPr>
            <w:tcW w:w="320" w:type="dxa"/>
            <w:vAlign w:val="bottom"/>
          </w:tcPr>
          <w:p>
            <w:pPr>
              <w:spacing w:after="0"/>
              <w:rPr>
                <w:sz w:val="16"/>
                <w:szCs w:val="16"/>
                <w:color w:val="auto"/>
              </w:rPr>
            </w:pPr>
          </w:p>
        </w:tc>
        <w:tc>
          <w:tcPr>
            <w:tcW w:w="2700" w:type="dxa"/>
            <w:vAlign w:val="bottom"/>
            <w:gridSpan w:val="3"/>
          </w:tcPr>
          <w:p>
            <w:pPr>
              <w:jc w:val="right"/>
              <w:ind w:right="439"/>
              <w:spacing w:after="0"/>
              <w:rPr>
                <w:sz w:val="20"/>
                <w:szCs w:val="20"/>
                <w:color w:val="auto"/>
              </w:rPr>
            </w:pPr>
            <w:r>
              <w:rPr>
                <w:rFonts w:ascii="Arial" w:cs="Arial" w:eastAsia="Arial" w:hAnsi="Arial"/>
                <w:sz w:val="16"/>
                <w:szCs w:val="16"/>
                <w:color w:val="auto"/>
              </w:rPr>
              <w:t>Six Months Ended June 30,</w:t>
            </w:r>
          </w:p>
        </w:tc>
      </w:tr>
      <w:tr>
        <w:trPr>
          <w:trHeight w:val="219"/>
        </w:trPr>
        <w:tc>
          <w:tcPr>
            <w:tcW w:w="5120" w:type="dxa"/>
            <w:vAlign w:val="bottom"/>
            <w:tcBorders>
              <w:bottom w:val="single" w:sz="8" w:color="CEFFE7"/>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5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2020</w:t>
            </w:r>
          </w:p>
        </w:tc>
        <w:tc>
          <w:tcPr>
            <w:tcW w:w="120" w:type="dxa"/>
            <w:vAlign w:val="bottom"/>
            <w:tcBorders>
              <w:bottom w:val="single" w:sz="8" w:color="CEFFE7"/>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2021</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2020</w:t>
            </w:r>
          </w:p>
        </w:tc>
      </w:tr>
      <w:tr>
        <w:trPr>
          <w:trHeight w:val="213"/>
        </w:trPr>
        <w:tc>
          <w:tcPr>
            <w:tcW w:w="5120" w:type="dxa"/>
            <w:vAlign w:val="bottom"/>
            <w:shd w:val="clear" w:color="auto" w:fill="CEFFE7"/>
          </w:tcPr>
          <w:p>
            <w:pPr>
              <w:ind w:left="20"/>
              <w:spacing w:after="0"/>
              <w:rPr>
                <w:sz w:val="20"/>
                <w:szCs w:val="20"/>
                <w:color w:val="auto"/>
              </w:rPr>
            </w:pPr>
            <w:r>
              <w:rPr>
                <w:rFonts w:ascii="Arial" w:cs="Arial" w:eastAsia="Arial" w:hAnsi="Arial"/>
                <w:sz w:val="16"/>
                <w:szCs w:val="16"/>
                <w:color w:val="auto"/>
              </w:rPr>
              <w:t>Service cost</w:t>
            </w:r>
          </w:p>
        </w:tc>
        <w:tc>
          <w:tcPr>
            <w:tcW w:w="960" w:type="dxa"/>
            <w:vAlign w:val="bottom"/>
            <w:shd w:val="clear" w:color="auto" w:fill="CEFFE7"/>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1,020</w:t>
            </w:r>
          </w:p>
        </w:tc>
        <w:tc>
          <w:tcPr>
            <w:tcW w:w="36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1,817</w:t>
            </w:r>
          </w:p>
        </w:tc>
        <w:tc>
          <w:tcPr>
            <w:tcW w:w="120" w:type="dxa"/>
            <w:vAlign w:val="bottom"/>
            <w:shd w:val="clear" w:color="auto" w:fill="CEFFE7"/>
          </w:tcPr>
          <w:p>
            <w:pPr>
              <w:spacing w:after="0"/>
              <w:rPr>
                <w:sz w:val="18"/>
                <w:szCs w:val="18"/>
                <w:color w:val="auto"/>
              </w:rPr>
            </w:pPr>
          </w:p>
        </w:tc>
        <w:tc>
          <w:tcPr>
            <w:tcW w:w="32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1,713</w:t>
            </w:r>
          </w:p>
        </w:tc>
        <w:tc>
          <w:tcPr>
            <w:tcW w:w="36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447</w:t>
            </w: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177</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354</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16"/>
        </w:trPr>
        <w:tc>
          <w:tcPr>
            <w:tcW w:w="5120" w:type="dxa"/>
            <w:vAlign w:val="bottom"/>
            <w:shd w:val="clear" w:color="auto" w:fill="CEFFE7"/>
          </w:tcPr>
          <w:p>
            <w:pPr>
              <w:ind w:left="20"/>
              <w:spacing w:after="0"/>
              <w:rPr>
                <w:sz w:val="20"/>
                <w:szCs w:val="20"/>
                <w:color w:val="auto"/>
              </w:rPr>
            </w:pPr>
            <w:r>
              <w:rPr>
                <w:rFonts w:ascii="Arial" w:cs="Arial" w:eastAsia="Arial" w:hAnsi="Arial"/>
                <w:sz w:val="16"/>
                <w:szCs w:val="16"/>
                <w:color w:val="auto"/>
              </w:rPr>
              <w:t>Net loss</w:t>
            </w:r>
          </w:p>
        </w:tc>
        <w:tc>
          <w:tcPr>
            <w:tcW w:w="960" w:type="dxa"/>
            <w:vAlign w:val="bottom"/>
            <w:tcBorders>
              <w:bottom w:val="single" w:sz="8" w:color="auto"/>
            </w:tcBorders>
            <w:shd w:val="clear" w:color="auto" w:fill="CEFFE7"/>
          </w:tcPr>
          <w:p>
            <w:pPr>
              <w:spacing w:after="0"/>
              <w:rPr>
                <w:sz w:val="18"/>
                <w:szCs w:val="18"/>
                <w:color w:val="auto"/>
              </w:rPr>
            </w:pPr>
          </w:p>
        </w:tc>
        <w:tc>
          <w:tcPr>
            <w:tcW w:w="5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438</w:t>
            </w:r>
          </w:p>
        </w:tc>
        <w:tc>
          <w:tcPr>
            <w:tcW w:w="360" w:type="dxa"/>
            <w:vAlign w:val="bottom"/>
            <w:tcBorders>
              <w:bottom w:val="single" w:sz="8" w:color="auto"/>
            </w:tcBorders>
            <w:shd w:val="clear" w:color="auto" w:fill="CEFFE7"/>
          </w:tcPr>
          <w:p>
            <w:pPr>
              <w:spacing w:after="0"/>
              <w:rPr>
                <w:sz w:val="18"/>
                <w:szCs w:val="18"/>
                <w:color w:val="auto"/>
              </w:rPr>
            </w:pP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426</w:t>
            </w:r>
          </w:p>
        </w:tc>
        <w:tc>
          <w:tcPr>
            <w:tcW w:w="120" w:type="dxa"/>
            <w:vAlign w:val="bottom"/>
            <w:shd w:val="clear" w:color="auto" w:fill="CEFFE7"/>
          </w:tcPr>
          <w:p>
            <w:pPr>
              <w:spacing w:after="0"/>
              <w:rPr>
                <w:sz w:val="18"/>
                <w:szCs w:val="18"/>
                <w:color w:val="auto"/>
              </w:rPr>
            </w:pPr>
          </w:p>
        </w:tc>
        <w:tc>
          <w:tcPr>
            <w:tcW w:w="320" w:type="dxa"/>
            <w:vAlign w:val="bottom"/>
            <w:tcBorders>
              <w:bottom w:val="single" w:sz="8" w:color="auto"/>
            </w:tcBorders>
            <w:shd w:val="clear" w:color="auto" w:fill="CEFFE7"/>
          </w:tcPr>
          <w:p>
            <w:pPr>
              <w:spacing w:after="0"/>
              <w:rPr>
                <w:sz w:val="18"/>
                <w:szCs w:val="18"/>
                <w:color w:val="auto"/>
              </w:rPr>
            </w:pPr>
          </w:p>
        </w:tc>
        <w:tc>
          <w:tcPr>
            <w:tcW w:w="1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877</w:t>
            </w:r>
          </w:p>
        </w:tc>
        <w:tc>
          <w:tcPr>
            <w:tcW w:w="360" w:type="dxa"/>
            <w:vAlign w:val="bottom"/>
            <w:tcBorders>
              <w:bottom w:val="single" w:sz="8" w:color="auto"/>
            </w:tcBorders>
            <w:shd w:val="clear" w:color="auto" w:fill="CEFFE7"/>
          </w:tcPr>
          <w:p>
            <w:pPr>
              <w:spacing w:after="0"/>
              <w:rPr>
                <w:sz w:val="18"/>
                <w:szCs w:val="18"/>
                <w:color w:val="auto"/>
              </w:rPr>
            </w:pP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852</w:t>
            </w:r>
          </w:p>
        </w:tc>
      </w:tr>
      <w:tr>
        <w:trPr>
          <w:trHeight w:val="212"/>
        </w:trPr>
        <w:tc>
          <w:tcPr>
            <w:tcW w:w="5120" w:type="dxa"/>
            <w:vAlign w:val="bottom"/>
          </w:tcPr>
          <w:p>
            <w:pPr>
              <w:ind w:left="20"/>
              <w:spacing w:after="0"/>
              <w:rPr>
                <w:sz w:val="20"/>
                <w:szCs w:val="20"/>
                <w:color w:val="auto"/>
              </w:rPr>
            </w:pPr>
            <w:r>
              <w:rPr>
                <w:rFonts w:ascii="Arial" w:cs="Arial" w:eastAsia="Arial" w:hAnsi="Arial"/>
                <w:sz w:val="16"/>
                <w:szCs w:val="16"/>
                <w:color w:val="auto"/>
              </w:rPr>
              <w:t>Net periodic benefit cost</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1,635</w:t>
            </w: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2,944</w:t>
            </w:r>
          </w:p>
        </w:tc>
        <w:tc>
          <w:tcPr>
            <w:tcW w:w="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1,849</w:t>
            </w:r>
          </w:p>
        </w:tc>
      </w:tr>
      <w:tr>
        <w:trPr>
          <w:trHeight w:val="21"/>
        </w:trPr>
        <w:tc>
          <w:tcPr>
            <w:tcW w:w="5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Contributions</w:t>
      </w:r>
    </w:p>
    <w:p>
      <w:pPr>
        <w:spacing w:after="0" w:line="248" w:lineRule="exact"/>
        <w:rPr>
          <w:sz w:val="20"/>
          <w:szCs w:val="20"/>
          <w:color w:val="auto"/>
        </w:rPr>
      </w:pPr>
    </w:p>
    <w:p>
      <w:pPr>
        <w:ind w:right="580"/>
        <w:spacing w:after="0" w:line="253" w:lineRule="auto"/>
        <w:rPr>
          <w:sz w:val="20"/>
          <w:szCs w:val="20"/>
          <w:color w:val="auto"/>
        </w:rPr>
      </w:pPr>
      <w:r>
        <w:rPr>
          <w:rFonts w:ascii="Arial" w:cs="Arial" w:eastAsia="Arial" w:hAnsi="Arial"/>
          <w:sz w:val="16"/>
          <w:szCs w:val="16"/>
          <w:color w:val="auto"/>
        </w:rPr>
        <w:t>Contributions to the Defined Benefit Pension Plan are cash contributions made directly to the Pension Plan Trust account. Contributions to the Postretirement Healthcare and Supplemental Plans are made in the form of benefit payments. Contributions made in the first six months of 2021 and anticipated contributions for 2021 and 2022 are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color w:val="auto"/>
                <w:w w:val="99"/>
              </w:rPr>
              <w:t>Additional</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5"/>
        </w:trPr>
        <w:tc>
          <w:tcPr>
            <w:tcW w:w="6400" w:type="dxa"/>
            <w:vAlign w:val="bottom"/>
          </w:tcPr>
          <w:p>
            <w:pPr>
              <w:spacing w:after="0"/>
              <w:rPr>
                <w:sz w:val="16"/>
                <w:szCs w:val="16"/>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color w:val="auto"/>
              </w:rPr>
              <w:t>Contributions Made</w:t>
            </w:r>
          </w:p>
        </w:tc>
        <w:tc>
          <w:tcPr>
            <w:tcW w:w="200" w:type="dxa"/>
            <w:vAlign w:val="bottom"/>
          </w:tcPr>
          <w:p>
            <w:pPr>
              <w:spacing w:after="0"/>
              <w:rPr>
                <w:sz w:val="16"/>
                <w:szCs w:val="16"/>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color w:val="auto"/>
                <w:w w:val="99"/>
              </w:rPr>
              <w:t>Contributions</w:t>
            </w:r>
          </w:p>
        </w:tc>
        <w:tc>
          <w:tcPr>
            <w:tcW w:w="220" w:type="dxa"/>
            <w:vAlign w:val="bottom"/>
          </w:tcPr>
          <w:p>
            <w:pPr>
              <w:spacing w:after="0"/>
              <w:rPr>
                <w:sz w:val="16"/>
                <w:szCs w:val="16"/>
                <w:color w:val="auto"/>
              </w:rPr>
            </w:pPr>
          </w:p>
        </w:tc>
        <w:tc>
          <w:tcPr>
            <w:tcW w:w="1340" w:type="dxa"/>
            <w:vAlign w:val="bottom"/>
          </w:tcPr>
          <w:p>
            <w:pPr>
              <w:jc w:val="right"/>
              <w:ind w:right="219"/>
              <w:spacing w:after="0"/>
              <w:rPr>
                <w:sz w:val="20"/>
                <w:szCs w:val="20"/>
                <w:color w:val="auto"/>
              </w:rPr>
            </w:pPr>
            <w:r>
              <w:rPr>
                <w:rFonts w:ascii="Arial" w:cs="Arial" w:eastAsia="Arial" w:hAnsi="Arial"/>
                <w:sz w:val="16"/>
                <w:szCs w:val="16"/>
                <w:color w:val="auto"/>
              </w:rPr>
              <w:t>Contributions</w:t>
            </w:r>
          </w:p>
        </w:tc>
      </w:tr>
      <w:tr>
        <w:trPr>
          <w:trHeight w:val="183"/>
        </w:trPr>
        <w:tc>
          <w:tcPr>
            <w:tcW w:w="6400" w:type="dxa"/>
            <w:vAlign w:val="bottom"/>
          </w:tcPr>
          <w:p>
            <w:pPr>
              <w:spacing w:after="0"/>
              <w:rPr>
                <w:sz w:val="15"/>
                <w:szCs w:val="15"/>
                <w:color w:val="auto"/>
              </w:rPr>
            </w:pPr>
          </w:p>
        </w:tc>
        <w:tc>
          <w:tcPr>
            <w:tcW w:w="1760" w:type="dxa"/>
            <w:vAlign w:val="bottom"/>
            <w:gridSpan w:val="2"/>
          </w:tcPr>
          <w:p>
            <w:pPr>
              <w:ind w:left="20"/>
              <w:spacing w:after="0"/>
              <w:rPr>
                <w:sz w:val="20"/>
                <w:szCs w:val="20"/>
                <w:color w:val="auto"/>
              </w:rPr>
            </w:pPr>
            <w:r>
              <w:rPr>
                <w:rFonts w:ascii="Arial" w:cs="Arial" w:eastAsia="Arial" w:hAnsi="Arial"/>
                <w:sz w:val="16"/>
                <w:szCs w:val="16"/>
                <w:color w:val="auto"/>
              </w:rPr>
              <w:t>Six Months Ended June</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98"/>
        </w:trPr>
        <w:tc>
          <w:tcPr>
            <w:tcW w:w="6400" w:type="dxa"/>
            <w:vAlign w:val="bottom"/>
            <w:tcBorders>
              <w:bottom w:val="single" w:sz="8" w:color="CEFFE7"/>
            </w:tcBorders>
          </w:tcPr>
          <w:p>
            <w:pPr>
              <w:spacing w:after="0"/>
              <w:rPr>
                <w:sz w:val="17"/>
                <w:szCs w:val="17"/>
                <w:color w:val="auto"/>
              </w:rPr>
            </w:pPr>
          </w:p>
        </w:tc>
        <w:tc>
          <w:tcPr>
            <w:tcW w:w="124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30, 2021</w:t>
            </w:r>
          </w:p>
        </w:tc>
        <w:tc>
          <w:tcPr>
            <w:tcW w:w="5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Anticipated for 2021</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Anticipated for 2022</w:t>
            </w:r>
          </w:p>
        </w:tc>
      </w:tr>
      <w:tr>
        <w:trPr>
          <w:trHeight w:val="213"/>
        </w:trPr>
        <w:tc>
          <w:tcPr>
            <w:tcW w:w="640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Defined Benefit Pension Plan</w:t>
            </w:r>
          </w:p>
        </w:tc>
        <w:tc>
          <w:tcPr>
            <w:tcW w:w="1240" w:type="dxa"/>
            <w:vAlign w:val="bottom"/>
            <w:shd w:val="clear" w:color="auto" w:fill="CEFFE7"/>
          </w:tcPr>
          <w:p>
            <w:pPr>
              <w:ind w:left="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 $</w:t>
            </w:r>
          </w:p>
        </w:tc>
        <w:tc>
          <w:tcPr>
            <w:tcW w:w="1540" w:type="dxa"/>
            <w:vAlign w:val="bottom"/>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 $</w:t>
            </w: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3,788</w:t>
            </w:r>
          </w:p>
        </w:tc>
      </w:tr>
      <w:tr>
        <w:trPr>
          <w:trHeight w:val="213"/>
        </w:trPr>
        <w:tc>
          <w:tcPr>
            <w:tcW w:w="6400" w:type="dxa"/>
            <w:vAlign w:val="bottom"/>
          </w:tcPr>
          <w:p>
            <w:pPr>
              <w:ind w:left="20"/>
              <w:spacing w:after="0"/>
              <w:rPr>
                <w:sz w:val="20"/>
                <w:szCs w:val="20"/>
                <w:color w:val="auto"/>
              </w:rPr>
            </w:pPr>
            <w:r>
              <w:rPr>
                <w:rFonts w:ascii="Arial" w:cs="Arial" w:eastAsia="Arial" w:hAnsi="Arial"/>
                <w:sz w:val="16"/>
                <w:szCs w:val="16"/>
                <w:color w:val="auto"/>
              </w:rPr>
              <w:t>Non-pension Defined Benefit Postretirement Healthcare Plan</w:t>
            </w:r>
          </w:p>
        </w:tc>
        <w:tc>
          <w:tcPr>
            <w:tcW w:w="1240" w:type="dxa"/>
            <w:vAlign w:val="bottom"/>
          </w:tcPr>
          <w:p>
            <w:pPr>
              <w:ind w:lef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2,763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2,763</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5,241</w:t>
            </w:r>
          </w:p>
        </w:tc>
      </w:tr>
      <w:tr>
        <w:trPr>
          <w:trHeight w:val="219"/>
        </w:trPr>
        <w:tc>
          <w:tcPr>
            <w:tcW w:w="6400" w:type="dxa"/>
            <w:vAlign w:val="bottom"/>
            <w:shd w:val="clear" w:color="auto" w:fill="CEFFE7"/>
          </w:tcPr>
          <w:p>
            <w:pPr>
              <w:ind w:left="20"/>
              <w:spacing w:after="0"/>
              <w:rPr>
                <w:sz w:val="20"/>
                <w:szCs w:val="20"/>
                <w:color w:val="auto"/>
              </w:rPr>
            </w:pPr>
            <w:r>
              <w:rPr>
                <w:rFonts w:ascii="Arial" w:cs="Arial" w:eastAsia="Arial" w:hAnsi="Arial"/>
                <w:sz w:val="16"/>
                <w:szCs w:val="16"/>
                <w:color w:val="auto"/>
              </w:rPr>
              <w:t>Supplemental Non-qualified Defined Benefit and Defined Contribution Plans</w:t>
            </w:r>
          </w:p>
        </w:tc>
        <w:tc>
          <w:tcPr>
            <w:tcW w:w="1240" w:type="dxa"/>
            <w:vAlign w:val="bottom"/>
            <w:shd w:val="clear" w:color="auto" w:fill="CEFFE7"/>
          </w:tcPr>
          <w:p>
            <w:pPr>
              <w:ind w:lef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964</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964</w:t>
            </w:r>
          </w:p>
        </w:tc>
        <w:tc>
          <w:tcPr>
            <w:tcW w:w="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1,967</w:t>
            </w:r>
          </w:p>
        </w:tc>
      </w:tr>
    </w:tbl>
    <w:p>
      <w:pPr>
        <w:spacing w:after="0" w:line="200" w:lineRule="exact"/>
        <w:rPr>
          <w:sz w:val="20"/>
          <w:szCs w:val="20"/>
          <w:color w:val="auto"/>
        </w:rPr>
      </w:pPr>
    </w:p>
    <w:p>
      <w:pPr>
        <w:spacing w:after="0" w:line="362"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24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Winter Storm Uri</w:t>
      </w:r>
    </w:p>
    <w:p>
      <w:pPr>
        <w:spacing w:after="0" w:line="268" w:lineRule="exact"/>
        <w:rPr>
          <w:sz w:val="20"/>
          <w:szCs w:val="20"/>
          <w:color w:val="auto"/>
        </w:rPr>
      </w:pPr>
    </w:p>
    <w:p>
      <w:pPr>
        <w:ind w:right="20"/>
        <w:spacing w:after="0" w:line="251" w:lineRule="auto"/>
        <w:rPr>
          <w:rFonts w:ascii="Arial" w:cs="Arial" w:eastAsia="Arial" w:hAnsi="Arial"/>
          <w:sz w:val="16"/>
          <w:szCs w:val="16"/>
          <w:color w:val="auto"/>
        </w:rPr>
      </w:pPr>
      <w:r>
        <w:rPr>
          <w:rFonts w:ascii="Arial" w:cs="Arial" w:eastAsia="Arial" w:hAnsi="Arial"/>
          <w:sz w:val="16"/>
          <w:szCs w:val="16"/>
          <w:color w:val="auto"/>
        </w:rPr>
        <w:t xml:space="preserve">As discussed in </w:t>
      </w:r>
      <w:hyperlink w:anchor="page15">
        <w:r>
          <w:rPr>
            <w:rFonts w:ascii="Arial" w:cs="Arial" w:eastAsia="Arial" w:hAnsi="Arial"/>
            <w:sz w:val="16"/>
            <w:szCs w:val="16"/>
            <w:u w:val="single" w:color="auto"/>
            <w:color w:val="0000FF"/>
          </w:rPr>
          <w:t>Note 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above, our Utilities submitted cost recovery applications which seek to recover incremental costs from Winter Storm Uri through a regulatory mechanism. We expect to recover these costs from customers over several years. Winter Storm Uri costs, which will be deductible in our 2021 tax return, created a net deferred tax liability of approximately $132 million. The deferred tax liability will reverse with the same timing as the costs are recovered from our customers.</w:t>
      </w:r>
    </w:p>
    <w:p>
      <w:pPr>
        <w:spacing w:after="0" w:line="22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income tax deduction recognized from Winter Storm Uri will create a NOL in our 2021 federal and state income tax returns. Our federal NOL carryforwards no longer expire due to the TCJA; however, our state NOL carryforwards expire at various dates from 2021 to 2040. We do not anticipate material changes to our valuation allowance against the state NOL carryforwards from Winter Storm Uri. Therefore, we did not record an additional valuation allowance against the state NOL carryforwards as of June 30, 2021.</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and Effective Tax Rates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June 30, 2021 Compared to the Three Months Ended June 30, 2020</w:t>
      </w:r>
    </w:p>
    <w:p>
      <w:pPr>
        <w:spacing w:after="0" w:line="248"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auto"/>
        </w:rPr>
        <w:t>Income tax (expense) for the three months ended June 30, 2021 was $(0.6) million compared to $(4.8) million reported for the same period in 2020. For the three months ended June 30, 2021 the effective tax rate was 2.0% compared to 16.4% for the same period in 2020. The lower effective tax rate is primarily due to $2.2 million of increased tax benefits from Nebraska Gas TCJA-related bill credits to customers (which is offset by reduced revenue) and $1.9 million of increased flow-through tax benefits related to repairs and certain indirect costs.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2021 Compared to the Six Months Ended June 30, 2020</w:t>
      </w:r>
    </w:p>
    <w:p>
      <w:pPr>
        <w:spacing w:after="0" w:line="24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Income tax (expense) for the six months ended June 30, 2021 was $(1.1) million compared to $(21) million reported for the same period in 2020. For the six months ended June 30, 2021, the effective tax rate was 0.8% compared to 14.6% for the same period in 2020. The lower effective tax rate is primarily due to $10 million of increased tax benefits from Colorado Electric and Nebraska Gas TCJA-related bill credits to customers (which is offset by reduced revenue), $3.0 million of increased flow-through tax benefits related to repairs and certain indirect costs, $1.6 million of increased tax benefits from federal production tax credits associated with new wind assets and $1.4 million of increased tax benefits from amortization of excess deferred income taxes.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ind w:left="10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580" w:hanging="472"/>
        <w:spacing w:after="0"/>
        <w:tabs>
          <w:tab w:leader="none" w:pos="58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Business Segment Information</w:t>
      </w:r>
    </w:p>
    <w:p>
      <w:pPr>
        <w:spacing w:after="0" w:line="268" w:lineRule="exact"/>
        <w:rPr>
          <w:sz w:val="20"/>
          <w:szCs w:val="20"/>
          <w:color w:val="auto"/>
        </w:rPr>
      </w:pPr>
    </w:p>
    <w:p>
      <w:pPr>
        <w:jc w:val="both"/>
        <w:ind w:left="100"/>
        <w:spacing w:after="0" w:line="260" w:lineRule="auto"/>
        <w:rPr>
          <w:sz w:val="20"/>
          <w:szCs w:val="20"/>
          <w:color w:val="auto"/>
        </w:rPr>
      </w:pPr>
      <w:r>
        <w:rPr>
          <w:rFonts w:ascii="Arial" w:cs="Arial" w:eastAsia="Arial" w:hAnsi="Arial"/>
          <w:sz w:val="16"/>
          <w:szCs w:val="16"/>
          <w:color w:val="auto"/>
        </w:rPr>
        <w:t>Our reportable segments are based on our method of internal reporting, which is generally segregated by differences in products, services and regulation. All of our operations and assets are located within the United States.</w:t>
      </w:r>
    </w:p>
    <w:p>
      <w:pPr>
        <w:spacing w:after="0" w:line="222" w:lineRule="exact"/>
        <w:rPr>
          <w:sz w:val="20"/>
          <w:szCs w:val="20"/>
          <w:color w:val="auto"/>
        </w:rPr>
      </w:pPr>
    </w:p>
    <w:p>
      <w:pPr>
        <w:jc w:val="both"/>
        <w:ind w:left="100"/>
        <w:spacing w:after="0" w:line="251" w:lineRule="auto"/>
        <w:rPr>
          <w:sz w:val="20"/>
          <w:szCs w:val="20"/>
          <w:color w:val="auto"/>
        </w:rPr>
      </w:pPr>
      <w:r>
        <w:rPr>
          <w:rFonts w:ascii="Arial" w:cs="Arial" w:eastAsia="Arial" w:hAnsi="Arial"/>
          <w:sz w:val="16"/>
          <w:szCs w:val="16"/>
          <w:color w:val="auto"/>
        </w:rPr>
        <w:t>Accounting standards for presentation of segments require an approach based on the way we organize the segments for making operating decisions and how the Chief Operating Decision Maker (CODM) assesses performance. The CODM assesses the performance of our segments using adjusted operating income, which recognizes intersegment revenues, costs, and assets for Colorado Electric’s PPA with Black Hills Colorado IPP on an accrual basis rather than as a finance lease. This presentation of segment information does not impact consolidated financial results.</w:t>
      </w:r>
    </w:p>
    <w:p>
      <w:pPr>
        <w:spacing w:after="0" w:line="229"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7140" w:type="dxa"/>
            <w:vAlign w:val="bottom"/>
            <w:gridSpan w:val="2"/>
          </w:tcPr>
          <w:p>
            <w:pPr>
              <w:spacing w:after="0"/>
              <w:rPr>
                <w:sz w:val="20"/>
                <w:szCs w:val="20"/>
                <w:color w:val="auto"/>
              </w:rPr>
            </w:pPr>
            <w:r>
              <w:rPr>
                <w:rFonts w:ascii="Arial" w:cs="Arial" w:eastAsia="Arial" w:hAnsi="Arial"/>
                <w:sz w:val="16"/>
                <w:szCs w:val="16"/>
                <w:color w:val="252525"/>
              </w:rPr>
              <w:t>Segment information was as follows (in thousands):</w:t>
            </w:r>
          </w:p>
        </w:tc>
        <w:tc>
          <w:tcPr>
            <w:tcW w:w="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27"/>
        </w:trPr>
        <w:tc>
          <w:tcPr>
            <w:tcW w:w="40" w:type="dxa"/>
            <w:vAlign w:val="bottom"/>
          </w:tcPr>
          <w:p>
            <w:pPr>
              <w:spacing w:after="0"/>
              <w:rPr>
                <w:sz w:val="24"/>
                <w:szCs w:val="24"/>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assets (net of intercompany eliminations) as of:</w:t>
            </w:r>
          </w:p>
        </w:tc>
        <w:tc>
          <w:tcPr>
            <w:tcW w:w="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June 30, 2021</w:t>
            </w: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2020</w:t>
            </w:r>
          </w:p>
        </w:tc>
      </w:tr>
      <w:tr>
        <w:trPr>
          <w:trHeight w:val="213"/>
        </w:trPr>
        <w:tc>
          <w:tcPr>
            <w:tcW w:w="40" w:type="dxa"/>
            <w:vAlign w:val="bottom"/>
          </w:tcPr>
          <w:p>
            <w:pPr>
              <w:spacing w:after="0"/>
              <w:rPr>
                <w:sz w:val="18"/>
                <w:szCs w:val="18"/>
                <w:color w:val="auto"/>
              </w:rPr>
            </w:pPr>
          </w:p>
        </w:tc>
        <w:tc>
          <w:tcPr>
            <w:tcW w:w="7100" w:type="dxa"/>
            <w:vAlign w:val="bottom"/>
            <w:shd w:val="clear" w:color="auto" w:fill="CEFFE7"/>
          </w:tcPr>
          <w:p>
            <w:pPr>
              <w:ind w:left="120"/>
              <w:spacing w:after="0"/>
              <w:rPr>
                <w:sz w:val="20"/>
                <w:szCs w:val="20"/>
                <w:color w:val="auto"/>
              </w:rPr>
            </w:pPr>
            <w:r>
              <w:rPr>
                <w:rFonts w:ascii="Arial" w:cs="Arial" w:eastAsia="Arial" w:hAnsi="Arial"/>
                <w:sz w:val="16"/>
                <w:szCs w:val="16"/>
                <w:color w:val="auto"/>
              </w:rPr>
              <w:t>Electric Utilities</w:t>
            </w:r>
          </w:p>
        </w:tc>
        <w:tc>
          <w:tcPr>
            <w:tcW w:w="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3,239,628</w:t>
            </w:r>
          </w:p>
        </w:tc>
        <w:tc>
          <w:tcPr>
            <w:tcW w:w="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3,120,928</w:t>
            </w:r>
          </w:p>
        </w:tc>
      </w:tr>
      <w:tr>
        <w:trPr>
          <w:trHeight w:val="213"/>
        </w:trPr>
        <w:tc>
          <w:tcPr>
            <w:tcW w:w="40" w:type="dxa"/>
            <w:vAlign w:val="bottom"/>
          </w:tcPr>
          <w:p>
            <w:pPr>
              <w:spacing w:after="0"/>
              <w:rPr>
                <w:sz w:val="18"/>
                <w:szCs w:val="18"/>
                <w:color w:val="auto"/>
              </w:rPr>
            </w:pPr>
          </w:p>
        </w:tc>
        <w:tc>
          <w:tcPr>
            <w:tcW w:w="7100" w:type="dxa"/>
            <w:vAlign w:val="bottom"/>
          </w:tcPr>
          <w:p>
            <w:pPr>
              <w:ind w:left="120"/>
              <w:spacing w:after="0"/>
              <w:rPr>
                <w:sz w:val="20"/>
                <w:szCs w:val="20"/>
                <w:color w:val="auto"/>
              </w:rPr>
            </w:pPr>
            <w:r>
              <w:rPr>
                <w:rFonts w:ascii="Arial" w:cs="Arial" w:eastAsia="Arial" w:hAnsi="Arial"/>
                <w:sz w:val="16"/>
                <w:szCs w:val="16"/>
                <w:color w:val="auto"/>
              </w:rPr>
              <w:t>Gas Utilities</w:t>
            </w:r>
          </w:p>
        </w:tc>
        <w:tc>
          <w:tcPr>
            <w:tcW w:w="30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4,935,784</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4,376,204</w:t>
            </w:r>
          </w:p>
        </w:tc>
      </w:tr>
      <w:tr>
        <w:trPr>
          <w:trHeight w:val="219"/>
        </w:trPr>
        <w:tc>
          <w:tcPr>
            <w:tcW w:w="40" w:type="dxa"/>
            <w:vAlign w:val="bottom"/>
          </w:tcPr>
          <w:p>
            <w:pPr>
              <w:spacing w:after="0"/>
              <w:rPr>
                <w:sz w:val="19"/>
                <w:szCs w:val="19"/>
                <w:color w:val="auto"/>
              </w:rPr>
            </w:pPr>
          </w:p>
        </w:tc>
        <w:tc>
          <w:tcPr>
            <w:tcW w:w="7100" w:type="dxa"/>
            <w:vAlign w:val="bottom"/>
            <w:shd w:val="clear" w:color="auto" w:fill="CEFFE7"/>
          </w:tcPr>
          <w:p>
            <w:pPr>
              <w:ind w:left="120"/>
              <w:spacing w:after="0"/>
              <w:rPr>
                <w:sz w:val="20"/>
                <w:szCs w:val="20"/>
                <w:color w:val="auto"/>
              </w:rPr>
            </w:pPr>
            <w:r>
              <w:rPr>
                <w:rFonts w:ascii="Arial" w:cs="Arial" w:eastAsia="Arial" w:hAnsi="Arial"/>
                <w:sz w:val="16"/>
                <w:szCs w:val="16"/>
                <w:color w:val="auto"/>
              </w:rPr>
              <w:t>Power Generation</w:t>
            </w:r>
          </w:p>
        </w:tc>
        <w:tc>
          <w:tcPr>
            <w:tcW w:w="300" w:type="dxa"/>
            <w:vAlign w:val="bottom"/>
            <w:shd w:val="clear" w:color="auto" w:fill="CEFFE7"/>
          </w:tcPr>
          <w:p>
            <w:pPr>
              <w:spacing w:after="0"/>
              <w:rPr>
                <w:sz w:val="19"/>
                <w:szCs w:val="19"/>
                <w:color w:val="auto"/>
              </w:rPr>
            </w:pPr>
          </w:p>
        </w:tc>
        <w:tc>
          <w:tcPr>
            <w:tcW w:w="17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394,213</w:t>
            </w:r>
          </w:p>
        </w:tc>
        <w:tc>
          <w:tcPr>
            <w:tcW w:w="260" w:type="dxa"/>
            <w:vAlign w:val="bottom"/>
            <w:shd w:val="clear" w:color="auto" w:fill="CEFFE7"/>
          </w:tcPr>
          <w:p>
            <w:pPr>
              <w:spacing w:after="0"/>
              <w:rPr>
                <w:sz w:val="19"/>
                <w:szCs w:val="19"/>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404,220</w:t>
            </w:r>
          </w:p>
        </w:tc>
      </w:tr>
      <w:tr>
        <w:trPr>
          <w:trHeight w:val="213"/>
        </w:trPr>
        <w:tc>
          <w:tcPr>
            <w:tcW w:w="40" w:type="dxa"/>
            <w:vAlign w:val="bottom"/>
          </w:tcPr>
          <w:p>
            <w:pPr>
              <w:spacing w:after="0"/>
              <w:rPr>
                <w:sz w:val="18"/>
                <w:szCs w:val="18"/>
                <w:color w:val="auto"/>
              </w:rPr>
            </w:pPr>
          </w:p>
        </w:tc>
        <w:tc>
          <w:tcPr>
            <w:tcW w:w="7100" w:type="dxa"/>
            <w:vAlign w:val="bottom"/>
          </w:tcPr>
          <w:p>
            <w:pPr>
              <w:ind w:left="120"/>
              <w:spacing w:after="0"/>
              <w:rPr>
                <w:sz w:val="20"/>
                <w:szCs w:val="20"/>
                <w:color w:val="auto"/>
              </w:rPr>
            </w:pPr>
            <w:r>
              <w:rPr>
                <w:rFonts w:ascii="Arial" w:cs="Arial" w:eastAsia="Arial" w:hAnsi="Arial"/>
                <w:sz w:val="16"/>
                <w:szCs w:val="16"/>
                <w:color w:val="auto"/>
              </w:rPr>
              <w:t>Mining</w:t>
            </w:r>
          </w:p>
        </w:tc>
        <w:tc>
          <w:tcPr>
            <w:tcW w:w="30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75,109</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77,085</w:t>
            </w:r>
          </w:p>
        </w:tc>
      </w:tr>
      <w:tr>
        <w:trPr>
          <w:trHeight w:val="216"/>
        </w:trPr>
        <w:tc>
          <w:tcPr>
            <w:tcW w:w="40" w:type="dxa"/>
            <w:vAlign w:val="bottom"/>
          </w:tcPr>
          <w:p>
            <w:pPr>
              <w:spacing w:after="0"/>
              <w:rPr>
                <w:sz w:val="18"/>
                <w:szCs w:val="18"/>
                <w:color w:val="auto"/>
              </w:rPr>
            </w:pPr>
          </w:p>
        </w:tc>
        <w:tc>
          <w:tcPr>
            <w:tcW w:w="7100" w:type="dxa"/>
            <w:vAlign w:val="bottom"/>
            <w:shd w:val="clear" w:color="auto" w:fill="CEFFE7"/>
          </w:tcPr>
          <w:p>
            <w:pPr>
              <w:ind w:left="120"/>
              <w:spacing w:after="0"/>
              <w:rPr>
                <w:sz w:val="20"/>
                <w:szCs w:val="20"/>
                <w:color w:val="auto"/>
              </w:rPr>
            </w:pPr>
            <w:r>
              <w:rPr>
                <w:rFonts w:ascii="Arial" w:cs="Arial" w:eastAsia="Arial" w:hAnsi="Arial"/>
                <w:sz w:val="16"/>
                <w:szCs w:val="16"/>
                <w:color w:val="auto"/>
              </w:rPr>
              <w:t>Corporate and Other</w:t>
            </w:r>
          </w:p>
        </w:tc>
        <w:tc>
          <w:tcPr>
            <w:tcW w:w="300" w:type="dxa"/>
            <w:vAlign w:val="bottom"/>
            <w:tcBorders>
              <w:bottom w:val="single" w:sz="8" w:color="auto"/>
            </w:tcBorders>
            <w:shd w:val="clear" w:color="auto" w:fill="CEFFE7"/>
          </w:tcPr>
          <w:p>
            <w:pPr>
              <w:spacing w:after="0"/>
              <w:rPr>
                <w:sz w:val="18"/>
                <w:szCs w:val="18"/>
                <w:color w:val="auto"/>
              </w:rPr>
            </w:pPr>
          </w:p>
        </w:tc>
        <w:tc>
          <w:tcPr>
            <w:tcW w:w="17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93,318</w:t>
            </w:r>
          </w:p>
        </w:tc>
        <w:tc>
          <w:tcPr>
            <w:tcW w:w="26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110,349</w:t>
            </w:r>
          </w:p>
        </w:tc>
      </w:tr>
      <w:tr>
        <w:trPr>
          <w:trHeight w:val="213"/>
        </w:trPr>
        <w:tc>
          <w:tcPr>
            <w:tcW w:w="4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8,738,052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8,088,786</w:t>
            </w:r>
          </w:p>
        </w:tc>
      </w:tr>
      <w:tr>
        <w:trPr>
          <w:trHeight w:val="20"/>
        </w:trPr>
        <w:tc>
          <w:tcPr>
            <w:tcW w:w="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840" w:type="dxa"/>
            <w:vAlign w:val="bottom"/>
            <w:gridSpan w:val="7"/>
          </w:tcPr>
          <w:p>
            <w:pPr>
              <w:jc w:val="right"/>
              <w:ind w:right="160"/>
              <w:spacing w:after="0"/>
              <w:rPr>
                <w:sz w:val="20"/>
                <w:szCs w:val="20"/>
                <w:color w:val="auto"/>
              </w:rPr>
            </w:pPr>
            <w:r>
              <w:rPr>
                <w:rFonts w:ascii="Arial" w:cs="Arial" w:eastAsia="Arial" w:hAnsi="Arial"/>
                <w:sz w:val="16"/>
                <w:szCs w:val="16"/>
                <w:color w:val="auto"/>
              </w:rPr>
              <w:t>External Operating Revenue Inter-company Operating Revenue</w:t>
            </w: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37"/>
        </w:trPr>
        <w:tc>
          <w:tcPr>
            <w:tcW w:w="1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579"/>
              <w:spacing w:after="0"/>
              <w:rPr>
                <w:sz w:val="20"/>
                <w:szCs w:val="20"/>
                <w:color w:val="auto"/>
              </w:rPr>
            </w:pPr>
            <w:r>
              <w:rPr>
                <w:rFonts w:ascii="Arial" w:cs="Arial" w:eastAsia="Arial" w:hAnsi="Arial"/>
                <w:sz w:val="16"/>
                <w:szCs w:val="16"/>
                <w:color w:val="auto"/>
              </w:rPr>
              <w:t>Contract</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Arial" w:cs="Arial" w:eastAsia="Arial" w:hAnsi="Arial"/>
                <w:sz w:val="16"/>
                <w:szCs w:val="16"/>
                <w:color w:val="auto"/>
              </w:rPr>
              <w:t>Contract</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198"/>
        </w:trPr>
        <w:tc>
          <w:tcPr>
            <w:tcW w:w="3620" w:type="dxa"/>
            <w:vAlign w:val="bottom"/>
            <w:gridSpan w:val="2"/>
          </w:tcPr>
          <w:p>
            <w:pPr>
              <w:spacing w:after="0"/>
              <w:rPr>
                <w:sz w:val="20"/>
                <w:szCs w:val="20"/>
                <w:color w:val="auto"/>
              </w:rPr>
            </w:pPr>
            <w:r>
              <w:rPr>
                <w:rFonts w:ascii="Arial" w:cs="Arial" w:eastAsia="Arial" w:hAnsi="Arial"/>
                <w:sz w:val="16"/>
                <w:szCs w:val="16"/>
                <w:color w:val="auto"/>
              </w:rPr>
              <w:t>ree Months Ended June 30, 2021</w:t>
            </w: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gridSpan w:val="3"/>
          </w:tcPr>
          <w:p>
            <w:pPr>
              <w:ind w:left="160"/>
              <w:spacing w:after="0"/>
              <w:rPr>
                <w:sz w:val="20"/>
                <w:szCs w:val="20"/>
                <w:color w:val="auto"/>
              </w:rPr>
            </w:pPr>
            <w:r>
              <w:rPr>
                <w:rFonts w:ascii="Arial" w:cs="Arial" w:eastAsia="Arial" w:hAnsi="Arial"/>
                <w:sz w:val="16"/>
                <w:szCs w:val="16"/>
                <w:color w:val="auto"/>
              </w:rPr>
              <w:t>CustomersOther Revenues</w:t>
            </w:r>
          </w:p>
        </w:tc>
        <w:tc>
          <w:tcPr>
            <w:tcW w:w="3820" w:type="dxa"/>
            <w:vAlign w:val="bottom"/>
            <w:gridSpan w:val="5"/>
          </w:tcPr>
          <w:p>
            <w:pPr>
              <w:ind w:left="160"/>
              <w:spacing w:after="0"/>
              <w:rPr>
                <w:sz w:val="20"/>
                <w:szCs w:val="20"/>
                <w:color w:val="auto"/>
              </w:rPr>
            </w:pPr>
            <w:r>
              <w:rPr>
                <w:rFonts w:ascii="Arial" w:cs="Arial" w:eastAsia="Arial" w:hAnsi="Arial"/>
                <w:sz w:val="16"/>
                <w:szCs w:val="16"/>
                <w:color w:val="auto"/>
              </w:rPr>
              <w:t>CustomersOther Revenues Total Revenues</w:t>
            </w:r>
          </w:p>
        </w:tc>
      </w:tr>
      <w:tr>
        <w:trPr>
          <w:trHeight w:val="20"/>
        </w:trPr>
        <w:tc>
          <w:tcPr>
            <w:tcW w:w="10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0"/>
        </w:trPr>
        <w:tc>
          <w:tcPr>
            <w:tcW w:w="3620" w:type="dxa"/>
            <w:vAlign w:val="bottom"/>
            <w:gridSpan w:val="2"/>
          </w:tcPr>
          <w:p>
            <w:pPr>
              <w:spacing w:after="0"/>
              <w:rPr>
                <w:sz w:val="20"/>
                <w:szCs w:val="20"/>
                <w:color w:val="auto"/>
              </w:rPr>
            </w:pPr>
            <w:r>
              <w:rPr>
                <w:rFonts w:ascii="Arial" w:cs="Arial" w:eastAsia="Arial" w:hAnsi="Arial"/>
                <w:sz w:val="16"/>
                <w:szCs w:val="16"/>
                <w:color w:val="auto"/>
              </w:rPr>
              <w:t>gment:</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9"/>
        </w:trPr>
        <w:tc>
          <w:tcPr>
            <w:tcW w:w="100" w:type="dxa"/>
            <w:vAlign w:val="bottom"/>
          </w:tcPr>
          <w:p>
            <w:pPr>
              <w:spacing w:after="0"/>
              <w:rPr>
                <w:sz w:val="19"/>
                <w:szCs w:val="19"/>
                <w:color w:val="auto"/>
              </w:rPr>
            </w:pPr>
          </w:p>
        </w:tc>
        <w:tc>
          <w:tcPr>
            <w:tcW w:w="3520" w:type="dxa"/>
            <w:vAlign w:val="bottom"/>
            <w:shd w:val="clear" w:color="auto" w:fill="CEFFE7"/>
          </w:tcPr>
          <w:p>
            <w:pPr>
              <w:spacing w:after="0"/>
              <w:rPr>
                <w:sz w:val="20"/>
                <w:szCs w:val="20"/>
                <w:color w:val="auto"/>
              </w:rPr>
            </w:pPr>
            <w:r>
              <w:rPr>
                <w:rFonts w:ascii="Arial" w:cs="Arial" w:eastAsia="Arial" w:hAnsi="Arial"/>
                <w:sz w:val="16"/>
                <w:szCs w:val="16"/>
                <w:color w:val="auto"/>
              </w:rPr>
              <w:t>Electric Utilities</w:t>
            </w: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EFFE7"/>
          </w:tcPr>
          <w:p>
            <w:pPr>
              <w:jc w:val="right"/>
              <w:ind w:right="279"/>
              <w:spacing w:after="0"/>
              <w:rPr>
                <w:sz w:val="20"/>
                <w:szCs w:val="20"/>
                <w:color w:val="auto"/>
              </w:rPr>
            </w:pPr>
            <w:r>
              <w:rPr>
                <w:rFonts w:ascii="Arial" w:cs="Arial" w:eastAsia="Arial" w:hAnsi="Arial"/>
                <w:sz w:val="16"/>
                <w:szCs w:val="16"/>
                <w:color w:val="auto"/>
              </w:rPr>
              <w:t>177,092$</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2,279$</w:t>
            </w:r>
          </w:p>
        </w:tc>
        <w:tc>
          <w:tcPr>
            <w:tcW w:w="140" w:type="dxa"/>
            <w:vAlign w:val="bottom"/>
            <w:shd w:val="clear" w:color="auto" w:fill="CEFFE7"/>
          </w:tcPr>
          <w:p>
            <w:pPr>
              <w:spacing w:after="0"/>
              <w:rPr>
                <w:sz w:val="19"/>
                <w:szCs w:val="19"/>
                <w:color w:val="auto"/>
              </w:rPr>
            </w:pPr>
          </w:p>
        </w:tc>
        <w:tc>
          <w:tcPr>
            <w:tcW w:w="1440" w:type="dxa"/>
            <w:vAlign w:val="bottom"/>
            <w:shd w:val="clear" w:color="auto" w:fill="CEFFE7"/>
          </w:tcPr>
          <w:p>
            <w:pPr>
              <w:jc w:val="right"/>
              <w:ind w:right="319"/>
              <w:spacing w:after="0"/>
              <w:rPr>
                <w:sz w:val="20"/>
                <w:szCs w:val="20"/>
                <w:color w:val="auto"/>
              </w:rPr>
            </w:pPr>
            <w:r>
              <w:rPr>
                <w:rFonts w:ascii="Arial" w:cs="Arial" w:eastAsia="Arial" w:hAnsi="Arial"/>
                <w:sz w:val="16"/>
                <w:szCs w:val="16"/>
                <w:color w:val="auto"/>
              </w:rPr>
              <w:t>5,562$</w:t>
            </w:r>
          </w:p>
        </w:tc>
        <w:tc>
          <w:tcPr>
            <w:tcW w:w="900" w:type="dxa"/>
            <w:vAlign w:val="bottom"/>
            <w:gridSpan w:val="2"/>
            <w:shd w:val="clear" w:color="auto" w:fill="CEFFE7"/>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184,933</w:t>
            </w:r>
          </w:p>
        </w:tc>
        <w:tc>
          <w:tcPr>
            <w:tcW w:w="360" w:type="dxa"/>
            <w:vAlign w:val="bottom"/>
          </w:tcPr>
          <w:p>
            <w:pPr>
              <w:spacing w:after="0"/>
              <w:rPr>
                <w:sz w:val="19"/>
                <w:szCs w:val="19"/>
                <w:color w:val="auto"/>
              </w:rPr>
            </w:pPr>
          </w:p>
        </w:tc>
      </w:tr>
      <w:tr>
        <w:trPr>
          <w:trHeight w:val="210"/>
        </w:trPr>
        <w:tc>
          <w:tcPr>
            <w:tcW w:w="3620" w:type="dxa"/>
            <w:vAlign w:val="bottom"/>
            <w:gridSpan w:val="2"/>
          </w:tcPr>
          <w:p>
            <w:pPr>
              <w:spacing w:after="0"/>
              <w:rPr>
                <w:sz w:val="20"/>
                <w:szCs w:val="20"/>
                <w:color w:val="auto"/>
              </w:rPr>
            </w:pPr>
            <w:r>
              <w:rPr>
                <w:rFonts w:ascii="Arial" w:cs="Arial" w:eastAsia="Arial" w:hAnsi="Arial"/>
                <w:sz w:val="16"/>
                <w:szCs w:val="16"/>
                <w:color w:val="auto"/>
              </w:rPr>
              <w:t>Gas Utilities</w:t>
            </w:r>
          </w:p>
        </w:tc>
        <w:tc>
          <w:tcPr>
            <w:tcW w:w="1400" w:type="dxa"/>
            <w:vAlign w:val="bottom"/>
          </w:tcPr>
          <w:p>
            <w:pPr>
              <w:spacing w:after="0"/>
              <w:rPr>
                <w:sz w:val="18"/>
                <w:szCs w:val="18"/>
                <w:color w:val="auto"/>
              </w:rPr>
            </w:pPr>
          </w:p>
        </w:tc>
        <w:tc>
          <w:tcPr>
            <w:tcW w:w="1540" w:type="dxa"/>
            <w:vAlign w:val="bottom"/>
            <w:gridSpan w:val="2"/>
          </w:tcPr>
          <w:p>
            <w:pPr>
              <w:jc w:val="right"/>
              <w:ind w:right="279"/>
              <w:spacing w:after="0"/>
              <w:rPr>
                <w:sz w:val="20"/>
                <w:szCs w:val="20"/>
                <w:color w:val="auto"/>
              </w:rPr>
            </w:pPr>
            <w:r>
              <w:rPr>
                <w:rFonts w:ascii="Arial" w:cs="Arial" w:eastAsia="Arial" w:hAnsi="Arial"/>
                <w:sz w:val="16"/>
                <w:szCs w:val="16"/>
                <w:color w:val="auto"/>
              </w:rPr>
              <w:t>183,187</w:t>
            </w:r>
          </w:p>
        </w:tc>
        <w:tc>
          <w:tcPr>
            <w:tcW w:w="820" w:type="dxa"/>
            <w:vAlign w:val="bottom"/>
          </w:tcPr>
          <w:p>
            <w:pPr>
              <w:jc w:val="right"/>
              <w:spacing w:after="0"/>
              <w:rPr>
                <w:sz w:val="20"/>
                <w:szCs w:val="20"/>
                <w:color w:val="auto"/>
              </w:rPr>
            </w:pPr>
            <w:r>
              <w:rPr>
                <w:rFonts w:ascii="Arial" w:cs="Arial" w:eastAsia="Arial" w:hAnsi="Arial"/>
                <w:sz w:val="16"/>
                <w:szCs w:val="16"/>
                <w:color w:val="auto"/>
              </w:rPr>
              <w:t>1,250</w:t>
            </w:r>
          </w:p>
        </w:tc>
        <w:tc>
          <w:tcPr>
            <w:tcW w:w="140" w:type="dxa"/>
            <w:vAlign w:val="bottom"/>
          </w:tcPr>
          <w:p>
            <w:pPr>
              <w:spacing w:after="0"/>
              <w:rPr>
                <w:sz w:val="18"/>
                <w:szCs w:val="18"/>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color w:val="auto"/>
              </w:rPr>
              <w:t>1,519</w:t>
            </w:r>
          </w:p>
        </w:tc>
        <w:tc>
          <w:tcPr>
            <w:tcW w:w="78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186,050</w:t>
            </w:r>
          </w:p>
        </w:tc>
        <w:tc>
          <w:tcPr>
            <w:tcW w:w="360" w:type="dxa"/>
            <w:vAlign w:val="bottom"/>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6"/>
                <w:szCs w:val="16"/>
                <w:color w:val="auto"/>
              </w:rPr>
              <w:t>Power Generation</w:t>
            </w:r>
          </w:p>
        </w:tc>
        <w:tc>
          <w:tcPr>
            <w:tcW w:w="1400" w:type="dxa"/>
            <w:vAlign w:val="bottom"/>
          </w:tcPr>
          <w:p>
            <w:pPr>
              <w:spacing w:after="0"/>
              <w:rPr>
                <w:sz w:val="18"/>
                <w:szCs w:val="18"/>
                <w:color w:val="auto"/>
              </w:rPr>
            </w:pPr>
          </w:p>
        </w:tc>
        <w:tc>
          <w:tcPr>
            <w:tcW w:w="1540" w:type="dxa"/>
            <w:vAlign w:val="bottom"/>
            <w:gridSpan w:val="2"/>
          </w:tcPr>
          <w:p>
            <w:pPr>
              <w:jc w:val="right"/>
              <w:ind w:right="279"/>
              <w:spacing w:after="0"/>
              <w:rPr>
                <w:sz w:val="20"/>
                <w:szCs w:val="20"/>
                <w:color w:val="auto"/>
              </w:rPr>
            </w:pPr>
            <w:r>
              <w:rPr>
                <w:rFonts w:ascii="Arial" w:cs="Arial" w:eastAsia="Arial" w:hAnsi="Arial"/>
                <w:sz w:val="16"/>
                <w:szCs w:val="16"/>
                <w:color w:val="auto"/>
              </w:rPr>
              <w:t>1,432</w:t>
            </w:r>
          </w:p>
        </w:tc>
        <w:tc>
          <w:tcPr>
            <w:tcW w:w="820" w:type="dxa"/>
            <w:vAlign w:val="bottom"/>
          </w:tcPr>
          <w:p>
            <w:pPr>
              <w:jc w:val="right"/>
              <w:spacing w:after="0"/>
              <w:rPr>
                <w:sz w:val="20"/>
                <w:szCs w:val="20"/>
                <w:color w:val="auto"/>
              </w:rPr>
            </w:pPr>
            <w:r>
              <w:rPr>
                <w:rFonts w:ascii="Arial" w:cs="Arial" w:eastAsia="Arial" w:hAnsi="Arial"/>
                <w:sz w:val="16"/>
                <w:szCs w:val="16"/>
                <w:color w:val="auto"/>
              </w:rPr>
              <w:t>386</w:t>
            </w:r>
          </w:p>
        </w:tc>
        <w:tc>
          <w:tcPr>
            <w:tcW w:w="140" w:type="dxa"/>
            <w:vAlign w:val="bottom"/>
          </w:tcPr>
          <w:p>
            <w:pPr>
              <w:spacing w:after="0"/>
              <w:rPr>
                <w:sz w:val="18"/>
                <w:szCs w:val="18"/>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color w:val="auto"/>
              </w:rPr>
              <w:t>23,480</w:t>
            </w:r>
          </w:p>
        </w:tc>
        <w:tc>
          <w:tcPr>
            <w:tcW w:w="7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25,348</w:t>
            </w:r>
          </w:p>
        </w:tc>
        <w:tc>
          <w:tcPr>
            <w:tcW w:w="360" w:type="dxa"/>
            <w:vAlign w:val="bottom"/>
          </w:tcPr>
          <w:p>
            <w:pPr>
              <w:spacing w:after="0"/>
              <w:rPr>
                <w:sz w:val="18"/>
                <w:szCs w:val="18"/>
                <w:color w:val="auto"/>
              </w:rPr>
            </w:pPr>
          </w:p>
        </w:tc>
      </w:tr>
      <w:tr>
        <w:trPr>
          <w:trHeight w:val="219"/>
        </w:trPr>
        <w:tc>
          <w:tcPr>
            <w:tcW w:w="3620" w:type="dxa"/>
            <w:vAlign w:val="bottom"/>
            <w:gridSpan w:val="2"/>
          </w:tcPr>
          <w:p>
            <w:pPr>
              <w:spacing w:after="0"/>
              <w:rPr>
                <w:sz w:val="20"/>
                <w:szCs w:val="20"/>
                <w:color w:val="auto"/>
              </w:rPr>
            </w:pPr>
            <w:r>
              <w:rPr>
                <w:rFonts w:ascii="Arial" w:cs="Arial" w:eastAsia="Arial" w:hAnsi="Arial"/>
                <w:sz w:val="16"/>
                <w:szCs w:val="16"/>
                <w:color w:val="auto"/>
              </w:rPr>
              <w:t>Mining</w:t>
            </w:r>
          </w:p>
        </w:tc>
        <w:tc>
          <w:tcPr>
            <w:tcW w:w="1400" w:type="dxa"/>
            <w:vAlign w:val="bottom"/>
          </w:tcPr>
          <w:p>
            <w:pPr>
              <w:spacing w:after="0"/>
              <w:rPr>
                <w:sz w:val="19"/>
                <w:szCs w:val="19"/>
                <w:color w:val="auto"/>
              </w:rPr>
            </w:pPr>
          </w:p>
        </w:tc>
        <w:tc>
          <w:tcPr>
            <w:tcW w:w="1540" w:type="dxa"/>
            <w:vAlign w:val="bottom"/>
            <w:gridSpan w:val="2"/>
          </w:tcPr>
          <w:p>
            <w:pPr>
              <w:jc w:val="right"/>
              <w:ind w:right="279"/>
              <w:spacing w:after="0"/>
              <w:rPr>
                <w:sz w:val="20"/>
                <w:szCs w:val="20"/>
                <w:color w:val="auto"/>
              </w:rPr>
            </w:pPr>
            <w:r>
              <w:rPr>
                <w:rFonts w:ascii="Arial" w:cs="Arial" w:eastAsia="Arial" w:hAnsi="Arial"/>
                <w:sz w:val="16"/>
                <w:szCs w:val="16"/>
                <w:color w:val="auto"/>
              </w:rPr>
              <w:t>6,712</w:t>
            </w:r>
          </w:p>
        </w:tc>
        <w:tc>
          <w:tcPr>
            <w:tcW w:w="820" w:type="dxa"/>
            <w:vAlign w:val="bottom"/>
          </w:tcPr>
          <w:p>
            <w:pPr>
              <w:jc w:val="right"/>
              <w:spacing w:after="0"/>
              <w:rPr>
                <w:sz w:val="20"/>
                <w:szCs w:val="20"/>
                <w:color w:val="auto"/>
              </w:rPr>
            </w:pPr>
            <w:r>
              <w:rPr>
                <w:rFonts w:ascii="Arial" w:cs="Arial" w:eastAsia="Arial" w:hAnsi="Arial"/>
                <w:sz w:val="16"/>
                <w:szCs w:val="16"/>
                <w:color w:val="auto"/>
              </w:rPr>
              <w:t>234</w:t>
            </w:r>
          </w:p>
        </w:tc>
        <w:tc>
          <w:tcPr>
            <w:tcW w:w="140" w:type="dxa"/>
            <w:vAlign w:val="bottom"/>
          </w:tcPr>
          <w:p>
            <w:pPr>
              <w:spacing w:after="0"/>
              <w:rPr>
                <w:sz w:val="19"/>
                <w:szCs w:val="19"/>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color w:val="auto"/>
              </w:rPr>
              <w:t>7,142</w:t>
            </w:r>
          </w:p>
        </w:tc>
        <w:tc>
          <w:tcPr>
            <w:tcW w:w="780" w:type="dxa"/>
            <w:vAlign w:val="bottom"/>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14,429</w:t>
            </w:r>
          </w:p>
        </w:tc>
        <w:tc>
          <w:tcPr>
            <w:tcW w:w="360" w:type="dxa"/>
            <w:vAlign w:val="bottom"/>
          </w:tcPr>
          <w:p>
            <w:pPr>
              <w:spacing w:after="0"/>
              <w:rPr>
                <w:sz w:val="19"/>
                <w:szCs w:val="19"/>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2"/>
                <w:szCs w:val="12"/>
                <w:color w:val="auto"/>
                <w:w w:val="74"/>
              </w:rPr>
              <w:t>er</w:t>
            </w:r>
          </w:p>
        </w:tc>
        <w:tc>
          <w:tcPr>
            <w:tcW w:w="352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-company eliminations</w:t>
            </w:r>
          </w:p>
        </w:tc>
        <w:tc>
          <w:tcPr>
            <w:tcW w:w="140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1380" w:type="dxa"/>
            <w:vAlign w:val="bottom"/>
            <w:tcBorders>
              <w:bottom w:val="single" w:sz="8" w:color="auto"/>
            </w:tcBorders>
            <w:shd w:val="clear" w:color="auto" w:fill="CEFFE7"/>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8"/>
                <w:szCs w:val="18"/>
                <w:color w:val="auto"/>
              </w:rPr>
            </w:pPr>
          </w:p>
        </w:tc>
        <w:tc>
          <w:tcPr>
            <w:tcW w:w="1440" w:type="dxa"/>
            <w:vAlign w:val="bottom"/>
            <w:tcBorders>
              <w:bottom w:val="single" w:sz="8" w:color="auto"/>
            </w:tcBorders>
            <w:shd w:val="clear" w:color="auto" w:fill="CEFFE7"/>
          </w:tcPr>
          <w:p>
            <w:pPr>
              <w:jc w:val="right"/>
              <w:ind w:right="279"/>
              <w:spacing w:after="0"/>
              <w:rPr>
                <w:sz w:val="20"/>
                <w:szCs w:val="20"/>
                <w:color w:val="auto"/>
              </w:rPr>
            </w:pPr>
            <w:r>
              <w:rPr>
                <w:rFonts w:ascii="Arial" w:cs="Arial" w:eastAsia="Arial" w:hAnsi="Arial"/>
                <w:sz w:val="16"/>
                <w:szCs w:val="16"/>
                <w:color w:val="auto"/>
              </w:rPr>
              <w:t>(37,703)</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(485)</w:t>
            </w:r>
          </w:p>
        </w:tc>
        <w:tc>
          <w:tcPr>
            <w:tcW w:w="120" w:type="dxa"/>
            <w:vAlign w:val="bottom"/>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(38,188)</w:t>
            </w:r>
          </w:p>
        </w:tc>
        <w:tc>
          <w:tcPr>
            <w:tcW w:w="360" w:type="dxa"/>
            <w:vAlign w:val="bottom"/>
          </w:tcPr>
          <w:p>
            <w:pPr>
              <w:spacing w:after="0"/>
              <w:rPr>
                <w:sz w:val="18"/>
                <w:szCs w:val="18"/>
                <w:color w:val="auto"/>
              </w:rPr>
            </w:pPr>
          </w:p>
        </w:tc>
      </w:tr>
      <w:tr>
        <w:trPr>
          <w:trHeight w:val="213"/>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al</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368,423$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4,149$</w:t>
            </w:r>
          </w:p>
        </w:tc>
        <w:tc>
          <w:tcPr>
            <w:tcW w:w="140" w:type="dxa"/>
            <w:vAlign w:val="bottom"/>
          </w:tcPr>
          <w:p>
            <w:pPr>
              <w:spacing w:after="0"/>
              <w:rPr>
                <w:sz w:val="18"/>
                <w:szCs w:val="18"/>
                <w:color w:val="auto"/>
              </w:rPr>
            </w:pPr>
          </w:p>
        </w:tc>
        <w:tc>
          <w:tcPr>
            <w:tcW w:w="14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372,572</w:t>
            </w:r>
          </w:p>
        </w:tc>
        <w:tc>
          <w:tcPr>
            <w:tcW w:w="36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838"/>
        </w:trPr>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40" w:type="dxa"/>
            <w:vAlign w:val="bottom"/>
            <w:gridSpan w:val="7"/>
          </w:tcPr>
          <w:p>
            <w:pPr>
              <w:jc w:val="right"/>
              <w:ind w:right="160"/>
              <w:spacing w:after="0"/>
              <w:rPr>
                <w:sz w:val="20"/>
                <w:szCs w:val="20"/>
                <w:color w:val="auto"/>
              </w:rPr>
            </w:pPr>
            <w:r>
              <w:rPr>
                <w:rFonts w:ascii="Arial" w:cs="Arial" w:eastAsia="Arial" w:hAnsi="Arial"/>
                <w:sz w:val="16"/>
                <w:szCs w:val="16"/>
                <w:color w:val="auto"/>
              </w:rPr>
              <w:t>External Operating Revenue Inter-company Operating Revenue</w:t>
            </w: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579"/>
              <w:spacing w:after="0"/>
              <w:rPr>
                <w:sz w:val="20"/>
                <w:szCs w:val="20"/>
                <w:color w:val="auto"/>
              </w:rPr>
            </w:pPr>
            <w:r>
              <w:rPr>
                <w:rFonts w:ascii="Arial" w:cs="Arial" w:eastAsia="Arial" w:hAnsi="Arial"/>
                <w:sz w:val="16"/>
                <w:szCs w:val="16"/>
                <w:color w:val="auto"/>
              </w:rPr>
              <w:t>Contract</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639"/>
              <w:spacing w:after="0"/>
              <w:rPr>
                <w:sz w:val="20"/>
                <w:szCs w:val="20"/>
                <w:color w:val="auto"/>
              </w:rPr>
            </w:pPr>
            <w:r>
              <w:rPr>
                <w:rFonts w:ascii="Arial" w:cs="Arial" w:eastAsia="Arial" w:hAnsi="Arial"/>
                <w:sz w:val="16"/>
                <w:szCs w:val="16"/>
                <w:color w:val="auto"/>
              </w:rPr>
              <w:t>Contract</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198"/>
        </w:trPr>
        <w:tc>
          <w:tcPr>
            <w:tcW w:w="3620" w:type="dxa"/>
            <w:vAlign w:val="bottom"/>
            <w:gridSpan w:val="2"/>
          </w:tcPr>
          <w:p>
            <w:pPr>
              <w:spacing w:after="0"/>
              <w:rPr>
                <w:sz w:val="20"/>
                <w:szCs w:val="20"/>
                <w:color w:val="auto"/>
              </w:rPr>
            </w:pPr>
            <w:r>
              <w:rPr>
                <w:rFonts w:ascii="Arial" w:cs="Arial" w:eastAsia="Arial" w:hAnsi="Arial"/>
                <w:sz w:val="16"/>
                <w:szCs w:val="16"/>
                <w:color w:val="auto"/>
              </w:rPr>
              <w:t>ree Months Ended June 30, 2020</w:t>
            </w: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gridSpan w:val="3"/>
          </w:tcPr>
          <w:p>
            <w:pPr>
              <w:ind w:left="160"/>
              <w:spacing w:after="0"/>
              <w:rPr>
                <w:sz w:val="20"/>
                <w:szCs w:val="20"/>
                <w:color w:val="auto"/>
              </w:rPr>
            </w:pPr>
            <w:r>
              <w:rPr>
                <w:rFonts w:ascii="Arial" w:cs="Arial" w:eastAsia="Arial" w:hAnsi="Arial"/>
                <w:sz w:val="16"/>
                <w:szCs w:val="16"/>
                <w:color w:val="auto"/>
              </w:rPr>
              <w:t>CustomersOther Revenues</w:t>
            </w:r>
          </w:p>
        </w:tc>
        <w:tc>
          <w:tcPr>
            <w:tcW w:w="3820" w:type="dxa"/>
            <w:vAlign w:val="bottom"/>
            <w:gridSpan w:val="5"/>
          </w:tcPr>
          <w:p>
            <w:pPr>
              <w:ind w:left="160"/>
              <w:spacing w:after="0"/>
              <w:rPr>
                <w:sz w:val="20"/>
                <w:szCs w:val="20"/>
                <w:color w:val="auto"/>
              </w:rPr>
            </w:pPr>
            <w:r>
              <w:rPr>
                <w:rFonts w:ascii="Arial" w:cs="Arial" w:eastAsia="Arial" w:hAnsi="Arial"/>
                <w:sz w:val="16"/>
                <w:szCs w:val="16"/>
                <w:color w:val="auto"/>
              </w:rPr>
              <w:t>CustomersOther Revenues Total Revenues</w:t>
            </w:r>
          </w:p>
        </w:tc>
      </w:tr>
      <w:tr>
        <w:trPr>
          <w:trHeight w:val="20"/>
        </w:trPr>
        <w:tc>
          <w:tcPr>
            <w:tcW w:w="10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9"/>
        </w:trPr>
        <w:tc>
          <w:tcPr>
            <w:tcW w:w="3620" w:type="dxa"/>
            <w:vAlign w:val="bottom"/>
            <w:gridSpan w:val="2"/>
          </w:tcPr>
          <w:p>
            <w:pPr>
              <w:spacing w:after="0"/>
              <w:rPr>
                <w:sz w:val="20"/>
                <w:szCs w:val="20"/>
                <w:color w:val="auto"/>
              </w:rPr>
            </w:pPr>
            <w:r>
              <w:rPr>
                <w:rFonts w:ascii="Arial" w:cs="Arial" w:eastAsia="Arial" w:hAnsi="Arial"/>
                <w:sz w:val="16"/>
                <w:szCs w:val="16"/>
                <w:color w:val="auto"/>
              </w:rPr>
              <w:t>gment:</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9"/>
        </w:trPr>
        <w:tc>
          <w:tcPr>
            <w:tcW w:w="100" w:type="dxa"/>
            <w:vAlign w:val="bottom"/>
          </w:tcPr>
          <w:p>
            <w:pPr>
              <w:spacing w:after="0"/>
              <w:rPr>
                <w:sz w:val="19"/>
                <w:szCs w:val="19"/>
                <w:color w:val="auto"/>
              </w:rPr>
            </w:pPr>
          </w:p>
        </w:tc>
        <w:tc>
          <w:tcPr>
            <w:tcW w:w="3520" w:type="dxa"/>
            <w:vAlign w:val="bottom"/>
            <w:shd w:val="clear" w:color="auto" w:fill="CEFFE7"/>
          </w:tcPr>
          <w:p>
            <w:pPr>
              <w:spacing w:after="0"/>
              <w:rPr>
                <w:sz w:val="20"/>
                <w:szCs w:val="20"/>
                <w:color w:val="auto"/>
              </w:rPr>
            </w:pPr>
            <w:r>
              <w:rPr>
                <w:rFonts w:ascii="Arial" w:cs="Arial" w:eastAsia="Arial" w:hAnsi="Arial"/>
                <w:sz w:val="16"/>
                <w:szCs w:val="16"/>
                <w:color w:val="auto"/>
              </w:rPr>
              <w:t>lectric Utilities</w:t>
            </w:r>
          </w:p>
        </w:tc>
        <w:tc>
          <w:tcPr>
            <w:tcW w:w="14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EFFE7"/>
          </w:tcPr>
          <w:p>
            <w:pPr>
              <w:jc w:val="right"/>
              <w:ind w:right="279"/>
              <w:spacing w:after="0"/>
              <w:rPr>
                <w:sz w:val="20"/>
                <w:szCs w:val="20"/>
                <w:color w:val="auto"/>
              </w:rPr>
            </w:pPr>
            <w:r>
              <w:rPr>
                <w:rFonts w:ascii="Arial" w:cs="Arial" w:eastAsia="Arial" w:hAnsi="Arial"/>
                <w:sz w:val="16"/>
                <w:szCs w:val="16"/>
                <w:color w:val="auto"/>
              </w:rPr>
              <w:t>156,197$</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1,627$</w:t>
            </w:r>
          </w:p>
        </w:tc>
        <w:tc>
          <w:tcPr>
            <w:tcW w:w="140" w:type="dxa"/>
            <w:vAlign w:val="bottom"/>
            <w:shd w:val="clear" w:color="auto" w:fill="CEFFE7"/>
          </w:tcPr>
          <w:p>
            <w:pPr>
              <w:spacing w:after="0"/>
              <w:rPr>
                <w:sz w:val="19"/>
                <w:szCs w:val="19"/>
                <w:color w:val="auto"/>
              </w:rPr>
            </w:pPr>
          </w:p>
        </w:tc>
        <w:tc>
          <w:tcPr>
            <w:tcW w:w="1440" w:type="dxa"/>
            <w:vAlign w:val="bottom"/>
            <w:shd w:val="clear" w:color="auto" w:fill="CEFFE7"/>
          </w:tcPr>
          <w:p>
            <w:pPr>
              <w:jc w:val="right"/>
              <w:ind w:right="319"/>
              <w:spacing w:after="0"/>
              <w:rPr>
                <w:sz w:val="20"/>
                <w:szCs w:val="20"/>
                <w:color w:val="auto"/>
              </w:rPr>
            </w:pPr>
            <w:r>
              <w:rPr>
                <w:rFonts w:ascii="Arial" w:cs="Arial" w:eastAsia="Arial" w:hAnsi="Arial"/>
                <w:sz w:val="16"/>
                <w:szCs w:val="16"/>
                <w:color w:val="auto"/>
              </w:rPr>
              <w:t>5,376$</w:t>
            </w:r>
          </w:p>
        </w:tc>
        <w:tc>
          <w:tcPr>
            <w:tcW w:w="900" w:type="dxa"/>
            <w:vAlign w:val="bottom"/>
            <w:gridSpan w:val="2"/>
            <w:shd w:val="clear" w:color="auto" w:fill="CEFFE7"/>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163,200</w:t>
            </w:r>
          </w:p>
        </w:tc>
        <w:tc>
          <w:tcPr>
            <w:tcW w:w="360" w:type="dxa"/>
            <w:vAlign w:val="bottom"/>
          </w:tcPr>
          <w:p>
            <w:pPr>
              <w:spacing w:after="0"/>
              <w:rPr>
                <w:sz w:val="19"/>
                <w:szCs w:val="19"/>
                <w:color w:val="auto"/>
              </w:rPr>
            </w:pPr>
          </w:p>
        </w:tc>
      </w:tr>
      <w:tr>
        <w:trPr>
          <w:trHeight w:val="213"/>
        </w:trPr>
        <w:tc>
          <w:tcPr>
            <w:tcW w:w="3620" w:type="dxa"/>
            <w:vAlign w:val="bottom"/>
            <w:gridSpan w:val="2"/>
          </w:tcPr>
          <w:p>
            <w:pPr>
              <w:ind w:left="40"/>
              <w:spacing w:after="0"/>
              <w:rPr>
                <w:sz w:val="20"/>
                <w:szCs w:val="20"/>
                <w:color w:val="auto"/>
              </w:rPr>
            </w:pPr>
            <w:r>
              <w:rPr>
                <w:rFonts w:ascii="Arial" w:cs="Arial" w:eastAsia="Arial" w:hAnsi="Arial"/>
                <w:sz w:val="16"/>
                <w:szCs w:val="16"/>
                <w:color w:val="auto"/>
              </w:rPr>
              <w:t>as Utilities</w:t>
            </w:r>
          </w:p>
        </w:tc>
        <w:tc>
          <w:tcPr>
            <w:tcW w:w="1400" w:type="dxa"/>
            <w:vAlign w:val="bottom"/>
          </w:tcPr>
          <w:p>
            <w:pPr>
              <w:spacing w:after="0"/>
              <w:rPr>
                <w:sz w:val="18"/>
                <w:szCs w:val="18"/>
                <w:color w:val="auto"/>
              </w:rPr>
            </w:pPr>
          </w:p>
        </w:tc>
        <w:tc>
          <w:tcPr>
            <w:tcW w:w="1540" w:type="dxa"/>
            <w:vAlign w:val="bottom"/>
            <w:gridSpan w:val="2"/>
          </w:tcPr>
          <w:p>
            <w:pPr>
              <w:jc w:val="right"/>
              <w:ind w:right="279"/>
              <w:spacing w:after="0"/>
              <w:rPr>
                <w:sz w:val="20"/>
                <w:szCs w:val="20"/>
                <w:color w:val="auto"/>
              </w:rPr>
            </w:pPr>
            <w:r>
              <w:rPr>
                <w:rFonts w:ascii="Arial" w:cs="Arial" w:eastAsia="Arial" w:hAnsi="Arial"/>
                <w:sz w:val="16"/>
                <w:szCs w:val="16"/>
                <w:color w:val="auto"/>
              </w:rPr>
              <w:t>159,824</w:t>
            </w:r>
          </w:p>
        </w:tc>
        <w:tc>
          <w:tcPr>
            <w:tcW w:w="820" w:type="dxa"/>
            <w:vAlign w:val="bottom"/>
          </w:tcPr>
          <w:p>
            <w:pPr>
              <w:jc w:val="right"/>
              <w:spacing w:after="0"/>
              <w:rPr>
                <w:sz w:val="20"/>
                <w:szCs w:val="20"/>
                <w:color w:val="auto"/>
              </w:rPr>
            </w:pPr>
            <w:r>
              <w:rPr>
                <w:rFonts w:ascii="Arial" w:cs="Arial" w:eastAsia="Arial" w:hAnsi="Arial"/>
                <w:sz w:val="16"/>
                <w:szCs w:val="16"/>
                <w:color w:val="auto"/>
              </w:rPr>
              <w:t>512</w:t>
            </w:r>
          </w:p>
        </w:tc>
        <w:tc>
          <w:tcPr>
            <w:tcW w:w="140" w:type="dxa"/>
            <w:vAlign w:val="bottom"/>
          </w:tcPr>
          <w:p>
            <w:pPr>
              <w:spacing w:after="0"/>
              <w:rPr>
                <w:sz w:val="18"/>
                <w:szCs w:val="18"/>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color w:val="auto"/>
              </w:rPr>
              <w:t>774</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161,110</w:t>
            </w:r>
          </w:p>
        </w:tc>
        <w:tc>
          <w:tcPr>
            <w:tcW w:w="360" w:type="dxa"/>
            <w:vAlign w:val="bottom"/>
          </w:tcPr>
          <w:p>
            <w:pPr>
              <w:spacing w:after="0"/>
              <w:rPr>
                <w:sz w:val="18"/>
                <w:szCs w:val="18"/>
                <w:color w:val="auto"/>
              </w:rPr>
            </w:pPr>
          </w:p>
        </w:tc>
      </w:tr>
      <w:tr>
        <w:trPr>
          <w:trHeight w:val="219"/>
        </w:trPr>
        <w:tc>
          <w:tcPr>
            <w:tcW w:w="100" w:type="dxa"/>
            <w:vAlign w:val="bottom"/>
          </w:tcPr>
          <w:p>
            <w:pPr>
              <w:spacing w:after="0"/>
              <w:rPr>
                <w:sz w:val="19"/>
                <w:szCs w:val="19"/>
                <w:color w:val="auto"/>
              </w:rPr>
            </w:pPr>
          </w:p>
        </w:tc>
        <w:tc>
          <w:tcPr>
            <w:tcW w:w="3520" w:type="dxa"/>
            <w:vAlign w:val="bottom"/>
            <w:shd w:val="clear" w:color="auto" w:fill="CEFFE7"/>
          </w:tcPr>
          <w:p>
            <w:pPr>
              <w:spacing w:after="0"/>
              <w:rPr>
                <w:sz w:val="20"/>
                <w:szCs w:val="20"/>
                <w:color w:val="auto"/>
              </w:rPr>
            </w:pPr>
            <w:r>
              <w:rPr>
                <w:rFonts w:ascii="Arial" w:cs="Arial" w:eastAsia="Arial" w:hAnsi="Arial"/>
                <w:sz w:val="16"/>
                <w:szCs w:val="16"/>
                <w:color w:val="auto"/>
              </w:rPr>
              <w:t>ower Generation</w:t>
            </w:r>
          </w:p>
        </w:tc>
        <w:tc>
          <w:tcPr>
            <w:tcW w:w="1400" w:type="dxa"/>
            <w:vAlign w:val="bottom"/>
            <w:shd w:val="clear" w:color="auto" w:fill="CEFFE7"/>
          </w:tcPr>
          <w:p>
            <w:pPr>
              <w:spacing w:after="0"/>
              <w:rPr>
                <w:sz w:val="19"/>
                <w:szCs w:val="19"/>
                <w:color w:val="auto"/>
              </w:rPr>
            </w:pPr>
          </w:p>
        </w:tc>
        <w:tc>
          <w:tcPr>
            <w:tcW w:w="1540" w:type="dxa"/>
            <w:vAlign w:val="bottom"/>
            <w:gridSpan w:val="2"/>
            <w:shd w:val="clear" w:color="auto" w:fill="CEFFE7"/>
          </w:tcPr>
          <w:p>
            <w:pPr>
              <w:jc w:val="right"/>
              <w:ind w:right="279"/>
              <w:spacing w:after="0"/>
              <w:rPr>
                <w:sz w:val="20"/>
                <w:szCs w:val="20"/>
                <w:color w:val="auto"/>
              </w:rPr>
            </w:pPr>
            <w:r>
              <w:rPr>
                <w:rFonts w:ascii="Arial" w:cs="Arial" w:eastAsia="Arial" w:hAnsi="Arial"/>
                <w:sz w:val="16"/>
                <w:szCs w:val="16"/>
                <w:color w:val="auto"/>
              </w:rPr>
              <w:t>1,242</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349</w:t>
            </w:r>
          </w:p>
        </w:tc>
        <w:tc>
          <w:tcPr>
            <w:tcW w:w="140" w:type="dxa"/>
            <w:vAlign w:val="bottom"/>
            <w:shd w:val="clear" w:color="auto" w:fill="CEFFE7"/>
          </w:tcPr>
          <w:p>
            <w:pPr>
              <w:spacing w:after="0"/>
              <w:rPr>
                <w:sz w:val="19"/>
                <w:szCs w:val="19"/>
                <w:color w:val="auto"/>
              </w:rPr>
            </w:pPr>
          </w:p>
        </w:tc>
        <w:tc>
          <w:tcPr>
            <w:tcW w:w="1440" w:type="dxa"/>
            <w:vAlign w:val="bottom"/>
            <w:shd w:val="clear" w:color="auto" w:fill="CEFFE7"/>
          </w:tcPr>
          <w:p>
            <w:pPr>
              <w:jc w:val="right"/>
              <w:ind w:right="319"/>
              <w:spacing w:after="0"/>
              <w:rPr>
                <w:sz w:val="20"/>
                <w:szCs w:val="20"/>
                <w:color w:val="auto"/>
              </w:rPr>
            </w:pPr>
            <w:r>
              <w:rPr>
                <w:rFonts w:ascii="Arial" w:cs="Arial" w:eastAsia="Arial" w:hAnsi="Arial"/>
                <w:sz w:val="16"/>
                <w:szCs w:val="16"/>
                <w:color w:val="auto"/>
              </w:rPr>
              <w:t>24,476</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EFFE7"/>
          </w:tcPr>
          <w:p>
            <w:pPr>
              <w:spacing w:after="0"/>
              <w:rPr>
                <w:sz w:val="19"/>
                <w:szCs w:val="19"/>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26,122</w:t>
            </w:r>
          </w:p>
        </w:tc>
        <w:tc>
          <w:tcPr>
            <w:tcW w:w="360" w:type="dxa"/>
            <w:vAlign w:val="bottom"/>
          </w:tcPr>
          <w:p>
            <w:pPr>
              <w:spacing w:after="0"/>
              <w:rPr>
                <w:sz w:val="19"/>
                <w:szCs w:val="19"/>
                <w:color w:val="auto"/>
              </w:rPr>
            </w:pPr>
          </w:p>
        </w:tc>
      </w:tr>
      <w:tr>
        <w:trPr>
          <w:trHeight w:val="213"/>
        </w:trPr>
        <w:tc>
          <w:tcPr>
            <w:tcW w:w="3620" w:type="dxa"/>
            <w:vAlign w:val="bottom"/>
            <w:gridSpan w:val="2"/>
          </w:tcPr>
          <w:p>
            <w:pPr>
              <w:ind w:left="60"/>
              <w:spacing w:after="0"/>
              <w:rPr>
                <w:sz w:val="20"/>
                <w:szCs w:val="20"/>
                <w:color w:val="auto"/>
              </w:rPr>
            </w:pPr>
            <w:r>
              <w:rPr>
                <w:rFonts w:ascii="Arial" w:cs="Arial" w:eastAsia="Arial" w:hAnsi="Arial"/>
                <w:sz w:val="16"/>
                <w:szCs w:val="16"/>
                <w:color w:val="auto"/>
              </w:rPr>
              <w:t>ining</w:t>
            </w:r>
          </w:p>
        </w:tc>
        <w:tc>
          <w:tcPr>
            <w:tcW w:w="1400" w:type="dxa"/>
            <w:vAlign w:val="bottom"/>
          </w:tcPr>
          <w:p>
            <w:pPr>
              <w:spacing w:after="0"/>
              <w:rPr>
                <w:sz w:val="18"/>
                <w:szCs w:val="18"/>
                <w:color w:val="auto"/>
              </w:rPr>
            </w:pPr>
          </w:p>
        </w:tc>
        <w:tc>
          <w:tcPr>
            <w:tcW w:w="1540" w:type="dxa"/>
            <w:vAlign w:val="bottom"/>
            <w:gridSpan w:val="2"/>
          </w:tcPr>
          <w:p>
            <w:pPr>
              <w:jc w:val="right"/>
              <w:ind w:right="279"/>
              <w:spacing w:after="0"/>
              <w:rPr>
                <w:sz w:val="20"/>
                <w:szCs w:val="20"/>
                <w:color w:val="auto"/>
              </w:rPr>
            </w:pPr>
            <w:r>
              <w:rPr>
                <w:rFonts w:ascii="Arial" w:cs="Arial" w:eastAsia="Arial" w:hAnsi="Arial"/>
                <w:sz w:val="16"/>
                <w:szCs w:val="16"/>
                <w:color w:val="auto"/>
              </w:rPr>
              <w:t>6,930</w:t>
            </w:r>
          </w:p>
        </w:tc>
        <w:tc>
          <w:tcPr>
            <w:tcW w:w="820" w:type="dxa"/>
            <w:vAlign w:val="bottom"/>
          </w:tcPr>
          <w:p>
            <w:pPr>
              <w:jc w:val="right"/>
              <w:spacing w:after="0"/>
              <w:rPr>
                <w:sz w:val="20"/>
                <w:szCs w:val="20"/>
                <w:color w:val="auto"/>
              </w:rPr>
            </w:pPr>
            <w:r>
              <w:rPr>
                <w:rFonts w:ascii="Arial" w:cs="Arial" w:eastAsia="Arial" w:hAnsi="Arial"/>
                <w:sz w:val="16"/>
                <w:szCs w:val="16"/>
                <w:color w:val="auto"/>
              </w:rPr>
              <w:t>233</w:t>
            </w:r>
          </w:p>
        </w:tc>
        <w:tc>
          <w:tcPr>
            <w:tcW w:w="140" w:type="dxa"/>
            <w:vAlign w:val="bottom"/>
          </w:tcPr>
          <w:p>
            <w:pPr>
              <w:spacing w:after="0"/>
              <w:rPr>
                <w:sz w:val="18"/>
                <w:szCs w:val="18"/>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color w:val="auto"/>
              </w:rPr>
              <w:t>7,916</w:t>
            </w:r>
          </w:p>
        </w:tc>
        <w:tc>
          <w:tcPr>
            <w:tcW w:w="780" w:type="dxa"/>
            <w:vAlign w:val="bottom"/>
          </w:tcPr>
          <w:p>
            <w:pPr>
              <w:jc w:val="right"/>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15,416</w:t>
            </w:r>
          </w:p>
        </w:tc>
        <w:tc>
          <w:tcPr>
            <w:tcW w:w="360" w:type="dxa"/>
            <w:vAlign w:val="bottom"/>
          </w:tcPr>
          <w:p>
            <w:pPr>
              <w:spacing w:after="0"/>
              <w:rPr>
                <w:sz w:val="18"/>
                <w:szCs w:val="18"/>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2"/>
                <w:szCs w:val="12"/>
                <w:color w:val="auto"/>
                <w:w w:val="74"/>
              </w:rPr>
              <w:t>er</w:t>
            </w:r>
          </w:p>
        </w:tc>
        <w:tc>
          <w:tcPr>
            <w:tcW w:w="352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-company eliminations</w:t>
            </w:r>
          </w:p>
        </w:tc>
        <w:tc>
          <w:tcPr>
            <w:tcW w:w="140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1380" w:type="dxa"/>
            <w:vAlign w:val="bottom"/>
            <w:tcBorders>
              <w:bottom w:val="single" w:sz="8" w:color="auto"/>
            </w:tcBorders>
            <w:shd w:val="clear" w:color="auto" w:fill="CEFFE7"/>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EFFE7"/>
          </w:tcPr>
          <w:p>
            <w:pPr>
              <w:spacing w:after="0"/>
              <w:rPr>
                <w:sz w:val="18"/>
                <w:szCs w:val="18"/>
                <w:color w:val="auto"/>
              </w:rPr>
            </w:pPr>
          </w:p>
        </w:tc>
        <w:tc>
          <w:tcPr>
            <w:tcW w:w="1440" w:type="dxa"/>
            <w:vAlign w:val="bottom"/>
            <w:tcBorders>
              <w:bottom w:val="single" w:sz="8" w:color="auto"/>
            </w:tcBorders>
            <w:shd w:val="clear" w:color="auto" w:fill="CEFFE7"/>
          </w:tcPr>
          <w:p>
            <w:pPr>
              <w:jc w:val="right"/>
              <w:ind w:right="279"/>
              <w:spacing w:after="0"/>
              <w:rPr>
                <w:sz w:val="20"/>
                <w:szCs w:val="20"/>
                <w:color w:val="auto"/>
              </w:rPr>
            </w:pPr>
            <w:r>
              <w:rPr>
                <w:rFonts w:ascii="Arial" w:cs="Arial" w:eastAsia="Arial" w:hAnsi="Arial"/>
                <w:sz w:val="16"/>
                <w:szCs w:val="16"/>
                <w:color w:val="auto"/>
              </w:rPr>
              <w:t>(38,542)</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(392)</w:t>
            </w:r>
          </w:p>
        </w:tc>
        <w:tc>
          <w:tcPr>
            <w:tcW w:w="120" w:type="dxa"/>
            <w:vAlign w:val="bottom"/>
            <w:shd w:val="clear" w:color="auto" w:fill="CEFFE7"/>
          </w:tcPr>
          <w:p>
            <w:pPr>
              <w:spacing w:after="0"/>
              <w:rPr>
                <w:sz w:val="18"/>
                <w:szCs w:val="18"/>
                <w:color w:val="auto"/>
              </w:rPr>
            </w:pP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(38,934)</w:t>
            </w:r>
          </w:p>
        </w:tc>
        <w:tc>
          <w:tcPr>
            <w:tcW w:w="360" w:type="dxa"/>
            <w:vAlign w:val="bottom"/>
          </w:tcPr>
          <w:p>
            <w:pPr>
              <w:spacing w:after="0"/>
              <w:rPr>
                <w:sz w:val="18"/>
                <w:szCs w:val="18"/>
                <w:color w:val="auto"/>
              </w:rPr>
            </w:pPr>
          </w:p>
        </w:tc>
      </w:tr>
      <w:tr>
        <w:trPr>
          <w:trHeight w:val="213"/>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al</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324,193$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2,721$</w:t>
            </w:r>
          </w:p>
        </w:tc>
        <w:tc>
          <w:tcPr>
            <w:tcW w:w="140" w:type="dxa"/>
            <w:vAlign w:val="bottom"/>
          </w:tcPr>
          <w:p>
            <w:pPr>
              <w:spacing w:after="0"/>
              <w:rPr>
                <w:sz w:val="18"/>
                <w:szCs w:val="18"/>
                <w:color w:val="auto"/>
              </w:rPr>
            </w:pPr>
          </w:p>
        </w:tc>
        <w:tc>
          <w:tcPr>
            <w:tcW w:w="14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326,914</w:t>
            </w:r>
          </w:p>
        </w:tc>
        <w:tc>
          <w:tcPr>
            <w:tcW w:w="360" w:type="dxa"/>
            <w:vAlign w:val="bottom"/>
          </w:tcPr>
          <w:p>
            <w:pPr>
              <w:spacing w:after="0"/>
              <w:rPr>
                <w:sz w:val="18"/>
                <w:szCs w:val="18"/>
                <w:color w:val="auto"/>
              </w:rPr>
            </w:pPr>
          </w:p>
        </w:tc>
      </w:tr>
      <w:tr>
        <w:trPr>
          <w:trHeight w:val="21"/>
        </w:trPr>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865"/>
        </w:trPr>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40" w:type="dxa"/>
            <w:vAlign w:val="bottom"/>
            <w:gridSpan w:val="2"/>
          </w:tcPr>
          <w:p>
            <w:pPr>
              <w:jc w:val="right"/>
              <w:ind w:right="659"/>
              <w:spacing w:after="0"/>
              <w:rPr>
                <w:sz w:val="20"/>
                <w:szCs w:val="20"/>
                <w:color w:val="auto"/>
              </w:rPr>
            </w:pPr>
            <w:r>
              <w:rPr>
                <w:rFonts w:ascii="Arial" w:cs="Arial" w:eastAsia="Arial" w:hAnsi="Arial"/>
                <w:sz w:val="16"/>
                <w:szCs w:val="16"/>
                <w:color w:val="auto"/>
              </w:rPr>
              <w:t>30</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51"/>
        </w:trPr>
        <w:tc>
          <w:tcPr>
            <w:tcW w:w="100" w:type="dxa"/>
            <w:vAlign w:val="bottom"/>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7179310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-3205480</wp:posOffset>
            </wp:positionV>
            <wp:extent cx="690054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00545" cy="137160"/>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3980" w:type="dxa"/>
            <w:vAlign w:val="bottom"/>
            <w:gridSpan w:val="3"/>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135"/>
        </w:trPr>
        <w:tc>
          <w:tcPr>
            <w:tcW w:w="1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320" w:type="dxa"/>
            <w:vAlign w:val="bottom"/>
            <w:tcBorders>
              <w:top w:val="single" w:sz="8" w:color="0000FF"/>
            </w:tcBorders>
          </w:tcPr>
          <w:p>
            <w:pPr>
              <w:spacing w:after="0"/>
              <w:rPr>
                <w:sz w:val="24"/>
                <w:szCs w:val="24"/>
                <w:color w:val="auto"/>
              </w:rPr>
            </w:pPr>
          </w:p>
        </w:tc>
        <w:tc>
          <w:tcPr>
            <w:tcW w:w="2620" w:type="dxa"/>
            <w:vAlign w:val="bottom"/>
          </w:tcPr>
          <w:p>
            <w:pPr>
              <w:spacing w:after="0"/>
              <w:rPr>
                <w:sz w:val="24"/>
                <w:szCs w:val="24"/>
                <w:color w:val="auto"/>
              </w:rPr>
            </w:pPr>
          </w:p>
        </w:tc>
        <w:tc>
          <w:tcPr>
            <w:tcW w:w="5720" w:type="dxa"/>
            <w:vAlign w:val="bottom"/>
            <w:gridSpan w:val="15"/>
          </w:tcPr>
          <w:p>
            <w:pPr>
              <w:jc w:val="right"/>
              <w:ind w:right="80"/>
              <w:spacing w:after="0"/>
              <w:rPr>
                <w:sz w:val="20"/>
                <w:szCs w:val="20"/>
                <w:color w:val="auto"/>
              </w:rPr>
            </w:pPr>
            <w:r>
              <w:rPr>
                <w:rFonts w:ascii="Arial" w:cs="Arial" w:eastAsia="Arial" w:hAnsi="Arial"/>
                <w:sz w:val="16"/>
                <w:szCs w:val="16"/>
                <w:color w:val="auto"/>
              </w:rPr>
              <w:t>External Operating Revenue Inter-company Operating Revenue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20" w:type="dxa"/>
            <w:vAlign w:val="bottom"/>
            <w:gridSpan w:val="4"/>
          </w:tcPr>
          <w:p>
            <w:pPr>
              <w:jc w:val="right"/>
              <w:ind w:right="419"/>
              <w:spacing w:after="0"/>
              <w:rPr>
                <w:sz w:val="20"/>
                <w:szCs w:val="20"/>
                <w:color w:val="auto"/>
              </w:rPr>
            </w:pPr>
            <w:r>
              <w:rPr>
                <w:rFonts w:ascii="Arial" w:cs="Arial" w:eastAsia="Arial" w:hAnsi="Arial"/>
                <w:sz w:val="16"/>
                <w:szCs w:val="16"/>
                <w:color w:val="auto"/>
              </w:rPr>
              <w:t>Contract</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Contract</w:t>
            </w: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4080" w:type="dxa"/>
            <w:vAlign w:val="bottom"/>
            <w:gridSpan w:val="4"/>
          </w:tcPr>
          <w:p>
            <w:pPr>
              <w:spacing w:after="0"/>
              <w:rPr>
                <w:sz w:val="20"/>
                <w:szCs w:val="20"/>
                <w:color w:val="auto"/>
              </w:rPr>
            </w:pPr>
            <w:r>
              <w:rPr>
                <w:rFonts w:ascii="Arial" w:cs="Arial" w:eastAsia="Arial" w:hAnsi="Arial"/>
                <w:sz w:val="16"/>
                <w:szCs w:val="16"/>
                <w:color w:val="auto"/>
              </w:rPr>
              <w:t>x Months Ended June 30, 2021</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7"/>
          </w:tcPr>
          <w:p>
            <w:pPr>
              <w:ind w:left="40"/>
              <w:spacing w:after="0"/>
              <w:rPr>
                <w:sz w:val="20"/>
                <w:szCs w:val="20"/>
                <w:color w:val="auto"/>
              </w:rPr>
            </w:pPr>
            <w:r>
              <w:rPr>
                <w:rFonts w:ascii="Arial" w:cs="Arial" w:eastAsia="Arial" w:hAnsi="Arial"/>
                <w:sz w:val="16"/>
                <w:szCs w:val="16"/>
                <w:color w:val="auto"/>
              </w:rPr>
              <w:t>CustomersOther Revenues</w:t>
            </w:r>
          </w:p>
        </w:tc>
        <w:tc>
          <w:tcPr>
            <w:tcW w:w="40" w:type="dxa"/>
            <w:vAlign w:val="bottom"/>
          </w:tcPr>
          <w:p>
            <w:pPr>
              <w:spacing w:after="0"/>
              <w:rPr>
                <w:sz w:val="17"/>
                <w:szCs w:val="17"/>
                <w:color w:val="auto"/>
              </w:rPr>
            </w:pPr>
          </w:p>
        </w:tc>
        <w:tc>
          <w:tcPr>
            <w:tcW w:w="3720" w:type="dxa"/>
            <w:vAlign w:val="bottom"/>
            <w:gridSpan w:val="12"/>
          </w:tcPr>
          <w:p>
            <w:pPr>
              <w:ind w:left="80"/>
              <w:spacing w:after="0"/>
              <w:rPr>
                <w:sz w:val="20"/>
                <w:szCs w:val="20"/>
                <w:color w:val="auto"/>
              </w:rPr>
            </w:pPr>
            <w:r>
              <w:rPr>
                <w:rFonts w:ascii="Arial" w:cs="Arial" w:eastAsia="Arial" w:hAnsi="Arial"/>
                <w:sz w:val="16"/>
                <w:szCs w:val="16"/>
                <w:color w:val="auto"/>
              </w:rPr>
              <w:t>CustomersOther Revenues Total Revenues</w:t>
            </w:r>
          </w:p>
        </w:tc>
      </w:tr>
      <w:tr>
        <w:trPr>
          <w:trHeight w:val="20"/>
        </w:trPr>
        <w:tc>
          <w:tcPr>
            <w:tcW w:w="140" w:type="dxa"/>
            <w:vAlign w:val="bottom"/>
            <w:gridSpan w:val="2"/>
          </w:tcPr>
          <w:p>
            <w:pPr>
              <w:spacing w:after="0" w:line="20" w:lineRule="exact"/>
              <w:rPr>
                <w:sz w:val="1"/>
                <w:szCs w:val="1"/>
                <w:color w:val="auto"/>
              </w:rPr>
            </w:pPr>
          </w:p>
        </w:tc>
        <w:tc>
          <w:tcPr>
            <w:tcW w:w="3940" w:type="dxa"/>
            <w:vAlign w:val="bottom"/>
            <w:gridSpan w:val="2"/>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080" w:type="dxa"/>
            <w:vAlign w:val="bottom"/>
            <w:gridSpan w:val="4"/>
          </w:tcPr>
          <w:p>
            <w:pPr>
              <w:ind w:left="20"/>
              <w:spacing w:after="0"/>
              <w:rPr>
                <w:sz w:val="20"/>
                <w:szCs w:val="20"/>
                <w:color w:val="auto"/>
              </w:rPr>
            </w:pPr>
            <w:r>
              <w:rPr>
                <w:rFonts w:ascii="Arial" w:cs="Arial" w:eastAsia="Arial" w:hAnsi="Arial"/>
                <w:sz w:val="16"/>
                <w:szCs w:val="16"/>
                <w:color w:val="auto"/>
              </w:rPr>
              <w:t>gment: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140" w:type="dxa"/>
            <w:vAlign w:val="bottom"/>
            <w:gridSpan w:val="2"/>
          </w:tcPr>
          <w:p>
            <w:pPr>
              <w:spacing w:after="0"/>
              <w:rPr>
                <w:sz w:val="19"/>
                <w:szCs w:val="19"/>
                <w:color w:val="auto"/>
              </w:rPr>
            </w:pPr>
          </w:p>
        </w:tc>
        <w:tc>
          <w:tcPr>
            <w:tcW w:w="394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lectric Utilities</w:t>
            </w:r>
          </w:p>
        </w:tc>
        <w:tc>
          <w:tcPr>
            <w:tcW w:w="1120" w:type="dxa"/>
            <w:vAlign w:val="bottom"/>
            <w:shd w:val="clear" w:color="auto" w:fill="CEFFE7"/>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1000" w:type="dxa"/>
            <w:vAlign w:val="bottom"/>
            <w:gridSpan w:val="2"/>
            <w:shd w:val="clear" w:color="auto" w:fill="CEFFE7"/>
          </w:tcPr>
          <w:p>
            <w:pPr>
              <w:jc w:val="right"/>
              <w:ind w:right="119"/>
              <w:spacing w:after="0"/>
              <w:rPr>
                <w:sz w:val="20"/>
                <w:szCs w:val="20"/>
                <w:color w:val="auto"/>
              </w:rPr>
            </w:pPr>
            <w:r>
              <w:rPr>
                <w:rFonts w:ascii="Arial" w:cs="Arial" w:eastAsia="Arial" w:hAnsi="Arial"/>
                <w:sz w:val="16"/>
                <w:szCs w:val="16"/>
                <w:color w:val="auto"/>
              </w:rPr>
              <w:t>397,592$</w:t>
            </w:r>
          </w:p>
        </w:tc>
        <w:tc>
          <w:tcPr>
            <w:tcW w:w="420" w:type="dxa"/>
            <w:vAlign w:val="bottom"/>
            <w:shd w:val="clear" w:color="auto" w:fill="CEFFE7"/>
          </w:tcPr>
          <w:p>
            <w:pPr>
              <w:spacing w:after="0"/>
              <w:rPr>
                <w:sz w:val="19"/>
                <w:szCs w:val="19"/>
                <w:color w:val="auto"/>
              </w:rPr>
            </w:pPr>
          </w:p>
        </w:tc>
        <w:tc>
          <w:tcPr>
            <w:tcW w:w="580" w:type="dxa"/>
            <w:vAlign w:val="bottom"/>
            <w:shd w:val="clear" w:color="auto" w:fill="CEFFE7"/>
          </w:tcPr>
          <w:p>
            <w:pPr>
              <w:jc w:val="right"/>
              <w:spacing w:after="0"/>
              <w:rPr>
                <w:sz w:val="20"/>
                <w:szCs w:val="20"/>
                <w:color w:val="auto"/>
              </w:rPr>
            </w:pPr>
            <w:r>
              <w:rPr>
                <w:rFonts w:ascii="Arial" w:cs="Arial" w:eastAsia="Arial" w:hAnsi="Arial"/>
                <w:sz w:val="16"/>
                <w:szCs w:val="16"/>
                <w:color w:val="auto"/>
                <w:w w:val="98"/>
              </w:rPr>
              <w:t>2,416$</w:t>
            </w:r>
          </w:p>
        </w:tc>
        <w:tc>
          <w:tcPr>
            <w:tcW w:w="120" w:type="dxa"/>
            <w:vAlign w:val="bottom"/>
            <w:shd w:val="clear" w:color="auto" w:fill="CEFFE7"/>
          </w:tcPr>
          <w:p>
            <w:pPr>
              <w:spacing w:after="0"/>
              <w:rPr>
                <w:sz w:val="19"/>
                <w:szCs w:val="19"/>
                <w:color w:val="auto"/>
              </w:rPr>
            </w:pPr>
          </w:p>
        </w:tc>
        <w:tc>
          <w:tcPr>
            <w:tcW w:w="40" w:type="dxa"/>
            <w:vAlign w:val="bottom"/>
            <w:shd w:val="clear" w:color="auto" w:fill="CEFFE7"/>
          </w:tcPr>
          <w:p>
            <w:pPr>
              <w:spacing w:after="0"/>
              <w:rPr>
                <w:sz w:val="19"/>
                <w:szCs w:val="19"/>
                <w:color w:val="auto"/>
              </w:rPr>
            </w:pPr>
          </w:p>
        </w:tc>
        <w:tc>
          <w:tcPr>
            <w:tcW w:w="1380" w:type="dxa"/>
            <w:vAlign w:val="bottom"/>
            <w:gridSpan w:val="4"/>
            <w:shd w:val="clear" w:color="auto" w:fill="CEFFE7"/>
          </w:tcPr>
          <w:p>
            <w:pPr>
              <w:jc w:val="right"/>
              <w:ind w:right="299"/>
              <w:spacing w:after="0"/>
              <w:rPr>
                <w:sz w:val="20"/>
                <w:szCs w:val="20"/>
                <w:color w:val="auto"/>
              </w:rPr>
            </w:pPr>
            <w:r>
              <w:rPr>
                <w:rFonts w:ascii="Arial" w:cs="Arial" w:eastAsia="Arial" w:hAnsi="Arial"/>
                <w:sz w:val="16"/>
                <w:szCs w:val="16"/>
                <w:color w:val="auto"/>
              </w:rPr>
              <w:t>12,333$</w:t>
            </w:r>
          </w:p>
        </w:tc>
        <w:tc>
          <w:tcPr>
            <w:tcW w:w="840" w:type="dxa"/>
            <w:vAlign w:val="bottom"/>
            <w:gridSpan w:val="2"/>
            <w:shd w:val="clear" w:color="auto" w:fill="CEFFE7"/>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96"/>
              </w:rPr>
              <w:t>412,341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4080" w:type="dxa"/>
            <w:vAlign w:val="bottom"/>
            <w:gridSpan w:val="4"/>
          </w:tcPr>
          <w:p>
            <w:pPr>
              <w:spacing w:after="0"/>
              <w:rPr>
                <w:sz w:val="20"/>
                <w:szCs w:val="20"/>
                <w:color w:val="auto"/>
              </w:rPr>
            </w:pPr>
            <w:r>
              <w:rPr>
                <w:rFonts w:ascii="Arial" w:cs="Arial" w:eastAsia="Arial" w:hAnsi="Arial"/>
                <w:sz w:val="16"/>
                <w:szCs w:val="16"/>
                <w:color w:val="auto"/>
              </w:rPr>
              <w:t>Gas Utilities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19"/>
              <w:spacing w:after="0"/>
              <w:rPr>
                <w:sz w:val="20"/>
                <w:szCs w:val="20"/>
                <w:color w:val="auto"/>
              </w:rPr>
            </w:pPr>
            <w:r>
              <w:rPr>
                <w:rFonts w:ascii="Arial" w:cs="Arial" w:eastAsia="Arial" w:hAnsi="Arial"/>
                <w:sz w:val="16"/>
                <w:szCs w:val="16"/>
                <w:color w:val="auto"/>
              </w:rPr>
              <w:t>581,686</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3,658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4"/>
          </w:tcPr>
          <w:p>
            <w:pPr>
              <w:jc w:val="right"/>
              <w:ind w:right="299"/>
              <w:spacing w:after="0"/>
              <w:rPr>
                <w:sz w:val="20"/>
                <w:szCs w:val="20"/>
                <w:color w:val="auto"/>
              </w:rPr>
            </w:pPr>
            <w:r>
              <w:rPr>
                <w:rFonts w:ascii="Arial" w:cs="Arial" w:eastAsia="Arial" w:hAnsi="Arial"/>
                <w:sz w:val="16"/>
                <w:szCs w:val="16"/>
                <w:color w:val="auto"/>
              </w:rPr>
              <w:t>3,039</w:t>
            </w:r>
          </w:p>
        </w:tc>
        <w:tc>
          <w:tcPr>
            <w:tcW w:w="800" w:type="dxa"/>
            <w:vAlign w:val="bottom"/>
          </w:tcPr>
          <w:p>
            <w:pPr>
              <w:jc w:val="right"/>
              <w:spacing w:after="0"/>
              <w:rPr>
                <w:sz w:val="20"/>
                <w:szCs w:val="20"/>
                <w:color w:val="auto"/>
              </w:rPr>
            </w:pPr>
            <w:r>
              <w:rPr>
                <w:rFonts w:ascii="Arial" w:cs="Arial" w:eastAsia="Arial" w:hAnsi="Arial"/>
                <w:sz w:val="16"/>
                <w:szCs w:val="16"/>
                <w:color w:val="auto"/>
              </w:rPr>
              <w:t>186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6"/>
              </w:rPr>
              <w:t>588,569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140" w:type="dxa"/>
            <w:vAlign w:val="bottom"/>
            <w:gridSpan w:val="2"/>
          </w:tcPr>
          <w:p>
            <w:pPr>
              <w:spacing w:after="0"/>
              <w:rPr>
                <w:sz w:val="19"/>
                <w:szCs w:val="19"/>
                <w:color w:val="auto"/>
              </w:rPr>
            </w:pPr>
          </w:p>
        </w:tc>
        <w:tc>
          <w:tcPr>
            <w:tcW w:w="394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ower Generation</w:t>
            </w:r>
          </w:p>
        </w:tc>
        <w:tc>
          <w:tcPr>
            <w:tcW w:w="112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1000" w:type="dxa"/>
            <w:vAlign w:val="bottom"/>
            <w:gridSpan w:val="2"/>
            <w:shd w:val="clear" w:color="auto" w:fill="CEFFE7"/>
          </w:tcPr>
          <w:p>
            <w:pPr>
              <w:jc w:val="right"/>
              <w:ind w:right="119"/>
              <w:spacing w:after="0"/>
              <w:rPr>
                <w:sz w:val="20"/>
                <w:szCs w:val="20"/>
                <w:color w:val="auto"/>
              </w:rPr>
            </w:pPr>
            <w:r>
              <w:rPr>
                <w:rFonts w:ascii="Arial" w:cs="Arial" w:eastAsia="Arial" w:hAnsi="Arial"/>
                <w:sz w:val="16"/>
                <w:szCs w:val="16"/>
                <w:color w:val="auto"/>
              </w:rPr>
              <w:t>5,673</w:t>
            </w:r>
          </w:p>
        </w:tc>
        <w:tc>
          <w:tcPr>
            <w:tcW w:w="420" w:type="dxa"/>
            <w:vAlign w:val="bottom"/>
            <w:shd w:val="clear" w:color="auto" w:fill="CEFFE7"/>
          </w:tcPr>
          <w:p>
            <w:pPr>
              <w:spacing w:after="0"/>
              <w:rPr>
                <w:sz w:val="19"/>
                <w:szCs w:val="19"/>
                <w:color w:val="auto"/>
              </w:rPr>
            </w:pPr>
          </w:p>
        </w:tc>
        <w:tc>
          <w:tcPr>
            <w:tcW w:w="5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807</w:t>
            </w:r>
          </w:p>
        </w:tc>
        <w:tc>
          <w:tcPr>
            <w:tcW w:w="120" w:type="dxa"/>
            <w:vAlign w:val="bottom"/>
            <w:shd w:val="clear" w:color="auto" w:fill="CEFFE7"/>
          </w:tcPr>
          <w:p>
            <w:pPr>
              <w:spacing w:after="0"/>
              <w:rPr>
                <w:sz w:val="19"/>
                <w:szCs w:val="19"/>
                <w:color w:val="auto"/>
              </w:rPr>
            </w:pPr>
          </w:p>
        </w:tc>
        <w:tc>
          <w:tcPr>
            <w:tcW w:w="40" w:type="dxa"/>
            <w:vAlign w:val="bottom"/>
            <w:shd w:val="clear" w:color="auto" w:fill="CEFFE7"/>
          </w:tcPr>
          <w:p>
            <w:pPr>
              <w:spacing w:after="0"/>
              <w:rPr>
                <w:sz w:val="19"/>
                <w:szCs w:val="19"/>
                <w:color w:val="auto"/>
              </w:rPr>
            </w:pPr>
          </w:p>
        </w:tc>
        <w:tc>
          <w:tcPr>
            <w:tcW w:w="1380" w:type="dxa"/>
            <w:vAlign w:val="bottom"/>
            <w:gridSpan w:val="4"/>
            <w:shd w:val="clear" w:color="auto" w:fill="CEFFE7"/>
          </w:tcPr>
          <w:p>
            <w:pPr>
              <w:jc w:val="right"/>
              <w:ind w:right="299"/>
              <w:spacing w:after="0"/>
              <w:rPr>
                <w:sz w:val="20"/>
                <w:szCs w:val="20"/>
                <w:color w:val="auto"/>
              </w:rPr>
            </w:pPr>
            <w:r>
              <w:rPr>
                <w:rFonts w:ascii="Arial" w:cs="Arial" w:eastAsia="Arial" w:hAnsi="Arial"/>
                <w:sz w:val="16"/>
                <w:szCs w:val="16"/>
                <w:color w:val="auto"/>
              </w:rPr>
              <w:t>47,931</w:t>
            </w:r>
          </w:p>
        </w:tc>
        <w:tc>
          <w:tcPr>
            <w:tcW w:w="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100</w:t>
            </w:r>
          </w:p>
        </w:tc>
        <w:tc>
          <w:tcPr>
            <w:tcW w:w="4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54,511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4080" w:type="dxa"/>
            <w:vAlign w:val="bottom"/>
            <w:gridSpan w:val="4"/>
          </w:tcPr>
          <w:p>
            <w:pPr>
              <w:spacing w:after="0"/>
              <w:rPr>
                <w:sz w:val="20"/>
                <w:szCs w:val="20"/>
                <w:color w:val="auto"/>
              </w:rPr>
            </w:pPr>
            <w:r>
              <w:rPr>
                <w:rFonts w:ascii="Arial" w:cs="Arial" w:eastAsia="Arial" w:hAnsi="Arial"/>
                <w:sz w:val="16"/>
                <w:szCs w:val="16"/>
                <w:color w:val="auto"/>
              </w:rPr>
              <w:t>Mining</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19"/>
              <w:spacing w:after="0"/>
              <w:rPr>
                <w:sz w:val="20"/>
                <w:szCs w:val="20"/>
                <w:color w:val="auto"/>
              </w:rPr>
            </w:pPr>
            <w:r>
              <w:rPr>
                <w:rFonts w:ascii="Arial" w:cs="Arial" w:eastAsia="Arial" w:hAnsi="Arial"/>
                <w:sz w:val="16"/>
                <w:szCs w:val="16"/>
                <w:color w:val="auto"/>
              </w:rPr>
              <w:t>13,689</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4"/>
          </w:tcPr>
          <w:p>
            <w:pPr>
              <w:jc w:val="right"/>
              <w:ind w:right="299"/>
              <w:spacing w:after="0"/>
              <w:rPr>
                <w:sz w:val="20"/>
                <w:szCs w:val="20"/>
                <w:color w:val="auto"/>
              </w:rPr>
            </w:pPr>
            <w:r>
              <w:rPr>
                <w:rFonts w:ascii="Arial" w:cs="Arial" w:eastAsia="Arial" w:hAnsi="Arial"/>
                <w:sz w:val="16"/>
                <w:szCs w:val="16"/>
                <w:color w:val="auto"/>
              </w:rPr>
              <w:t>14,248</w:t>
            </w:r>
          </w:p>
        </w:tc>
        <w:tc>
          <w:tcPr>
            <w:tcW w:w="800" w:type="dxa"/>
            <w:vAlign w:val="bottom"/>
          </w:tcPr>
          <w:p>
            <w:pPr>
              <w:jc w:val="right"/>
              <w:spacing w:after="0"/>
              <w:rPr>
                <w:sz w:val="20"/>
                <w:szCs w:val="20"/>
                <w:color w:val="auto"/>
              </w:rPr>
            </w:pPr>
            <w:r>
              <w:rPr>
                <w:rFonts w:ascii="Arial" w:cs="Arial" w:eastAsia="Arial" w:hAnsi="Arial"/>
                <w:sz w:val="16"/>
                <w:szCs w:val="16"/>
                <w:color w:val="auto"/>
              </w:rPr>
              <w:t>681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29,101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40" w:type="dxa"/>
            <w:vAlign w:val="bottom"/>
            <w:gridSpan w:val="2"/>
          </w:tcPr>
          <w:p>
            <w:pPr>
              <w:spacing w:after="0"/>
              <w:rPr>
                <w:sz w:val="20"/>
                <w:szCs w:val="20"/>
                <w:color w:val="auto"/>
              </w:rPr>
            </w:pPr>
            <w:r>
              <w:rPr>
                <w:rFonts w:ascii="Arial" w:cs="Arial" w:eastAsia="Arial" w:hAnsi="Arial"/>
                <w:sz w:val="16"/>
                <w:szCs w:val="16"/>
                <w:color w:val="auto"/>
                <w:w w:val="84"/>
              </w:rPr>
              <w:t>er</w:t>
            </w:r>
          </w:p>
        </w:tc>
        <w:tc>
          <w:tcPr>
            <w:tcW w:w="394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-company eliminations</w:t>
            </w:r>
          </w:p>
        </w:tc>
        <w:tc>
          <w:tcPr>
            <w:tcW w:w="1120" w:type="dxa"/>
            <w:vAlign w:val="bottom"/>
            <w:shd w:val="clear" w:color="auto" w:fill="CEFFE7"/>
          </w:tcPr>
          <w:p>
            <w:pPr>
              <w:spacing w:after="0"/>
              <w:rPr>
                <w:sz w:val="18"/>
                <w:szCs w:val="18"/>
                <w:color w:val="auto"/>
              </w:rPr>
            </w:pPr>
          </w:p>
        </w:tc>
        <w:tc>
          <w:tcPr>
            <w:tcW w:w="120" w:type="dxa"/>
            <w:vAlign w:val="bottom"/>
            <w:tcBorders>
              <w:bottom w:val="single" w:sz="8" w:color="auto"/>
            </w:tcBorders>
            <w:shd w:val="clear" w:color="auto" w:fill="CEFFE7"/>
          </w:tcPr>
          <w:p>
            <w:pPr>
              <w:spacing w:after="0"/>
              <w:rPr>
                <w:sz w:val="18"/>
                <w:szCs w:val="18"/>
                <w:color w:val="auto"/>
              </w:rPr>
            </w:pPr>
          </w:p>
        </w:tc>
        <w:tc>
          <w:tcPr>
            <w:tcW w:w="100" w:type="dxa"/>
            <w:vAlign w:val="bottom"/>
            <w:tcBorders>
              <w:bottom w:val="single" w:sz="8" w:color="auto"/>
            </w:tcBorders>
            <w:shd w:val="clear" w:color="auto" w:fill="CEFFE7"/>
          </w:tcPr>
          <w:p>
            <w:pPr>
              <w:spacing w:after="0"/>
              <w:rPr>
                <w:sz w:val="18"/>
                <w:szCs w:val="18"/>
                <w:color w:val="auto"/>
              </w:rPr>
            </w:pPr>
          </w:p>
        </w:tc>
        <w:tc>
          <w:tcPr>
            <w:tcW w:w="4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EFFE7"/>
          </w:tcPr>
          <w:p>
            <w:pPr>
              <w:spacing w:after="0"/>
              <w:rPr>
                <w:sz w:val="18"/>
                <w:szCs w:val="18"/>
                <w:color w:val="auto"/>
              </w:rPr>
            </w:pPr>
          </w:p>
        </w:tc>
        <w:tc>
          <w:tcPr>
            <w:tcW w:w="5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EFFE7"/>
          </w:tcPr>
          <w:p>
            <w:pPr>
              <w:spacing w:after="0"/>
              <w:rPr>
                <w:sz w:val="18"/>
                <w:szCs w:val="18"/>
                <w:color w:val="auto"/>
              </w:rPr>
            </w:pPr>
          </w:p>
        </w:tc>
        <w:tc>
          <w:tcPr>
            <w:tcW w:w="40" w:type="dxa"/>
            <w:vAlign w:val="bottom"/>
            <w:tcBorders>
              <w:bottom w:val="single" w:sz="8" w:color="auto"/>
            </w:tcBorders>
            <w:shd w:val="clear" w:color="auto" w:fill="CEFFE7"/>
          </w:tcPr>
          <w:p>
            <w:pPr>
              <w:spacing w:after="0"/>
              <w:rPr>
                <w:sz w:val="18"/>
                <w:szCs w:val="18"/>
                <w:color w:val="auto"/>
              </w:rPr>
            </w:pPr>
          </w:p>
        </w:tc>
        <w:tc>
          <w:tcPr>
            <w:tcW w:w="1380" w:type="dxa"/>
            <w:vAlign w:val="bottom"/>
            <w:tcBorders>
              <w:bottom w:val="single" w:sz="8" w:color="auto"/>
            </w:tcBorders>
            <w:gridSpan w:val="4"/>
            <w:shd w:val="clear" w:color="auto" w:fill="CEFFE7"/>
          </w:tcPr>
          <w:p>
            <w:pPr>
              <w:jc w:val="center"/>
              <w:ind w:left="19"/>
              <w:spacing w:after="0"/>
              <w:rPr>
                <w:sz w:val="20"/>
                <w:szCs w:val="20"/>
                <w:color w:val="auto"/>
              </w:rPr>
            </w:pPr>
            <w:r>
              <w:rPr>
                <w:rFonts w:ascii="Arial" w:cs="Arial" w:eastAsia="Arial" w:hAnsi="Arial"/>
                <w:sz w:val="16"/>
                <w:szCs w:val="16"/>
                <w:color w:val="auto"/>
              </w:rPr>
              <w:t>(77,551)</w:t>
            </w: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(967)</w:t>
            </w:r>
          </w:p>
        </w:tc>
        <w:tc>
          <w:tcPr>
            <w:tcW w:w="4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160" w:type="dxa"/>
            <w:vAlign w:val="bottom"/>
            <w:tcBorders>
              <w:bottom w:val="single" w:sz="8" w:color="auto"/>
            </w:tcBorders>
            <w:shd w:val="clear" w:color="auto" w:fill="CEFFE7"/>
          </w:tcPr>
          <w:p>
            <w:pPr>
              <w:spacing w:after="0"/>
              <w:rPr>
                <w:sz w:val="18"/>
                <w:szCs w:val="18"/>
                <w:color w:val="auto"/>
              </w:rPr>
            </w:pPr>
          </w:p>
        </w:tc>
        <w:tc>
          <w:tcPr>
            <w:tcW w:w="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(78,518)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080" w:type="dxa"/>
            <w:vAlign w:val="bottom"/>
            <w:gridSpan w:val="4"/>
          </w:tcPr>
          <w:p>
            <w:pPr>
              <w:spacing w:after="0"/>
              <w:rPr>
                <w:sz w:val="20"/>
                <w:szCs w:val="20"/>
                <w:color w:val="auto"/>
              </w:rPr>
            </w:pPr>
            <w:r>
              <w:rPr>
                <w:rFonts w:ascii="Arial" w:cs="Arial" w:eastAsia="Arial" w:hAnsi="Arial"/>
                <w:sz w:val="16"/>
                <w:szCs w:val="16"/>
                <w:color w:val="auto"/>
              </w:rPr>
              <w:t>tal</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19"/>
              <w:spacing w:after="0"/>
              <w:rPr>
                <w:sz w:val="20"/>
                <w:szCs w:val="20"/>
                <w:color w:val="auto"/>
              </w:rPr>
            </w:pPr>
            <w:r>
              <w:rPr>
                <w:rFonts w:ascii="Arial" w:cs="Arial" w:eastAsia="Arial" w:hAnsi="Arial"/>
                <w:sz w:val="16"/>
                <w:szCs w:val="16"/>
                <w:color w:val="auto"/>
              </w:rPr>
              <w:t>998,640$</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7,364$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1,006,004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0"/>
        </w:trPr>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4"/>
          </w:tcPr>
          <w:p>
            <w:pPr>
              <w:jc w:val="center"/>
              <w:ind w:left="159"/>
              <w:spacing w:after="0"/>
              <w:rPr>
                <w:sz w:val="20"/>
                <w:szCs w:val="20"/>
                <w:color w:val="auto"/>
              </w:rPr>
            </w:pPr>
            <w:r>
              <w:rPr>
                <w:rFonts w:ascii="Arial" w:cs="Arial" w:eastAsia="Arial" w:hAnsi="Arial"/>
                <w:sz w:val="16"/>
                <w:szCs w:val="16"/>
                <w:color w:val="auto"/>
              </w:rPr>
              <w:t>Inter-company Operating</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5"/>
        </w:trPr>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6"/>
          </w:tcPr>
          <w:p>
            <w:pPr>
              <w:jc w:val="right"/>
              <w:ind w:right="100"/>
              <w:spacing w:after="0"/>
              <w:rPr>
                <w:sz w:val="20"/>
                <w:szCs w:val="20"/>
                <w:color w:val="auto"/>
              </w:rPr>
            </w:pPr>
            <w:r>
              <w:rPr>
                <w:rFonts w:ascii="Arial" w:cs="Arial" w:eastAsia="Arial" w:hAnsi="Arial"/>
                <w:sz w:val="16"/>
                <w:szCs w:val="16"/>
                <w:color w:val="auto"/>
              </w:rPr>
              <w:t>External Operating Revenue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40" w:type="dxa"/>
            <w:vAlign w:val="bottom"/>
            <w:gridSpan w:val="3"/>
          </w:tcPr>
          <w:p>
            <w:pPr>
              <w:jc w:val="center"/>
              <w:ind w:right="280"/>
              <w:spacing w:after="0"/>
              <w:rPr>
                <w:sz w:val="20"/>
                <w:szCs w:val="20"/>
                <w:color w:val="auto"/>
              </w:rPr>
            </w:pPr>
            <w:r>
              <w:rPr>
                <w:rFonts w:ascii="Arial" w:cs="Arial" w:eastAsia="Arial" w:hAnsi="Arial"/>
                <w:sz w:val="16"/>
                <w:szCs w:val="16"/>
                <w:color w:val="auto"/>
              </w:rPr>
              <w:t>Revenue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7"/>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Contract</w:t>
            </w:r>
          </w:p>
        </w:tc>
        <w:tc>
          <w:tcPr>
            <w:tcW w:w="420" w:type="dxa"/>
            <w:vAlign w:val="bottom"/>
          </w:tcPr>
          <w:p>
            <w:pPr>
              <w:spacing w:after="0"/>
              <w:rPr>
                <w:sz w:val="20"/>
                <w:szCs w:val="20"/>
                <w:color w:val="auto"/>
              </w:rPr>
            </w:pPr>
          </w:p>
        </w:tc>
        <w:tc>
          <w:tcPr>
            <w:tcW w:w="740" w:type="dxa"/>
            <w:vAlign w:val="bottom"/>
            <w:gridSpan w:val="3"/>
          </w:tcPr>
          <w:p>
            <w:pPr>
              <w:jc w:val="center"/>
              <w:ind w:right="300"/>
              <w:spacing w:after="0"/>
              <w:rPr>
                <w:sz w:val="20"/>
                <w:szCs w:val="20"/>
                <w:color w:val="auto"/>
              </w:rPr>
            </w:pPr>
            <w:r>
              <w:rPr>
                <w:rFonts w:ascii="Arial" w:cs="Arial" w:eastAsia="Arial" w:hAnsi="Arial"/>
                <w:sz w:val="16"/>
                <w:szCs w:val="16"/>
                <w:color w:val="auto"/>
                <w:w w:val="99"/>
              </w:rPr>
              <w:t>Other</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w w:val="99"/>
              </w:rPr>
              <w:t>Contract</w:t>
            </w:r>
          </w:p>
        </w:tc>
        <w:tc>
          <w:tcPr>
            <w:tcW w:w="840" w:type="dxa"/>
            <w:vAlign w:val="bottom"/>
            <w:gridSpan w:val="2"/>
          </w:tcPr>
          <w:p>
            <w:pPr>
              <w:jc w:val="center"/>
              <w:ind w:left="119"/>
              <w:spacing w:after="0"/>
              <w:rPr>
                <w:sz w:val="20"/>
                <w:szCs w:val="20"/>
                <w:color w:val="auto"/>
              </w:rPr>
            </w:pPr>
            <w:r>
              <w:rPr>
                <w:rFonts w:ascii="Arial" w:cs="Arial" w:eastAsia="Arial" w:hAnsi="Arial"/>
                <w:sz w:val="16"/>
                <w:szCs w:val="16"/>
                <w:color w:val="auto"/>
                <w:w w:val="99"/>
              </w:rPr>
              <w:t>Other</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6"/>
                <w:szCs w:val="16"/>
                <w:color w:val="auto"/>
                <w:w w:val="95"/>
              </w:rPr>
              <w:t>Total</w:t>
            </w:r>
          </w:p>
        </w:tc>
      </w:tr>
      <w:tr>
        <w:trPr>
          <w:trHeight w:val="198"/>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6"/>
                <w:szCs w:val="16"/>
                <w:color w:val="2C2C2C"/>
              </w:rPr>
              <w:t>Six Months Ended June 30, 2020</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Customers</w:t>
            </w:r>
          </w:p>
        </w:tc>
        <w:tc>
          <w:tcPr>
            <w:tcW w:w="1160" w:type="dxa"/>
            <w:vAlign w:val="bottom"/>
            <w:gridSpan w:val="4"/>
          </w:tcPr>
          <w:p>
            <w:pPr>
              <w:jc w:val="center"/>
              <w:spacing w:after="0"/>
              <w:rPr>
                <w:sz w:val="20"/>
                <w:szCs w:val="20"/>
                <w:color w:val="auto"/>
              </w:rPr>
            </w:pPr>
            <w:r>
              <w:rPr>
                <w:rFonts w:ascii="Arial" w:cs="Arial" w:eastAsia="Arial" w:hAnsi="Arial"/>
                <w:sz w:val="16"/>
                <w:szCs w:val="16"/>
                <w:color w:val="auto"/>
              </w:rPr>
              <w:t>Revenues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rPr>
              <w:t>Customers</w:t>
            </w:r>
          </w:p>
        </w:tc>
        <w:tc>
          <w:tcPr>
            <w:tcW w:w="1220" w:type="dxa"/>
            <w:vAlign w:val="bottom"/>
            <w:gridSpan w:val="5"/>
          </w:tcPr>
          <w:p>
            <w:pPr>
              <w:jc w:val="center"/>
              <w:ind w:right="220"/>
              <w:spacing w:after="0"/>
              <w:rPr>
                <w:sz w:val="20"/>
                <w:szCs w:val="20"/>
                <w:color w:val="auto"/>
              </w:rPr>
            </w:pPr>
            <w:r>
              <w:rPr>
                <w:rFonts w:ascii="Arial" w:cs="Arial" w:eastAsia="Arial" w:hAnsi="Arial"/>
                <w:sz w:val="16"/>
                <w:szCs w:val="16"/>
                <w:color w:val="auto"/>
                <w:w w:val="99"/>
              </w:rPr>
              <w:t>Revenues</w:t>
            </w:r>
          </w:p>
        </w:tc>
        <w:tc>
          <w:tcPr>
            <w:tcW w:w="160" w:type="dxa"/>
            <w:vAlign w:val="bottom"/>
          </w:tcPr>
          <w:p>
            <w:pPr>
              <w:spacing w:after="0"/>
              <w:rPr>
                <w:sz w:val="17"/>
                <w:szCs w:val="17"/>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6"/>
                <w:szCs w:val="16"/>
                <w:color w:val="auto"/>
              </w:rPr>
              <w:t>Revenues</w:t>
            </w:r>
          </w:p>
        </w:tc>
      </w:tr>
      <w:tr>
        <w:trPr>
          <w:trHeight w:val="212"/>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40" w:type="dxa"/>
            <w:vAlign w:val="bottom"/>
            <w:tcBorders>
              <w:top w:val="single" w:sz="8" w:color="auto"/>
            </w:tcBorders>
            <w:gridSpan w:val="2"/>
            <w:shd w:val="clear" w:color="auto" w:fill="CEFFE7"/>
          </w:tcPr>
          <w:p>
            <w:pPr>
              <w:spacing w:after="0"/>
              <w:rPr>
                <w:sz w:val="20"/>
                <w:szCs w:val="20"/>
                <w:color w:val="auto"/>
              </w:rPr>
            </w:pPr>
            <w:r>
              <w:rPr>
                <w:rFonts w:ascii="Arial" w:cs="Arial" w:eastAsia="Arial" w:hAnsi="Arial"/>
                <w:sz w:val="16"/>
                <w:szCs w:val="16"/>
                <w:color w:val="auto"/>
              </w:rPr>
              <w:t>Segment:</w:t>
            </w:r>
          </w:p>
        </w:tc>
        <w:tc>
          <w:tcPr>
            <w:tcW w:w="1120" w:type="dxa"/>
            <w:vAlign w:val="bottom"/>
            <w:tcBorders>
              <w:top w:val="single" w:sz="8" w:color="auto"/>
            </w:tcBorders>
            <w:shd w:val="clear" w:color="auto" w:fill="CEFFE7"/>
          </w:tcPr>
          <w:p>
            <w:pPr>
              <w:spacing w:after="0"/>
              <w:rPr>
                <w:sz w:val="18"/>
                <w:szCs w:val="18"/>
                <w:color w:val="auto"/>
              </w:rPr>
            </w:pPr>
          </w:p>
        </w:tc>
        <w:tc>
          <w:tcPr>
            <w:tcW w:w="120" w:type="dxa"/>
            <w:vAlign w:val="bottom"/>
            <w:tcBorders>
              <w:top w:val="single" w:sz="8" w:color="auto"/>
            </w:tcBorders>
            <w:shd w:val="clear" w:color="auto" w:fill="CEFFE7"/>
          </w:tcPr>
          <w:p>
            <w:pPr>
              <w:spacing w:after="0"/>
              <w:rPr>
                <w:sz w:val="18"/>
                <w:szCs w:val="18"/>
                <w:color w:val="auto"/>
              </w:rPr>
            </w:pPr>
          </w:p>
        </w:tc>
        <w:tc>
          <w:tcPr>
            <w:tcW w:w="100" w:type="dxa"/>
            <w:vAlign w:val="bottom"/>
            <w:tcBorders>
              <w:top w:val="single" w:sz="8" w:color="auto"/>
            </w:tcBorders>
            <w:shd w:val="clear" w:color="auto" w:fill="CEFFE7"/>
          </w:tcPr>
          <w:p>
            <w:pPr>
              <w:spacing w:after="0"/>
              <w:rPr>
                <w:sz w:val="18"/>
                <w:szCs w:val="18"/>
                <w:color w:val="auto"/>
              </w:rPr>
            </w:pPr>
          </w:p>
        </w:tc>
        <w:tc>
          <w:tcPr>
            <w:tcW w:w="40" w:type="dxa"/>
            <w:vAlign w:val="bottom"/>
            <w:tcBorders>
              <w:top w:val="single" w:sz="8" w:color="auto"/>
            </w:tcBorders>
            <w:shd w:val="clear" w:color="auto" w:fill="CEFFE7"/>
          </w:tcPr>
          <w:p>
            <w:pPr>
              <w:spacing w:after="0"/>
              <w:rPr>
                <w:sz w:val="18"/>
                <w:szCs w:val="18"/>
                <w:color w:val="auto"/>
              </w:rPr>
            </w:pPr>
          </w:p>
        </w:tc>
        <w:tc>
          <w:tcPr>
            <w:tcW w:w="960" w:type="dxa"/>
            <w:vAlign w:val="bottom"/>
            <w:tcBorders>
              <w:top w:val="single" w:sz="8" w:color="auto"/>
            </w:tcBorders>
            <w:shd w:val="clear" w:color="auto" w:fill="CEFFE7"/>
          </w:tcPr>
          <w:p>
            <w:pPr>
              <w:spacing w:after="0"/>
              <w:rPr>
                <w:sz w:val="18"/>
                <w:szCs w:val="18"/>
                <w:color w:val="auto"/>
              </w:rPr>
            </w:pPr>
          </w:p>
        </w:tc>
        <w:tc>
          <w:tcPr>
            <w:tcW w:w="420" w:type="dxa"/>
            <w:vAlign w:val="bottom"/>
            <w:tcBorders>
              <w:top w:val="single" w:sz="8" w:color="auto"/>
            </w:tcBorders>
            <w:shd w:val="clear" w:color="auto" w:fill="CEFFE7"/>
          </w:tcPr>
          <w:p>
            <w:pPr>
              <w:spacing w:after="0"/>
              <w:rPr>
                <w:sz w:val="18"/>
                <w:szCs w:val="18"/>
                <w:color w:val="auto"/>
              </w:rPr>
            </w:pPr>
          </w:p>
        </w:tc>
        <w:tc>
          <w:tcPr>
            <w:tcW w:w="580" w:type="dxa"/>
            <w:vAlign w:val="bottom"/>
            <w:tcBorders>
              <w:top w:val="single" w:sz="8" w:color="auto"/>
            </w:tcBorders>
            <w:shd w:val="clear" w:color="auto" w:fill="CEFFE7"/>
          </w:tcPr>
          <w:p>
            <w:pPr>
              <w:spacing w:after="0"/>
              <w:rPr>
                <w:sz w:val="18"/>
                <w:szCs w:val="18"/>
                <w:color w:val="auto"/>
              </w:rPr>
            </w:pPr>
          </w:p>
        </w:tc>
        <w:tc>
          <w:tcPr>
            <w:tcW w:w="120" w:type="dxa"/>
            <w:vAlign w:val="bottom"/>
            <w:tcBorders>
              <w:top w:val="single" w:sz="8" w:color="auto"/>
            </w:tcBorders>
            <w:shd w:val="clear" w:color="auto" w:fill="CEFFE7"/>
          </w:tcPr>
          <w:p>
            <w:pPr>
              <w:spacing w:after="0"/>
              <w:rPr>
                <w:sz w:val="18"/>
                <w:szCs w:val="18"/>
                <w:color w:val="auto"/>
              </w:rPr>
            </w:pPr>
          </w:p>
        </w:tc>
        <w:tc>
          <w:tcPr>
            <w:tcW w:w="40" w:type="dxa"/>
            <w:vAlign w:val="bottom"/>
            <w:tcBorders>
              <w:top w:val="single" w:sz="8" w:color="auto"/>
            </w:tcBorders>
            <w:shd w:val="clear" w:color="auto" w:fill="CEFFE7"/>
          </w:tcPr>
          <w:p>
            <w:pPr>
              <w:spacing w:after="0"/>
              <w:rPr>
                <w:sz w:val="18"/>
                <w:szCs w:val="18"/>
                <w:color w:val="auto"/>
              </w:rPr>
            </w:pPr>
          </w:p>
        </w:tc>
        <w:tc>
          <w:tcPr>
            <w:tcW w:w="40" w:type="dxa"/>
            <w:vAlign w:val="bottom"/>
            <w:tcBorders>
              <w:top w:val="single" w:sz="8" w:color="auto"/>
            </w:tcBorders>
            <w:shd w:val="clear" w:color="auto" w:fill="CEFFE7"/>
          </w:tcPr>
          <w:p>
            <w:pPr>
              <w:spacing w:after="0"/>
              <w:rPr>
                <w:sz w:val="18"/>
                <w:szCs w:val="18"/>
                <w:color w:val="auto"/>
              </w:rPr>
            </w:pPr>
          </w:p>
        </w:tc>
        <w:tc>
          <w:tcPr>
            <w:tcW w:w="120" w:type="dxa"/>
            <w:vAlign w:val="bottom"/>
            <w:tcBorders>
              <w:top w:val="single" w:sz="8" w:color="auto"/>
            </w:tcBorders>
            <w:shd w:val="clear" w:color="auto" w:fill="CEFFE7"/>
          </w:tcPr>
          <w:p>
            <w:pPr>
              <w:spacing w:after="0"/>
              <w:rPr>
                <w:sz w:val="18"/>
                <w:szCs w:val="18"/>
                <w:color w:val="auto"/>
              </w:rPr>
            </w:pPr>
          </w:p>
        </w:tc>
        <w:tc>
          <w:tcPr>
            <w:tcW w:w="520" w:type="dxa"/>
            <w:vAlign w:val="bottom"/>
            <w:tcBorders>
              <w:top w:val="single" w:sz="8" w:color="auto"/>
            </w:tcBorders>
            <w:shd w:val="clear" w:color="auto" w:fill="CEFFE7"/>
          </w:tcPr>
          <w:p>
            <w:pPr>
              <w:spacing w:after="0"/>
              <w:rPr>
                <w:sz w:val="18"/>
                <w:szCs w:val="18"/>
                <w:color w:val="auto"/>
              </w:rPr>
            </w:pPr>
          </w:p>
        </w:tc>
        <w:tc>
          <w:tcPr>
            <w:tcW w:w="700" w:type="dxa"/>
            <w:vAlign w:val="bottom"/>
            <w:tcBorders>
              <w:top w:val="single" w:sz="8" w:color="auto"/>
            </w:tcBorders>
            <w:shd w:val="clear" w:color="auto" w:fill="CEFFE7"/>
          </w:tcPr>
          <w:p>
            <w:pPr>
              <w:spacing w:after="0"/>
              <w:rPr>
                <w:sz w:val="18"/>
                <w:szCs w:val="18"/>
                <w:color w:val="auto"/>
              </w:rPr>
            </w:pPr>
          </w:p>
        </w:tc>
        <w:tc>
          <w:tcPr>
            <w:tcW w:w="800" w:type="dxa"/>
            <w:vAlign w:val="bottom"/>
            <w:tcBorders>
              <w:top w:val="single" w:sz="8" w:color="auto"/>
            </w:tcBorders>
            <w:shd w:val="clear" w:color="auto" w:fill="CEFFE7"/>
          </w:tcPr>
          <w:p>
            <w:pPr>
              <w:spacing w:after="0"/>
              <w:rPr>
                <w:sz w:val="18"/>
                <w:szCs w:val="18"/>
                <w:color w:val="auto"/>
              </w:rPr>
            </w:pPr>
          </w:p>
        </w:tc>
        <w:tc>
          <w:tcPr>
            <w:tcW w:w="40" w:type="dxa"/>
            <w:vAlign w:val="bottom"/>
            <w:tcBorders>
              <w:top w:val="single" w:sz="8" w:color="auto"/>
            </w:tcBorders>
            <w:shd w:val="clear" w:color="auto" w:fill="CEFFE7"/>
          </w:tcPr>
          <w:p>
            <w:pPr>
              <w:spacing w:after="0"/>
              <w:rPr>
                <w:sz w:val="18"/>
                <w:szCs w:val="18"/>
                <w:color w:val="auto"/>
              </w:rPr>
            </w:pPr>
          </w:p>
        </w:tc>
        <w:tc>
          <w:tcPr>
            <w:tcW w:w="100" w:type="dxa"/>
            <w:vAlign w:val="bottom"/>
            <w:tcBorders>
              <w:top w:val="single" w:sz="8" w:color="auto"/>
            </w:tcBorders>
            <w:shd w:val="clear" w:color="auto" w:fill="CEFFE7"/>
          </w:tcPr>
          <w:p>
            <w:pPr>
              <w:spacing w:after="0"/>
              <w:rPr>
                <w:sz w:val="18"/>
                <w:szCs w:val="18"/>
                <w:color w:val="auto"/>
              </w:rPr>
            </w:pPr>
          </w:p>
        </w:tc>
        <w:tc>
          <w:tcPr>
            <w:tcW w:w="140" w:type="dxa"/>
            <w:vAlign w:val="bottom"/>
            <w:tcBorders>
              <w:top w:val="single" w:sz="8" w:color="auto"/>
            </w:tcBorders>
            <w:shd w:val="clear" w:color="auto" w:fill="CEFFE7"/>
          </w:tcPr>
          <w:p>
            <w:pPr>
              <w:spacing w:after="0"/>
              <w:rPr>
                <w:sz w:val="18"/>
                <w:szCs w:val="18"/>
                <w:color w:val="auto"/>
              </w:rPr>
            </w:pPr>
          </w:p>
        </w:tc>
        <w:tc>
          <w:tcPr>
            <w:tcW w:w="140" w:type="dxa"/>
            <w:vAlign w:val="bottom"/>
            <w:tcBorders>
              <w:top w:val="single" w:sz="8" w:color="auto"/>
            </w:tcBorders>
            <w:shd w:val="clear" w:color="auto" w:fill="CEFFE7"/>
          </w:tcPr>
          <w:p>
            <w:pPr>
              <w:spacing w:after="0"/>
              <w:rPr>
                <w:sz w:val="18"/>
                <w:szCs w:val="18"/>
                <w:color w:val="auto"/>
              </w:rPr>
            </w:pPr>
          </w:p>
        </w:tc>
        <w:tc>
          <w:tcPr>
            <w:tcW w:w="160" w:type="dxa"/>
            <w:vAlign w:val="bottom"/>
            <w:tcBorders>
              <w:top w:val="single" w:sz="8" w:color="auto"/>
            </w:tcBorders>
            <w:shd w:val="clear" w:color="auto" w:fill="CEFFE7"/>
          </w:tcPr>
          <w:p>
            <w:pPr>
              <w:spacing w:after="0"/>
              <w:rPr>
                <w:sz w:val="18"/>
                <w:szCs w:val="18"/>
                <w:color w:val="auto"/>
              </w:rPr>
            </w:pPr>
          </w:p>
        </w:tc>
        <w:tc>
          <w:tcPr>
            <w:tcW w:w="660" w:type="dxa"/>
            <w:vAlign w:val="bottom"/>
            <w:tcBorders>
              <w:top w:val="single" w:sz="8" w:color="auto"/>
            </w:tcBorders>
            <w:shd w:val="clear" w:color="auto" w:fill="CEFFE7"/>
          </w:tcPr>
          <w:p>
            <w:pPr>
              <w:spacing w:after="0"/>
              <w:rPr>
                <w:sz w:val="18"/>
                <w:szCs w:val="18"/>
                <w:color w:val="auto"/>
              </w:rPr>
            </w:pPr>
          </w:p>
        </w:tc>
        <w:tc>
          <w:tcPr>
            <w:tcW w:w="320" w:type="dxa"/>
            <w:vAlign w:val="bottom"/>
            <w:tcBorders>
              <w:top w:val="single" w:sz="8" w:color="auto"/>
              <w:left w:val="single" w:sz="8" w:color="CEFFE7"/>
            </w:tcBorders>
            <w:shd w:val="clear" w:color="auto" w:fill="CEFFE7"/>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40" w:type="dxa"/>
            <w:vAlign w:val="bottom"/>
            <w:gridSpan w:val="2"/>
          </w:tcPr>
          <w:p>
            <w:pPr>
              <w:ind w:left="120"/>
              <w:spacing w:after="0"/>
              <w:rPr>
                <w:sz w:val="20"/>
                <w:szCs w:val="20"/>
                <w:color w:val="auto"/>
              </w:rPr>
            </w:pPr>
            <w:r>
              <w:rPr>
                <w:rFonts w:ascii="Arial" w:cs="Arial" w:eastAsia="Arial" w:hAnsi="Arial"/>
                <w:sz w:val="16"/>
                <w:szCs w:val="16"/>
                <w:color w:val="auto"/>
              </w:rPr>
              <w:t>Electric Utilities</w:t>
            </w:r>
          </w:p>
        </w:tc>
        <w:tc>
          <w:tcPr>
            <w:tcW w:w="1340" w:type="dxa"/>
            <w:vAlign w:val="bottom"/>
            <w:gridSpan w:val="3"/>
          </w:tcPr>
          <w:p>
            <w:pPr>
              <w:ind w:left="126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323,700</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1,850</w:t>
            </w:r>
          </w:p>
        </w:tc>
        <w:tc>
          <w:tcPr>
            <w:tcW w:w="40" w:type="dxa"/>
            <w:vAlign w:val="bottom"/>
          </w:tcPr>
          <w:p>
            <w:pPr>
              <w:spacing w:after="0"/>
              <w:rPr>
                <w:sz w:val="18"/>
                <w:szCs w:val="18"/>
                <w:color w:val="auto"/>
              </w:rPr>
            </w:pPr>
          </w:p>
        </w:tc>
        <w:tc>
          <w:tcPr>
            <w:tcW w:w="680" w:type="dxa"/>
            <w:vAlign w:val="bottom"/>
            <w:gridSpan w:val="3"/>
          </w:tcPr>
          <w:p>
            <w:pPr>
              <w:jc w:val="right"/>
              <w:ind w:right="319"/>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679"/>
              <w:spacing w:after="0"/>
              <w:rPr>
                <w:sz w:val="20"/>
                <w:szCs w:val="20"/>
                <w:color w:val="auto"/>
              </w:rPr>
            </w:pPr>
            <w:r>
              <w:rPr>
                <w:rFonts w:ascii="Arial" w:cs="Arial" w:eastAsia="Arial" w:hAnsi="Arial"/>
                <w:sz w:val="16"/>
                <w:szCs w:val="16"/>
                <w:color w:val="auto"/>
              </w:rPr>
              <w:t>11,789 $</w:t>
            </w:r>
          </w:p>
        </w:tc>
        <w:tc>
          <w:tcPr>
            <w:tcW w:w="40" w:type="dxa"/>
            <w:vAlign w:val="bottom"/>
          </w:tcPr>
          <w:p>
            <w:pPr>
              <w:spacing w:after="0"/>
              <w:rPr>
                <w:sz w:val="18"/>
                <w:szCs w:val="18"/>
                <w:color w:val="auto"/>
              </w:rPr>
            </w:pPr>
          </w:p>
        </w:tc>
        <w:tc>
          <w:tcPr>
            <w:tcW w:w="380" w:type="dxa"/>
            <w:vAlign w:val="bottom"/>
            <w:gridSpan w:val="3"/>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337,339</w:t>
            </w:r>
          </w:p>
        </w:tc>
        <w:tc>
          <w:tcPr>
            <w:tcW w:w="20" w:type="dxa"/>
            <w:vAlign w:val="bottom"/>
          </w:tcPr>
          <w:p>
            <w:pPr>
              <w:spacing w:after="0"/>
              <w:rPr>
                <w:sz w:val="18"/>
                <w:szCs w:val="18"/>
                <w:color w:val="auto"/>
              </w:rPr>
            </w:pPr>
          </w:p>
        </w:tc>
      </w:tr>
      <w:tr>
        <w:trPr>
          <w:trHeight w:val="219"/>
        </w:trPr>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94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Gas Utilities</w:t>
            </w:r>
          </w:p>
        </w:tc>
        <w:tc>
          <w:tcPr>
            <w:tcW w:w="112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100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514,111</w:t>
            </w:r>
          </w:p>
        </w:tc>
        <w:tc>
          <w:tcPr>
            <w:tcW w:w="420" w:type="dxa"/>
            <w:vAlign w:val="bottom"/>
            <w:shd w:val="clear" w:color="auto" w:fill="CEFFE7"/>
          </w:tcPr>
          <w:p>
            <w:pPr>
              <w:spacing w:after="0"/>
              <w:rPr>
                <w:sz w:val="19"/>
                <w:szCs w:val="19"/>
                <w:color w:val="auto"/>
              </w:rPr>
            </w:pPr>
          </w:p>
        </w:tc>
        <w:tc>
          <w:tcPr>
            <w:tcW w:w="70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6,220</w:t>
            </w:r>
          </w:p>
        </w:tc>
        <w:tc>
          <w:tcPr>
            <w:tcW w:w="40" w:type="dxa"/>
            <w:vAlign w:val="bottom"/>
            <w:shd w:val="clear" w:color="auto" w:fill="CEFFE7"/>
          </w:tcPr>
          <w:p>
            <w:pPr>
              <w:spacing w:after="0"/>
              <w:rPr>
                <w:sz w:val="19"/>
                <w:szCs w:val="19"/>
                <w:color w:val="auto"/>
              </w:rPr>
            </w:pPr>
          </w:p>
        </w:tc>
        <w:tc>
          <w:tcPr>
            <w:tcW w:w="4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520" w:type="dxa"/>
            <w:vAlign w:val="bottom"/>
            <w:shd w:val="clear" w:color="auto" w:fill="CEFFE7"/>
          </w:tcPr>
          <w:p>
            <w:pPr>
              <w:spacing w:after="0"/>
              <w:rPr>
                <w:sz w:val="19"/>
                <w:szCs w:val="19"/>
                <w:color w:val="auto"/>
              </w:rPr>
            </w:pPr>
          </w:p>
        </w:tc>
        <w:tc>
          <w:tcPr>
            <w:tcW w:w="70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1,552</w:t>
            </w:r>
          </w:p>
        </w:tc>
        <w:tc>
          <w:tcPr>
            <w:tcW w:w="800" w:type="dxa"/>
            <w:vAlign w:val="bottom"/>
            <w:shd w:val="clear" w:color="auto" w:fill="CEFFE7"/>
          </w:tcPr>
          <w:p>
            <w:pPr>
              <w:spacing w:after="0"/>
              <w:rPr>
                <w:sz w:val="19"/>
                <w:szCs w:val="19"/>
                <w:color w:val="auto"/>
              </w:rPr>
            </w:pPr>
          </w:p>
        </w:tc>
        <w:tc>
          <w:tcPr>
            <w:tcW w:w="40" w:type="dxa"/>
            <w:vAlign w:val="bottom"/>
            <w:shd w:val="clear" w:color="auto" w:fill="CEFFE7"/>
          </w:tcPr>
          <w:p>
            <w:pPr>
              <w:spacing w:after="0"/>
              <w:rPr>
                <w:sz w:val="19"/>
                <w:szCs w:val="19"/>
                <w:color w:val="auto"/>
              </w:rPr>
            </w:pPr>
          </w:p>
        </w:tc>
        <w:tc>
          <w:tcPr>
            <w:tcW w:w="380" w:type="dxa"/>
            <w:vAlign w:val="bottom"/>
            <w:gridSpan w:val="3"/>
            <w:shd w:val="clear" w:color="auto" w:fill="CEFFE7"/>
          </w:tcPr>
          <w:p>
            <w:pPr>
              <w:jc w:val="right"/>
              <w:ind w:right="22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EFFE7"/>
          </w:tcPr>
          <w:p>
            <w:pPr>
              <w:spacing w:after="0"/>
              <w:rPr>
                <w:sz w:val="19"/>
                <w:szCs w:val="19"/>
                <w:color w:val="auto"/>
              </w:rPr>
            </w:pPr>
          </w:p>
        </w:tc>
        <w:tc>
          <w:tcPr>
            <w:tcW w:w="980" w:type="dxa"/>
            <w:vAlign w:val="bottom"/>
            <w:gridSpan w:val="2"/>
            <w:shd w:val="clear" w:color="auto" w:fill="CEFFE7"/>
          </w:tcPr>
          <w:p>
            <w:pPr>
              <w:jc w:val="right"/>
              <w:ind w:right="80"/>
              <w:spacing w:after="0"/>
              <w:rPr>
                <w:sz w:val="20"/>
                <w:szCs w:val="20"/>
                <w:color w:val="auto"/>
              </w:rPr>
            </w:pPr>
            <w:r>
              <w:rPr>
                <w:rFonts w:ascii="Arial" w:cs="Arial" w:eastAsia="Arial" w:hAnsi="Arial"/>
                <w:sz w:val="16"/>
                <w:szCs w:val="16"/>
                <w:color w:val="auto"/>
              </w:rPr>
              <w:t>521,883</w:t>
            </w:r>
          </w:p>
        </w:tc>
        <w:tc>
          <w:tcPr>
            <w:tcW w:w="20" w:type="dxa"/>
            <w:vAlign w:val="bottom"/>
          </w:tcPr>
          <w:p>
            <w:pPr>
              <w:spacing w:after="0"/>
              <w:rPr>
                <w:sz w:val="19"/>
                <w:szCs w:val="19"/>
                <w:color w:val="auto"/>
              </w:rPr>
            </w:pPr>
          </w:p>
        </w:tc>
      </w:tr>
      <w:tr>
        <w:trPr>
          <w:trHeight w:val="213"/>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40" w:type="dxa"/>
            <w:vAlign w:val="bottom"/>
            <w:gridSpan w:val="2"/>
          </w:tcPr>
          <w:p>
            <w:pPr>
              <w:ind w:left="120"/>
              <w:spacing w:after="0"/>
              <w:rPr>
                <w:sz w:val="20"/>
                <w:szCs w:val="20"/>
                <w:color w:val="auto"/>
              </w:rPr>
            </w:pPr>
            <w:r>
              <w:rPr>
                <w:rFonts w:ascii="Arial" w:cs="Arial" w:eastAsia="Arial" w:hAnsi="Arial"/>
                <w:sz w:val="16"/>
                <w:szCs w:val="16"/>
                <w:color w:val="auto"/>
              </w:rPr>
              <w:t>Power Generation</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3,097</w:t>
            </w:r>
          </w:p>
        </w:tc>
        <w:tc>
          <w:tcPr>
            <w:tcW w:w="4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792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48,088</w:t>
            </w:r>
          </w:p>
        </w:tc>
        <w:tc>
          <w:tcPr>
            <w:tcW w:w="1080" w:type="dxa"/>
            <w:vAlign w:val="bottom"/>
            <w:gridSpan w:val="4"/>
          </w:tcPr>
          <w:p>
            <w:pPr>
              <w:jc w:val="right"/>
              <w:ind w:right="80"/>
              <w:spacing w:after="0"/>
              <w:rPr>
                <w:sz w:val="20"/>
                <w:szCs w:val="20"/>
                <w:color w:val="auto"/>
              </w:rPr>
            </w:pPr>
            <w:r>
              <w:rPr>
                <w:rFonts w:ascii="Arial" w:cs="Arial" w:eastAsia="Arial" w:hAnsi="Arial"/>
                <w:sz w:val="16"/>
                <w:szCs w:val="16"/>
                <w:color w:val="auto"/>
              </w:rPr>
              <w:t>111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52,088</w:t>
            </w:r>
          </w:p>
        </w:tc>
        <w:tc>
          <w:tcPr>
            <w:tcW w:w="20" w:type="dxa"/>
            <w:vAlign w:val="bottom"/>
          </w:tcPr>
          <w:p>
            <w:pPr>
              <w:spacing w:after="0"/>
              <w:rPr>
                <w:sz w:val="18"/>
                <w:szCs w:val="18"/>
                <w:color w:val="auto"/>
              </w:rPr>
            </w:pPr>
          </w:p>
        </w:tc>
      </w:tr>
      <w:tr>
        <w:trPr>
          <w:trHeight w:val="219"/>
        </w:trPr>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940" w:type="dxa"/>
            <w:vAlign w:val="bottom"/>
            <w:gridSpan w:val="2"/>
            <w:shd w:val="clear" w:color="auto" w:fill="CEFFE7"/>
          </w:tcPr>
          <w:p>
            <w:pPr>
              <w:ind w:left="120"/>
              <w:spacing w:after="0"/>
              <w:rPr>
                <w:sz w:val="20"/>
                <w:szCs w:val="20"/>
                <w:color w:val="auto"/>
              </w:rPr>
            </w:pPr>
            <w:r>
              <w:rPr>
                <w:rFonts w:ascii="Arial" w:cs="Arial" w:eastAsia="Arial" w:hAnsi="Arial"/>
                <w:sz w:val="16"/>
                <w:szCs w:val="16"/>
                <w:color w:val="auto"/>
              </w:rPr>
              <w:t>Mining</w:t>
            </w:r>
          </w:p>
        </w:tc>
        <w:tc>
          <w:tcPr>
            <w:tcW w:w="112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100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13,494</w:t>
            </w:r>
          </w:p>
        </w:tc>
        <w:tc>
          <w:tcPr>
            <w:tcW w:w="420" w:type="dxa"/>
            <w:vAlign w:val="bottom"/>
            <w:shd w:val="clear" w:color="auto" w:fill="CEFFE7"/>
          </w:tcPr>
          <w:p>
            <w:pPr>
              <w:spacing w:after="0"/>
              <w:rPr>
                <w:sz w:val="19"/>
                <w:szCs w:val="19"/>
                <w:color w:val="auto"/>
              </w:rPr>
            </w:pPr>
          </w:p>
        </w:tc>
        <w:tc>
          <w:tcPr>
            <w:tcW w:w="70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700</w:t>
            </w:r>
          </w:p>
        </w:tc>
        <w:tc>
          <w:tcPr>
            <w:tcW w:w="40" w:type="dxa"/>
            <w:vAlign w:val="bottom"/>
            <w:shd w:val="clear" w:color="auto" w:fill="CEFFE7"/>
          </w:tcPr>
          <w:p>
            <w:pPr>
              <w:spacing w:after="0"/>
              <w:rPr>
                <w:sz w:val="19"/>
                <w:szCs w:val="19"/>
                <w:color w:val="auto"/>
              </w:rPr>
            </w:pPr>
          </w:p>
        </w:tc>
        <w:tc>
          <w:tcPr>
            <w:tcW w:w="4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520" w:type="dxa"/>
            <w:vAlign w:val="bottom"/>
            <w:shd w:val="clear" w:color="auto" w:fill="CEFFE7"/>
          </w:tcPr>
          <w:p>
            <w:pPr>
              <w:spacing w:after="0"/>
              <w:rPr>
                <w:sz w:val="19"/>
                <w:szCs w:val="19"/>
                <w:color w:val="auto"/>
              </w:rPr>
            </w:pPr>
          </w:p>
        </w:tc>
        <w:tc>
          <w:tcPr>
            <w:tcW w:w="70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15,755</w:t>
            </w:r>
          </w:p>
        </w:tc>
        <w:tc>
          <w:tcPr>
            <w:tcW w:w="1080" w:type="dxa"/>
            <w:vAlign w:val="bottom"/>
            <w:gridSpan w:val="4"/>
            <w:shd w:val="clear" w:color="auto" w:fill="CEFFE7"/>
          </w:tcPr>
          <w:p>
            <w:pPr>
              <w:jc w:val="right"/>
              <w:ind w:right="80"/>
              <w:spacing w:after="0"/>
              <w:rPr>
                <w:sz w:val="20"/>
                <w:szCs w:val="20"/>
                <w:color w:val="auto"/>
              </w:rPr>
            </w:pPr>
            <w:r>
              <w:rPr>
                <w:rFonts w:ascii="Arial" w:cs="Arial" w:eastAsia="Arial" w:hAnsi="Arial"/>
                <w:sz w:val="16"/>
                <w:szCs w:val="16"/>
                <w:color w:val="auto"/>
              </w:rPr>
              <w:t>672</w:t>
            </w:r>
          </w:p>
        </w:tc>
        <w:tc>
          <w:tcPr>
            <w:tcW w:w="14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980" w:type="dxa"/>
            <w:vAlign w:val="bottom"/>
            <w:gridSpan w:val="2"/>
            <w:shd w:val="clear" w:color="auto" w:fill="CEFFE7"/>
          </w:tcPr>
          <w:p>
            <w:pPr>
              <w:jc w:val="right"/>
              <w:ind w:right="80"/>
              <w:spacing w:after="0"/>
              <w:rPr>
                <w:sz w:val="20"/>
                <w:szCs w:val="20"/>
                <w:color w:val="auto"/>
              </w:rPr>
            </w:pPr>
            <w:r>
              <w:rPr>
                <w:rFonts w:ascii="Arial" w:cs="Arial" w:eastAsia="Arial" w:hAnsi="Arial"/>
                <w:sz w:val="16"/>
                <w:szCs w:val="16"/>
                <w:color w:val="auto"/>
              </w:rPr>
              <w:t>30,621</w:t>
            </w:r>
          </w:p>
        </w:tc>
        <w:tc>
          <w:tcPr>
            <w:tcW w:w="20" w:type="dxa"/>
            <w:vAlign w:val="bottom"/>
          </w:tcPr>
          <w:p>
            <w:pPr>
              <w:spacing w:after="0"/>
              <w:rPr>
                <w:sz w:val="19"/>
                <w:szCs w:val="19"/>
                <w:color w:val="auto"/>
              </w:rPr>
            </w:pPr>
          </w:p>
        </w:tc>
      </w:tr>
      <w:tr>
        <w:trPr>
          <w:trHeight w:val="213"/>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40" w:type="dxa"/>
            <w:vAlign w:val="bottom"/>
            <w:tcBorders>
              <w:bottom w:val="single" w:sz="8" w:color="CEFFE7"/>
            </w:tcBorders>
            <w:gridSpan w:val="2"/>
          </w:tcPr>
          <w:p>
            <w:pPr>
              <w:spacing w:after="0"/>
              <w:rPr>
                <w:sz w:val="20"/>
                <w:szCs w:val="20"/>
                <w:color w:val="auto"/>
              </w:rPr>
            </w:pPr>
            <w:r>
              <w:rPr>
                <w:rFonts w:ascii="Arial" w:cs="Arial" w:eastAsia="Arial" w:hAnsi="Arial"/>
                <w:sz w:val="16"/>
                <w:szCs w:val="16"/>
                <w:color w:val="auto"/>
              </w:rPr>
              <w:t>Inter-company eliminations</w:t>
            </w:r>
          </w:p>
        </w:tc>
        <w:tc>
          <w:tcPr>
            <w:tcW w:w="1120" w:type="dxa"/>
            <w:vAlign w:val="bottom"/>
            <w:tcBorders>
              <w:bottom w:val="single" w:sz="8" w:color="CEFFE7"/>
            </w:tcBorders>
          </w:tcPr>
          <w:p>
            <w:pPr>
              <w:spacing w:after="0"/>
              <w:rPr>
                <w:sz w:val="18"/>
                <w:szCs w:val="18"/>
                <w:color w:val="auto"/>
              </w:rPr>
            </w:pPr>
          </w:p>
        </w:tc>
        <w:tc>
          <w:tcPr>
            <w:tcW w:w="120" w:type="dxa"/>
            <w:vAlign w:val="bottom"/>
            <w:tcBorders>
              <w:bottom w:val="single" w:sz="8" w:color="CEFFE7"/>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EFFE7"/>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7"/>
              </w:rPr>
              <w:t>(77,184)</w:t>
            </w:r>
          </w:p>
        </w:tc>
        <w:tc>
          <w:tcPr>
            <w:tcW w:w="10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color w:val="auto"/>
              </w:rPr>
              <w:t>(783)</w:t>
            </w:r>
          </w:p>
        </w:tc>
        <w:tc>
          <w:tcPr>
            <w:tcW w:w="140" w:type="dxa"/>
            <w:vAlign w:val="bottom"/>
            <w:tcBorders>
              <w:bottom w:val="single" w:sz="8" w:color="CEFFE7"/>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(77,967)</w:t>
            </w:r>
          </w:p>
        </w:tc>
        <w:tc>
          <w:tcPr>
            <w:tcW w:w="20" w:type="dxa"/>
            <w:vAlign w:val="bottom"/>
          </w:tcPr>
          <w:p>
            <w:pPr>
              <w:spacing w:after="0"/>
              <w:rPr>
                <w:sz w:val="18"/>
                <w:szCs w:val="18"/>
                <w:color w:val="auto"/>
              </w:rPr>
            </w:pPr>
          </w:p>
        </w:tc>
      </w:tr>
      <w:tr>
        <w:trPr>
          <w:trHeight w:val="233"/>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40" w:type="dxa"/>
            <w:vAlign w:val="bottom"/>
            <w:tcBorders>
              <w:bottom w:val="single" w:sz="8" w:color="CEFFE7"/>
            </w:tcBorders>
            <w:gridSpan w:val="2"/>
            <w:shd w:val="clear" w:color="auto" w:fill="CEFFE7"/>
          </w:tcPr>
          <w:p>
            <w:pPr>
              <w:spacing w:after="0"/>
              <w:rPr>
                <w:sz w:val="20"/>
                <w:szCs w:val="20"/>
                <w:color w:val="auto"/>
              </w:rPr>
            </w:pPr>
            <w:r>
              <w:rPr>
                <w:rFonts w:ascii="Arial" w:cs="Arial" w:eastAsia="Arial" w:hAnsi="Arial"/>
                <w:sz w:val="16"/>
                <w:szCs w:val="16"/>
                <w:color w:val="auto"/>
              </w:rPr>
              <w:t>Total</w:t>
            </w:r>
          </w:p>
        </w:tc>
        <w:tc>
          <w:tcPr>
            <w:tcW w:w="1240" w:type="dxa"/>
            <w:vAlign w:val="bottom"/>
            <w:tcBorders>
              <w:bottom w:val="single" w:sz="8" w:color="CEFFE7"/>
            </w:tcBorders>
            <w:gridSpan w:val="2"/>
            <w:shd w:val="clear" w:color="auto" w:fill="CEFFE7"/>
          </w:tcPr>
          <w:p>
            <w:pPr>
              <w:spacing w:after="0"/>
              <w:rPr>
                <w:sz w:val="20"/>
                <w:szCs w:val="20"/>
                <w:color w:val="auto"/>
              </w:rPr>
            </w:pPr>
          </w:p>
        </w:tc>
        <w:tc>
          <w:tcPr>
            <w:tcW w:w="10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854,402</w:t>
            </w:r>
          </w:p>
        </w:tc>
        <w:tc>
          <w:tcPr>
            <w:tcW w:w="420" w:type="dxa"/>
            <w:vAlign w:val="bottom"/>
            <w:tcBorders>
              <w:bottom w:val="single" w:sz="8" w:color="auto"/>
            </w:tcBorders>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9,562</w:t>
            </w:r>
          </w:p>
        </w:tc>
        <w:tc>
          <w:tcPr>
            <w:tcW w:w="40" w:type="dxa"/>
            <w:vAlign w:val="bottom"/>
            <w:tcBorders>
              <w:bottom w:val="single" w:sz="8" w:color="auto"/>
            </w:tcBorders>
            <w:shd w:val="clear" w:color="auto" w:fill="CEFFE7"/>
          </w:tcPr>
          <w:p>
            <w:pPr>
              <w:spacing w:after="0"/>
              <w:rPr>
                <w:sz w:val="20"/>
                <w:szCs w:val="20"/>
                <w:color w:val="auto"/>
              </w:rPr>
            </w:pPr>
          </w:p>
        </w:tc>
        <w:tc>
          <w:tcPr>
            <w:tcW w:w="40" w:type="dxa"/>
            <w:vAlign w:val="bottom"/>
            <w:tcBorders>
              <w:bottom w:val="single" w:sz="8" w:color="auto"/>
            </w:tcBorders>
            <w:shd w:val="clear" w:color="auto" w:fill="CEFFE7"/>
          </w:tcPr>
          <w:p>
            <w:pPr>
              <w:spacing w:after="0"/>
              <w:rPr>
                <w:sz w:val="20"/>
                <w:szCs w:val="20"/>
                <w:color w:val="auto"/>
              </w:rPr>
            </w:pPr>
          </w:p>
        </w:tc>
        <w:tc>
          <w:tcPr>
            <w:tcW w:w="120" w:type="dxa"/>
            <w:vAlign w:val="bottom"/>
            <w:tcBorders>
              <w:bottom w:val="single" w:sz="8" w:color="CEFFE7"/>
            </w:tcBorders>
            <w:shd w:val="clear" w:color="auto" w:fill="CEFFE7"/>
          </w:tcPr>
          <w:p>
            <w:pPr>
              <w:spacing w:after="0"/>
              <w:rPr>
                <w:sz w:val="20"/>
                <w:szCs w:val="20"/>
                <w:color w:val="auto"/>
              </w:rPr>
            </w:pPr>
          </w:p>
        </w:tc>
        <w:tc>
          <w:tcPr>
            <w:tcW w:w="520" w:type="dxa"/>
            <w:vAlign w:val="bottom"/>
            <w:tcBorders>
              <w:bottom w:val="single" w:sz="8" w:color="auto"/>
            </w:tcBorders>
            <w:shd w:val="clear" w:color="auto" w:fill="CEFFE7"/>
          </w:tcPr>
          <w:p>
            <w:pPr>
              <w:jc w:val="right"/>
              <w:ind w:right="31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3"/>
            <w:shd w:val="clear" w:color="auto" w:fill="CEFFE7"/>
          </w:tcPr>
          <w:p>
            <w:pPr>
              <w:jc w:val="right"/>
              <w:ind w:right="800"/>
              <w:spacing w:after="0"/>
              <w:rPr>
                <w:sz w:val="20"/>
                <w:szCs w:val="20"/>
                <w:color w:val="auto"/>
              </w:rPr>
            </w:pPr>
            <w:r>
              <w:rPr>
                <w:rFonts w:ascii="Arial" w:cs="Arial" w:eastAsia="Arial" w:hAnsi="Arial"/>
                <w:sz w:val="16"/>
                <w:szCs w:val="16"/>
                <w:color w:val="auto"/>
              </w:rPr>
              <w:t>— $</w:t>
            </w:r>
          </w:p>
        </w:tc>
        <w:tc>
          <w:tcPr>
            <w:tcW w:w="240" w:type="dxa"/>
            <w:vAlign w:val="bottom"/>
            <w:tcBorders>
              <w:bottom w:val="single" w:sz="8" w:color="auto"/>
            </w:tcBorders>
            <w:gridSpan w:val="2"/>
            <w:shd w:val="clear" w:color="auto" w:fill="CEFFE7"/>
          </w:tcPr>
          <w:p>
            <w:pPr>
              <w:jc w:val="right"/>
              <w:ind w:right="80"/>
              <w:spacing w:after="0"/>
              <w:rPr>
                <w:sz w:val="20"/>
                <w:szCs w:val="20"/>
                <w:color w:val="auto"/>
              </w:rPr>
            </w:pPr>
            <w:r>
              <w:rPr>
                <w:rFonts w:ascii="Arial" w:cs="Arial" w:eastAsia="Arial" w:hAnsi="Arial"/>
                <w:sz w:val="16"/>
                <w:szCs w:val="16"/>
                <w:color w:val="auto"/>
                <w:w w:val="87"/>
              </w:rPr>
              <w:t>—</w:t>
            </w:r>
          </w:p>
        </w:tc>
        <w:tc>
          <w:tcPr>
            <w:tcW w:w="140" w:type="dxa"/>
            <w:vAlign w:val="bottom"/>
            <w:tcBorders>
              <w:bottom w:val="single" w:sz="8" w:color="CEFFE7"/>
            </w:tcBorders>
            <w:shd w:val="clear" w:color="auto" w:fill="CEFFE7"/>
          </w:tcPr>
          <w:p>
            <w:pPr>
              <w:spacing w:after="0"/>
              <w:rPr>
                <w:sz w:val="20"/>
                <w:szCs w:val="20"/>
                <w:color w:val="auto"/>
              </w:rPr>
            </w:pP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gridSpan w:val="2"/>
            <w:shd w:val="clear" w:color="auto" w:fill="CEFFE7"/>
          </w:tcPr>
          <w:p>
            <w:pPr>
              <w:jc w:val="right"/>
              <w:ind w:right="80"/>
              <w:spacing w:after="0"/>
              <w:rPr>
                <w:sz w:val="20"/>
                <w:szCs w:val="20"/>
                <w:color w:val="auto"/>
              </w:rPr>
            </w:pPr>
            <w:r>
              <w:rPr>
                <w:rFonts w:ascii="Arial" w:cs="Arial" w:eastAsia="Arial" w:hAnsi="Arial"/>
                <w:sz w:val="16"/>
                <w:szCs w:val="16"/>
                <w:color w:val="auto"/>
              </w:rPr>
              <w:t>863,964</w:t>
            </w:r>
          </w:p>
        </w:tc>
        <w:tc>
          <w:tcPr>
            <w:tcW w:w="20" w:type="dxa"/>
            <w:vAlign w:val="bottom"/>
          </w:tcPr>
          <w:p>
            <w:pPr>
              <w:spacing w:after="0"/>
              <w:rPr>
                <w:sz w:val="20"/>
                <w:szCs w:val="20"/>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97"/>
        </w:trPr>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0" w:type="dxa"/>
            <w:vAlign w:val="bottom"/>
            <w:gridSpan w:val="8"/>
          </w:tcPr>
          <w:p>
            <w:pPr>
              <w:jc w:val="right"/>
              <w:ind w:right="399"/>
              <w:spacing w:after="0"/>
              <w:rPr>
                <w:sz w:val="20"/>
                <w:szCs w:val="20"/>
                <w:color w:val="auto"/>
              </w:rPr>
            </w:pPr>
            <w:r>
              <w:rPr>
                <w:rFonts w:ascii="Arial" w:cs="Arial" w:eastAsia="Arial" w:hAnsi="Arial"/>
                <w:sz w:val="16"/>
                <w:szCs w:val="16"/>
                <w:color w:val="auto"/>
              </w:rPr>
              <w:t>Three Months Ended June 30,</w:t>
            </w:r>
          </w:p>
        </w:tc>
        <w:tc>
          <w:tcPr>
            <w:tcW w:w="3080" w:type="dxa"/>
            <w:vAlign w:val="bottom"/>
            <w:gridSpan w:val="10"/>
          </w:tcPr>
          <w:p>
            <w:pPr>
              <w:jc w:val="center"/>
              <w:ind w:right="660"/>
              <w:spacing w:after="0"/>
              <w:rPr>
                <w:sz w:val="20"/>
                <w:szCs w:val="20"/>
                <w:color w:val="auto"/>
              </w:rPr>
            </w:pPr>
            <w:r>
              <w:rPr>
                <w:rFonts w:ascii="Arial" w:cs="Arial" w:eastAsia="Arial" w:hAnsi="Arial"/>
                <w:sz w:val="16"/>
                <w:szCs w:val="16"/>
                <w:color w:val="auto"/>
              </w:rPr>
              <w:t>Six Months Ended June 30,</w:t>
            </w:r>
          </w:p>
        </w:tc>
      </w:tr>
      <w:tr>
        <w:trPr>
          <w:trHeight w:val="219"/>
        </w:trPr>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color w:val="auto"/>
              </w:rPr>
              <w:t>2021</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2020</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8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2020</w:t>
            </w:r>
          </w:p>
        </w:tc>
        <w:tc>
          <w:tcPr>
            <w:tcW w:w="6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100" w:type="dxa"/>
            <w:vAlign w:val="bottom"/>
          </w:tcPr>
          <w:p>
            <w:pPr>
              <w:spacing w:after="0"/>
              <w:rPr>
                <w:sz w:val="18"/>
                <w:szCs w:val="18"/>
                <w:color w:val="auto"/>
              </w:rPr>
            </w:pPr>
          </w:p>
        </w:tc>
        <w:tc>
          <w:tcPr>
            <w:tcW w:w="3980" w:type="dxa"/>
            <w:vAlign w:val="bottom"/>
            <w:gridSpan w:val="3"/>
            <w:shd w:val="clear" w:color="auto" w:fill="CEFFE7"/>
          </w:tcPr>
          <w:p>
            <w:pPr>
              <w:spacing w:after="0"/>
              <w:rPr>
                <w:sz w:val="20"/>
                <w:szCs w:val="20"/>
                <w:color w:val="auto"/>
              </w:rPr>
            </w:pPr>
            <w:r>
              <w:rPr>
                <w:rFonts w:ascii="Arial" w:cs="Arial" w:eastAsia="Arial" w:hAnsi="Arial"/>
                <w:sz w:val="16"/>
                <w:szCs w:val="16"/>
                <w:color w:val="auto"/>
              </w:rPr>
              <w:t>justed operating income:</w:t>
            </w:r>
          </w:p>
        </w:tc>
        <w:tc>
          <w:tcPr>
            <w:tcW w:w="112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40" w:type="dxa"/>
            <w:vAlign w:val="bottom"/>
            <w:shd w:val="clear" w:color="auto" w:fill="CEFFE7"/>
          </w:tcPr>
          <w:p>
            <w:pPr>
              <w:spacing w:after="0"/>
              <w:rPr>
                <w:sz w:val="18"/>
                <w:szCs w:val="18"/>
                <w:color w:val="auto"/>
              </w:rPr>
            </w:pPr>
          </w:p>
        </w:tc>
        <w:tc>
          <w:tcPr>
            <w:tcW w:w="960" w:type="dxa"/>
            <w:vAlign w:val="bottom"/>
            <w:shd w:val="clear" w:color="auto" w:fill="CEFFE7"/>
          </w:tcPr>
          <w:p>
            <w:pPr>
              <w:spacing w:after="0"/>
              <w:rPr>
                <w:sz w:val="18"/>
                <w:szCs w:val="18"/>
                <w:color w:val="auto"/>
              </w:rPr>
            </w:pPr>
          </w:p>
        </w:tc>
        <w:tc>
          <w:tcPr>
            <w:tcW w:w="420" w:type="dxa"/>
            <w:vAlign w:val="bottom"/>
            <w:shd w:val="clear" w:color="auto" w:fill="CEFFE7"/>
          </w:tcPr>
          <w:p>
            <w:pPr>
              <w:spacing w:after="0"/>
              <w:rPr>
                <w:sz w:val="18"/>
                <w:szCs w:val="18"/>
                <w:color w:val="auto"/>
              </w:rPr>
            </w:pPr>
          </w:p>
        </w:tc>
        <w:tc>
          <w:tcPr>
            <w:tcW w:w="58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40" w:type="dxa"/>
            <w:vAlign w:val="bottom"/>
            <w:shd w:val="clear" w:color="auto" w:fill="CEFFE7"/>
          </w:tcPr>
          <w:p>
            <w:pPr>
              <w:spacing w:after="0"/>
              <w:rPr>
                <w:sz w:val="18"/>
                <w:szCs w:val="18"/>
                <w:color w:val="auto"/>
              </w:rPr>
            </w:pPr>
          </w:p>
        </w:tc>
        <w:tc>
          <w:tcPr>
            <w:tcW w:w="4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520" w:type="dxa"/>
            <w:vAlign w:val="bottom"/>
            <w:shd w:val="clear" w:color="auto" w:fill="CEFFE7"/>
          </w:tcPr>
          <w:p>
            <w:pPr>
              <w:spacing w:after="0"/>
              <w:rPr>
                <w:sz w:val="18"/>
                <w:szCs w:val="18"/>
                <w:color w:val="auto"/>
              </w:rPr>
            </w:pPr>
          </w:p>
        </w:tc>
        <w:tc>
          <w:tcPr>
            <w:tcW w:w="700" w:type="dxa"/>
            <w:vAlign w:val="bottom"/>
            <w:shd w:val="clear" w:color="auto" w:fill="CEFFE7"/>
          </w:tcPr>
          <w:p>
            <w:pPr>
              <w:spacing w:after="0"/>
              <w:rPr>
                <w:sz w:val="18"/>
                <w:szCs w:val="18"/>
                <w:color w:val="auto"/>
              </w:rPr>
            </w:pPr>
          </w:p>
        </w:tc>
        <w:tc>
          <w:tcPr>
            <w:tcW w:w="800" w:type="dxa"/>
            <w:vAlign w:val="bottom"/>
            <w:shd w:val="clear" w:color="auto" w:fill="CEFFE7"/>
          </w:tcPr>
          <w:p>
            <w:pPr>
              <w:spacing w:after="0"/>
              <w:rPr>
                <w:sz w:val="18"/>
                <w:szCs w:val="18"/>
                <w:color w:val="auto"/>
              </w:rPr>
            </w:pPr>
          </w:p>
        </w:tc>
        <w:tc>
          <w:tcPr>
            <w:tcW w:w="4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660" w:type="dxa"/>
            <w:vAlign w:val="bottom"/>
            <w:shd w:val="clear" w:color="auto" w:fill="CEFFE7"/>
          </w:tcPr>
          <w:p>
            <w:pPr>
              <w:spacing w:after="0"/>
              <w:rPr>
                <w:sz w:val="18"/>
                <w:szCs w:val="18"/>
                <w:color w:val="auto"/>
              </w:rPr>
            </w:pPr>
          </w:p>
        </w:tc>
        <w:tc>
          <w:tcPr>
            <w:tcW w:w="320" w:type="dxa"/>
            <w:vAlign w:val="bottom"/>
            <w:tcBorders>
              <w:left w:val="single" w:sz="8" w:color="CEFFE7"/>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80" w:type="dxa"/>
            <w:vAlign w:val="bottom"/>
            <w:gridSpan w:val="4"/>
          </w:tcPr>
          <w:p>
            <w:pPr>
              <w:ind w:left="40"/>
              <w:spacing w:after="0"/>
              <w:rPr>
                <w:sz w:val="20"/>
                <w:szCs w:val="20"/>
                <w:color w:val="auto"/>
              </w:rPr>
            </w:pPr>
            <w:r>
              <w:rPr>
                <w:rFonts w:ascii="Arial" w:cs="Arial" w:eastAsia="Arial" w:hAnsi="Arial"/>
                <w:sz w:val="16"/>
                <w:szCs w:val="16"/>
                <w:color w:val="auto"/>
              </w:rPr>
              <w:t>lectric Utilities</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35,568$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3"/>
          </w:tcPr>
          <w:p>
            <w:pPr>
              <w:jc w:val="right"/>
              <w:ind w:right="19"/>
              <w:spacing w:after="0"/>
              <w:rPr>
                <w:sz w:val="20"/>
                <w:szCs w:val="20"/>
                <w:color w:val="auto"/>
              </w:rPr>
            </w:pPr>
            <w:r>
              <w:rPr>
                <w:rFonts w:ascii="Arial" w:cs="Arial" w:eastAsia="Arial" w:hAnsi="Arial"/>
                <w:sz w:val="16"/>
                <w:szCs w:val="16"/>
                <w:color w:val="auto"/>
                <w:w w:val="96"/>
              </w:rPr>
              <w:t>33,993$</w:t>
            </w:r>
          </w:p>
        </w:tc>
        <w:tc>
          <w:tcPr>
            <w:tcW w:w="70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57,381$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69,643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80" w:type="dxa"/>
            <w:vAlign w:val="bottom"/>
            <w:gridSpan w:val="4"/>
          </w:tcPr>
          <w:p>
            <w:pPr>
              <w:ind w:left="40"/>
              <w:spacing w:after="0"/>
              <w:rPr>
                <w:sz w:val="20"/>
                <w:szCs w:val="20"/>
                <w:color w:val="auto"/>
              </w:rPr>
            </w:pPr>
            <w:r>
              <w:rPr>
                <w:rFonts w:ascii="Arial" w:cs="Arial" w:eastAsia="Arial" w:hAnsi="Arial"/>
                <w:sz w:val="16"/>
                <w:szCs w:val="16"/>
                <w:color w:val="auto"/>
              </w:rPr>
              <w:t>as Utilities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19,985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3"/>
          </w:tcPr>
          <w:p>
            <w:pPr>
              <w:jc w:val="right"/>
              <w:ind w:right="19"/>
              <w:spacing w:after="0"/>
              <w:rPr>
                <w:sz w:val="20"/>
                <w:szCs w:val="20"/>
                <w:color w:val="auto"/>
              </w:rPr>
            </w:pPr>
            <w:r>
              <w:rPr>
                <w:rFonts w:ascii="Arial" w:cs="Arial" w:eastAsia="Arial" w:hAnsi="Arial"/>
                <w:sz w:val="16"/>
                <w:szCs w:val="16"/>
                <w:color w:val="auto"/>
              </w:rPr>
              <w:t>18,209</w:t>
            </w:r>
          </w:p>
        </w:tc>
        <w:tc>
          <w:tcPr>
            <w:tcW w:w="70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122,079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121,106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4080" w:type="dxa"/>
            <w:vAlign w:val="bottom"/>
            <w:gridSpan w:val="4"/>
          </w:tcPr>
          <w:p>
            <w:pPr>
              <w:ind w:left="40"/>
              <w:spacing w:after="0"/>
              <w:rPr>
                <w:sz w:val="20"/>
                <w:szCs w:val="20"/>
                <w:color w:val="auto"/>
              </w:rPr>
            </w:pPr>
            <w:r>
              <w:rPr>
                <w:rFonts w:ascii="Arial" w:cs="Arial" w:eastAsia="Arial" w:hAnsi="Arial"/>
                <w:sz w:val="16"/>
                <w:szCs w:val="16"/>
                <w:color w:val="auto"/>
              </w:rPr>
              <w:t>ower Generation</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8,250</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3"/>
          </w:tcPr>
          <w:p>
            <w:pPr>
              <w:jc w:val="right"/>
              <w:ind w:right="19"/>
              <w:spacing w:after="0"/>
              <w:rPr>
                <w:sz w:val="20"/>
                <w:szCs w:val="20"/>
                <w:color w:val="auto"/>
              </w:rPr>
            </w:pPr>
            <w:r>
              <w:rPr>
                <w:rFonts w:ascii="Arial" w:cs="Arial" w:eastAsia="Arial" w:hAnsi="Arial"/>
                <w:sz w:val="16"/>
                <w:szCs w:val="16"/>
                <w:color w:val="auto"/>
              </w:rPr>
              <w:t>11,402</w:t>
            </w:r>
          </w:p>
        </w:tc>
        <w:tc>
          <w:tcPr>
            <w:tcW w:w="700" w:type="dxa"/>
            <w:vAlign w:val="bottom"/>
          </w:tcPr>
          <w:p>
            <w:pPr>
              <w:spacing w:after="0"/>
              <w:rPr>
                <w:sz w:val="19"/>
                <w:szCs w:val="19"/>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22,519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22,751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100" w:type="dxa"/>
            <w:vAlign w:val="bottom"/>
          </w:tcPr>
          <w:p>
            <w:pPr>
              <w:spacing w:after="0"/>
              <w:rPr>
                <w:sz w:val="19"/>
                <w:szCs w:val="19"/>
                <w:color w:val="auto"/>
              </w:rPr>
            </w:pPr>
          </w:p>
        </w:tc>
        <w:tc>
          <w:tcPr>
            <w:tcW w:w="3980" w:type="dxa"/>
            <w:vAlign w:val="bottom"/>
            <w:gridSpan w:val="3"/>
            <w:shd w:val="clear" w:color="auto" w:fill="CEFFE7"/>
          </w:tcPr>
          <w:p>
            <w:pPr>
              <w:spacing w:after="0"/>
              <w:rPr>
                <w:sz w:val="20"/>
                <w:szCs w:val="20"/>
                <w:color w:val="auto"/>
              </w:rPr>
            </w:pPr>
            <w:r>
              <w:rPr>
                <w:rFonts w:ascii="Arial" w:cs="Arial" w:eastAsia="Arial" w:hAnsi="Arial"/>
                <w:sz w:val="16"/>
                <w:szCs w:val="16"/>
                <w:color w:val="auto"/>
              </w:rPr>
              <w:t>ining</w:t>
            </w:r>
          </w:p>
        </w:tc>
        <w:tc>
          <w:tcPr>
            <w:tcW w:w="112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1420" w:type="dxa"/>
            <w:vAlign w:val="bottom"/>
            <w:gridSpan w:val="3"/>
            <w:shd w:val="clear" w:color="auto" w:fill="CEFFE7"/>
          </w:tcPr>
          <w:p>
            <w:pPr>
              <w:jc w:val="right"/>
              <w:spacing w:after="0"/>
              <w:rPr>
                <w:sz w:val="20"/>
                <w:szCs w:val="20"/>
                <w:color w:val="auto"/>
              </w:rPr>
            </w:pPr>
            <w:r>
              <w:rPr>
                <w:rFonts w:ascii="Arial" w:cs="Arial" w:eastAsia="Arial" w:hAnsi="Arial"/>
                <w:sz w:val="16"/>
                <w:szCs w:val="16"/>
                <w:color w:val="auto"/>
              </w:rPr>
              <w:t>3,644</w:t>
            </w:r>
          </w:p>
        </w:tc>
        <w:tc>
          <w:tcPr>
            <w:tcW w:w="58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40" w:type="dxa"/>
            <w:vAlign w:val="bottom"/>
            <w:shd w:val="clear" w:color="auto" w:fill="CEFFE7"/>
          </w:tcPr>
          <w:p>
            <w:pPr>
              <w:spacing w:after="0"/>
              <w:rPr>
                <w:sz w:val="19"/>
                <w:szCs w:val="19"/>
                <w:color w:val="auto"/>
              </w:rPr>
            </w:pPr>
          </w:p>
        </w:tc>
        <w:tc>
          <w:tcPr>
            <w:tcW w:w="680" w:type="dxa"/>
            <w:vAlign w:val="bottom"/>
            <w:gridSpan w:val="3"/>
            <w:shd w:val="clear" w:color="auto" w:fill="CEFFE7"/>
          </w:tcPr>
          <w:p>
            <w:pPr>
              <w:jc w:val="right"/>
              <w:ind w:right="19"/>
              <w:spacing w:after="0"/>
              <w:rPr>
                <w:sz w:val="20"/>
                <w:szCs w:val="20"/>
                <w:color w:val="auto"/>
              </w:rPr>
            </w:pPr>
            <w:r>
              <w:rPr>
                <w:rFonts w:ascii="Arial" w:cs="Arial" w:eastAsia="Arial" w:hAnsi="Arial"/>
                <w:sz w:val="16"/>
                <w:szCs w:val="16"/>
                <w:color w:val="auto"/>
              </w:rPr>
              <w:t>3,358</w:t>
            </w:r>
          </w:p>
        </w:tc>
        <w:tc>
          <w:tcPr>
            <w:tcW w:w="70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6,905</w:t>
            </w:r>
          </w:p>
        </w:tc>
        <w:tc>
          <w:tcPr>
            <w:tcW w:w="4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6,487</w:t>
            </w:r>
          </w:p>
        </w:tc>
        <w:tc>
          <w:tcPr>
            <w:tcW w:w="320" w:type="dxa"/>
            <w:vAlign w:val="bottom"/>
            <w:tcBorders>
              <w:left w:val="single" w:sz="8" w:color="CEFFE7"/>
            </w:tcBorders>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4080" w:type="dxa"/>
            <w:vAlign w:val="bottom"/>
            <w:gridSpan w:val="4"/>
          </w:tcPr>
          <w:p>
            <w:pPr>
              <w:ind w:left="40"/>
              <w:spacing w:after="0"/>
              <w:rPr>
                <w:sz w:val="20"/>
                <w:szCs w:val="20"/>
                <w:color w:val="auto"/>
              </w:rPr>
            </w:pPr>
            <w:r>
              <w:rPr>
                <w:rFonts w:ascii="Arial" w:cs="Arial" w:eastAsia="Arial" w:hAnsi="Arial"/>
                <w:sz w:val="16"/>
                <w:szCs w:val="16"/>
                <w:color w:val="auto"/>
              </w:rPr>
              <w:t>orporate and Other</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(181)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(29)</w:t>
            </w:r>
          </w:p>
        </w:tc>
        <w:tc>
          <w:tcPr>
            <w:tcW w:w="70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(3,303)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100" w:type="dxa"/>
            <w:vAlign w:val="bottom"/>
          </w:tcPr>
          <w:p>
            <w:pPr>
              <w:spacing w:after="0"/>
              <w:rPr>
                <w:sz w:val="18"/>
                <w:szCs w:val="18"/>
                <w:color w:val="auto"/>
              </w:rPr>
            </w:pPr>
          </w:p>
        </w:tc>
        <w:tc>
          <w:tcPr>
            <w:tcW w:w="3980" w:type="dxa"/>
            <w:vAlign w:val="bottom"/>
            <w:tcBorders>
              <w:top w:val="single" w:sz="8" w:color="CEFFE7"/>
            </w:tcBorders>
            <w:gridSpan w:val="3"/>
            <w:shd w:val="clear" w:color="auto" w:fill="CEFFE7"/>
          </w:tcPr>
          <w:p>
            <w:pPr>
              <w:spacing w:after="0"/>
              <w:rPr>
                <w:sz w:val="20"/>
                <w:szCs w:val="20"/>
                <w:color w:val="auto"/>
              </w:rPr>
            </w:pPr>
            <w:r>
              <w:rPr>
                <w:rFonts w:ascii="Arial" w:cs="Arial" w:eastAsia="Arial" w:hAnsi="Arial"/>
                <w:sz w:val="16"/>
                <w:szCs w:val="16"/>
                <w:color w:val="auto"/>
              </w:rPr>
              <w:t>erating income</w:t>
            </w:r>
          </w:p>
        </w:tc>
        <w:tc>
          <w:tcPr>
            <w:tcW w:w="1120" w:type="dxa"/>
            <w:vAlign w:val="bottom"/>
            <w:tcBorders>
              <w:top w:val="single" w:sz="8" w:color="CEFFE7"/>
            </w:tcBorders>
            <w:shd w:val="clear" w:color="auto" w:fill="CEFFE7"/>
          </w:tcPr>
          <w:p>
            <w:pPr>
              <w:spacing w:after="0"/>
              <w:rPr>
                <w:sz w:val="18"/>
                <w:szCs w:val="18"/>
                <w:color w:val="auto"/>
              </w:rPr>
            </w:pPr>
          </w:p>
        </w:tc>
        <w:tc>
          <w:tcPr>
            <w:tcW w:w="120" w:type="dxa"/>
            <w:vAlign w:val="bottom"/>
            <w:tcBorders>
              <w:top w:val="single" w:sz="8" w:color="CEFFE7"/>
            </w:tcBorders>
            <w:shd w:val="clear" w:color="auto" w:fill="CEFFE7"/>
          </w:tcPr>
          <w:p>
            <w:pPr>
              <w:spacing w:after="0"/>
              <w:rPr>
                <w:sz w:val="18"/>
                <w:szCs w:val="18"/>
                <w:color w:val="auto"/>
              </w:rPr>
            </w:pPr>
          </w:p>
        </w:tc>
        <w:tc>
          <w:tcPr>
            <w:tcW w:w="100" w:type="dxa"/>
            <w:vAlign w:val="bottom"/>
            <w:tcBorders>
              <w:top w:val="single" w:sz="8" w:color="CEFFE7"/>
            </w:tcBorders>
            <w:shd w:val="clear" w:color="auto" w:fill="CEFFE7"/>
          </w:tcPr>
          <w:p>
            <w:pPr>
              <w:spacing w:after="0"/>
              <w:rPr>
                <w:sz w:val="18"/>
                <w:szCs w:val="18"/>
                <w:color w:val="auto"/>
              </w:rPr>
            </w:pPr>
          </w:p>
        </w:tc>
        <w:tc>
          <w:tcPr>
            <w:tcW w:w="40" w:type="dxa"/>
            <w:vAlign w:val="bottom"/>
            <w:tcBorders>
              <w:top w:val="single" w:sz="8" w:color="CEFFE7"/>
            </w:tcBorders>
            <w:shd w:val="clear" w:color="auto" w:fill="CEFFE7"/>
          </w:tcPr>
          <w:p>
            <w:pPr>
              <w:spacing w:after="0"/>
              <w:rPr>
                <w:sz w:val="18"/>
                <w:szCs w:val="18"/>
                <w:color w:val="auto"/>
              </w:rPr>
            </w:pPr>
          </w:p>
        </w:tc>
        <w:tc>
          <w:tcPr>
            <w:tcW w:w="1380" w:type="dxa"/>
            <w:vAlign w:val="bottom"/>
            <w:tcBorders>
              <w:top w:val="single" w:sz="8" w:color="auto"/>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67,266</w:t>
            </w:r>
          </w:p>
        </w:tc>
        <w:tc>
          <w:tcPr>
            <w:tcW w:w="580" w:type="dxa"/>
            <w:vAlign w:val="bottom"/>
            <w:tcBorders>
              <w:top w:val="single" w:sz="8" w:color="auto"/>
              <w:bottom w:val="single" w:sz="8" w:color="auto"/>
            </w:tcBorders>
            <w:shd w:val="clear" w:color="auto" w:fill="CEFFE7"/>
          </w:tcPr>
          <w:p>
            <w:pPr>
              <w:spacing w:after="0"/>
              <w:rPr>
                <w:sz w:val="18"/>
                <w:szCs w:val="18"/>
                <w:color w:val="auto"/>
              </w:rPr>
            </w:pPr>
          </w:p>
        </w:tc>
        <w:tc>
          <w:tcPr>
            <w:tcW w:w="120" w:type="dxa"/>
            <w:vAlign w:val="bottom"/>
            <w:tcBorders>
              <w:top w:val="single" w:sz="8" w:color="auto"/>
              <w:bottom w:val="single" w:sz="8" w:color="auto"/>
            </w:tcBorders>
            <w:shd w:val="clear" w:color="auto" w:fill="CEFFE7"/>
          </w:tcPr>
          <w:p>
            <w:pPr>
              <w:spacing w:after="0"/>
              <w:rPr>
                <w:sz w:val="18"/>
                <w:szCs w:val="18"/>
                <w:color w:val="auto"/>
              </w:rPr>
            </w:pPr>
          </w:p>
        </w:tc>
        <w:tc>
          <w:tcPr>
            <w:tcW w:w="40" w:type="dxa"/>
            <w:vAlign w:val="bottom"/>
            <w:tcBorders>
              <w:top w:val="single" w:sz="8" w:color="auto"/>
              <w:bottom w:val="single" w:sz="8" w:color="auto"/>
            </w:tcBorders>
            <w:shd w:val="clear" w:color="auto" w:fill="CEFFE7"/>
          </w:tcPr>
          <w:p>
            <w:pPr>
              <w:spacing w:after="0"/>
              <w:rPr>
                <w:sz w:val="18"/>
                <w:szCs w:val="18"/>
                <w:color w:val="auto"/>
              </w:rPr>
            </w:pPr>
          </w:p>
        </w:tc>
        <w:tc>
          <w:tcPr>
            <w:tcW w:w="680" w:type="dxa"/>
            <w:vAlign w:val="bottom"/>
            <w:tcBorders>
              <w:top w:val="single" w:sz="8" w:color="auto"/>
              <w:bottom w:val="single" w:sz="8" w:color="auto"/>
            </w:tcBorders>
            <w:gridSpan w:val="3"/>
            <w:shd w:val="clear" w:color="auto" w:fill="CEFFE7"/>
          </w:tcPr>
          <w:p>
            <w:pPr>
              <w:jc w:val="right"/>
              <w:ind w:right="19"/>
              <w:spacing w:after="0"/>
              <w:rPr>
                <w:sz w:val="20"/>
                <w:szCs w:val="20"/>
                <w:color w:val="auto"/>
              </w:rPr>
            </w:pPr>
            <w:r>
              <w:rPr>
                <w:rFonts w:ascii="Arial" w:cs="Arial" w:eastAsia="Arial" w:hAnsi="Arial"/>
                <w:sz w:val="16"/>
                <w:szCs w:val="16"/>
                <w:color w:val="auto"/>
              </w:rPr>
              <w:t>66,933</w:t>
            </w:r>
          </w:p>
        </w:tc>
        <w:tc>
          <w:tcPr>
            <w:tcW w:w="700" w:type="dxa"/>
            <w:vAlign w:val="bottom"/>
            <w:tcBorders>
              <w:top w:val="single" w:sz="8" w:color="auto"/>
              <w:bottom w:val="single" w:sz="8" w:color="auto"/>
            </w:tcBorders>
            <w:shd w:val="clear" w:color="auto" w:fill="CEFFE7"/>
          </w:tcPr>
          <w:p>
            <w:pPr>
              <w:spacing w:after="0"/>
              <w:rPr>
                <w:sz w:val="18"/>
                <w:szCs w:val="18"/>
                <w:color w:val="auto"/>
              </w:rPr>
            </w:pPr>
          </w:p>
        </w:tc>
        <w:tc>
          <w:tcPr>
            <w:tcW w:w="800" w:type="dxa"/>
            <w:vAlign w:val="bottom"/>
            <w:tcBorders>
              <w:top w:val="single" w:sz="8" w:color="auto"/>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205,581</w:t>
            </w:r>
          </w:p>
        </w:tc>
        <w:tc>
          <w:tcPr>
            <w:tcW w:w="40" w:type="dxa"/>
            <w:vAlign w:val="bottom"/>
            <w:tcBorders>
              <w:top w:val="single" w:sz="8" w:color="auto"/>
              <w:bottom w:val="single" w:sz="8" w:color="auto"/>
            </w:tcBorders>
            <w:shd w:val="clear" w:color="auto" w:fill="CEFFE7"/>
          </w:tcPr>
          <w:p>
            <w:pPr>
              <w:spacing w:after="0"/>
              <w:rPr>
                <w:sz w:val="18"/>
                <w:szCs w:val="18"/>
                <w:color w:val="auto"/>
              </w:rPr>
            </w:pPr>
          </w:p>
        </w:tc>
        <w:tc>
          <w:tcPr>
            <w:tcW w:w="100" w:type="dxa"/>
            <w:vAlign w:val="bottom"/>
            <w:tcBorders>
              <w:top w:val="single" w:sz="8" w:color="auto"/>
              <w:bottom w:val="single" w:sz="8" w:color="auto"/>
            </w:tcBorders>
            <w:shd w:val="clear" w:color="auto" w:fill="CEFFE7"/>
          </w:tcPr>
          <w:p>
            <w:pPr>
              <w:spacing w:after="0"/>
              <w:rPr>
                <w:sz w:val="18"/>
                <w:szCs w:val="18"/>
                <w:color w:val="auto"/>
              </w:rPr>
            </w:pPr>
          </w:p>
        </w:tc>
        <w:tc>
          <w:tcPr>
            <w:tcW w:w="140" w:type="dxa"/>
            <w:vAlign w:val="bottom"/>
            <w:tcBorders>
              <w:top w:val="single" w:sz="8" w:color="auto"/>
              <w:bottom w:val="single" w:sz="8" w:color="auto"/>
            </w:tcBorders>
            <w:shd w:val="clear" w:color="auto" w:fill="CEFFE7"/>
          </w:tcPr>
          <w:p>
            <w:pPr>
              <w:spacing w:after="0"/>
              <w:rPr>
                <w:sz w:val="18"/>
                <w:szCs w:val="18"/>
                <w:color w:val="auto"/>
              </w:rPr>
            </w:pPr>
          </w:p>
        </w:tc>
        <w:tc>
          <w:tcPr>
            <w:tcW w:w="140" w:type="dxa"/>
            <w:vAlign w:val="bottom"/>
            <w:tcBorders>
              <w:top w:val="single" w:sz="8" w:color="auto"/>
              <w:bottom w:val="single" w:sz="8" w:color="auto"/>
            </w:tcBorders>
            <w:shd w:val="clear" w:color="auto" w:fill="CEFFE7"/>
          </w:tcPr>
          <w:p>
            <w:pPr>
              <w:spacing w:after="0"/>
              <w:rPr>
                <w:sz w:val="18"/>
                <w:szCs w:val="18"/>
                <w:color w:val="auto"/>
              </w:rPr>
            </w:pPr>
          </w:p>
        </w:tc>
        <w:tc>
          <w:tcPr>
            <w:tcW w:w="160" w:type="dxa"/>
            <w:vAlign w:val="bottom"/>
            <w:tcBorders>
              <w:top w:val="single" w:sz="8" w:color="auto"/>
              <w:bottom w:val="single" w:sz="8" w:color="auto"/>
            </w:tcBorders>
            <w:shd w:val="clear" w:color="auto" w:fill="CEFFE7"/>
          </w:tcPr>
          <w:p>
            <w:pPr>
              <w:spacing w:after="0"/>
              <w:rPr>
                <w:sz w:val="18"/>
                <w:szCs w:val="18"/>
                <w:color w:val="auto"/>
              </w:rPr>
            </w:pPr>
          </w:p>
        </w:tc>
        <w:tc>
          <w:tcPr>
            <w:tcW w:w="66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220,118</w:t>
            </w:r>
          </w:p>
        </w:tc>
        <w:tc>
          <w:tcPr>
            <w:tcW w:w="320" w:type="dxa"/>
            <w:vAlign w:val="bottom"/>
            <w:tcBorders>
              <w:left w:val="single" w:sz="8" w:color="CEFFE7"/>
            </w:tcBorders>
          </w:tcPr>
          <w:p>
            <w:pPr>
              <w:spacing w:after="0"/>
              <w:rPr>
                <w:sz w:val="18"/>
                <w:szCs w:val="18"/>
                <w:color w:val="auto"/>
              </w:rPr>
            </w:pPr>
          </w:p>
        </w:tc>
        <w:tc>
          <w:tcPr>
            <w:tcW w:w="20" w:type="dxa"/>
            <w:vAlign w:val="bottom"/>
          </w:tcPr>
          <w:p>
            <w:pPr>
              <w:spacing w:after="0"/>
              <w:rPr>
                <w:sz w:val="18"/>
                <w:szCs w:val="18"/>
                <w:color w:val="auto"/>
              </w:rPr>
            </w:pPr>
          </w:p>
        </w:tc>
      </w:tr>
      <w:tr>
        <w:trPr>
          <w:trHeight w:val="460"/>
        </w:trPr>
        <w:tc>
          <w:tcPr>
            <w:tcW w:w="4080" w:type="dxa"/>
            <w:vAlign w:val="bottom"/>
            <w:gridSpan w:val="4"/>
          </w:tcPr>
          <w:p>
            <w:pPr>
              <w:spacing w:after="0"/>
              <w:rPr>
                <w:sz w:val="20"/>
                <w:szCs w:val="20"/>
                <w:color w:val="auto"/>
              </w:rPr>
            </w:pPr>
            <w:r>
              <w:rPr>
                <w:rFonts w:ascii="Arial" w:cs="Arial" w:eastAsia="Arial" w:hAnsi="Arial"/>
                <w:sz w:val="16"/>
                <w:szCs w:val="16"/>
                <w:color w:val="auto"/>
              </w:rPr>
              <w:t>erest expense, net</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(38,202)</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(35,545)</w:t>
            </w:r>
          </w:p>
        </w:tc>
        <w:tc>
          <w:tcPr>
            <w:tcW w:w="700" w:type="dxa"/>
            <w:vAlign w:val="bottom"/>
          </w:tcPr>
          <w:p>
            <w:pPr>
              <w:spacing w:after="0"/>
              <w:rPr>
                <w:sz w:val="24"/>
                <w:szCs w:val="24"/>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(75,802)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(70,998)</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pairment of investment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(6,859)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her income (expense), net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(191)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(1,863)</w:t>
            </w:r>
          </w:p>
        </w:tc>
        <w:tc>
          <w:tcPr>
            <w:tcW w:w="70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4080" w:type="dxa"/>
            <w:vAlign w:val="bottom"/>
            <w:gridSpan w:val="4"/>
          </w:tcPr>
          <w:p>
            <w:pPr>
              <w:ind w:left="20"/>
              <w:spacing w:after="0"/>
              <w:rPr>
                <w:sz w:val="20"/>
                <w:szCs w:val="20"/>
                <w:color w:val="auto"/>
              </w:rPr>
            </w:pPr>
            <w:r>
              <w:rPr>
                <w:rFonts w:ascii="Arial" w:cs="Arial" w:eastAsia="Arial" w:hAnsi="Arial"/>
                <w:sz w:val="16"/>
                <w:szCs w:val="16"/>
                <w:color w:val="auto"/>
              </w:rPr>
              <w:t>ome tax (expense)</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(586)</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(4,831)</w:t>
            </w:r>
          </w:p>
        </w:tc>
        <w:tc>
          <w:tcPr>
            <w:tcW w:w="700" w:type="dxa"/>
            <w:vAlign w:val="bottom"/>
          </w:tcPr>
          <w:p>
            <w:pPr>
              <w:spacing w:after="0"/>
              <w:rPr>
                <w:sz w:val="19"/>
                <w:szCs w:val="19"/>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(1,080)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(20,833)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100" w:type="dxa"/>
            <w:vAlign w:val="bottom"/>
          </w:tcPr>
          <w:p>
            <w:pPr>
              <w:spacing w:after="0"/>
              <w:rPr>
                <w:sz w:val="20"/>
                <w:szCs w:val="20"/>
                <w:color w:val="auto"/>
              </w:rPr>
            </w:pPr>
            <w:r>
              <w:rPr>
                <w:rFonts w:ascii="Arial" w:cs="Arial" w:eastAsia="Arial" w:hAnsi="Arial"/>
                <w:sz w:val="16"/>
                <w:szCs w:val="16"/>
                <w:color w:val="auto"/>
              </w:rPr>
              <w:t>t</w:t>
            </w:r>
          </w:p>
        </w:tc>
        <w:tc>
          <w:tcPr>
            <w:tcW w:w="3980" w:type="dxa"/>
            <w:vAlign w:val="bottom"/>
            <w:tcBorders>
              <w:top w:val="single" w:sz="8" w:color="CEFFE7"/>
            </w:tcBorders>
            <w:gridSpan w:val="3"/>
            <w:shd w:val="clear" w:color="auto" w:fill="CEFFE7"/>
          </w:tcPr>
          <w:p>
            <w:pPr>
              <w:spacing w:after="0"/>
              <w:rPr>
                <w:sz w:val="20"/>
                <w:szCs w:val="20"/>
                <w:color w:val="auto"/>
              </w:rPr>
            </w:pPr>
            <w:r>
              <w:rPr>
                <w:rFonts w:ascii="Arial" w:cs="Arial" w:eastAsia="Arial" w:hAnsi="Arial"/>
                <w:sz w:val="16"/>
                <w:szCs w:val="16"/>
                <w:color w:val="auto"/>
              </w:rPr>
              <w:t>income</w:t>
            </w:r>
          </w:p>
        </w:tc>
        <w:tc>
          <w:tcPr>
            <w:tcW w:w="1120" w:type="dxa"/>
            <w:vAlign w:val="bottom"/>
            <w:tcBorders>
              <w:top w:val="single" w:sz="8" w:color="CEFFE7"/>
            </w:tcBorders>
            <w:shd w:val="clear" w:color="auto" w:fill="CEFFE7"/>
          </w:tcPr>
          <w:p>
            <w:pPr>
              <w:spacing w:after="0"/>
              <w:rPr>
                <w:sz w:val="18"/>
                <w:szCs w:val="18"/>
                <w:color w:val="auto"/>
              </w:rPr>
            </w:pPr>
          </w:p>
        </w:tc>
        <w:tc>
          <w:tcPr>
            <w:tcW w:w="120" w:type="dxa"/>
            <w:vAlign w:val="bottom"/>
            <w:tcBorders>
              <w:top w:val="single" w:sz="8" w:color="CEFFE7"/>
            </w:tcBorders>
            <w:shd w:val="clear" w:color="auto" w:fill="CEFFE7"/>
          </w:tcPr>
          <w:p>
            <w:pPr>
              <w:spacing w:after="0"/>
              <w:rPr>
                <w:sz w:val="18"/>
                <w:szCs w:val="18"/>
                <w:color w:val="auto"/>
              </w:rPr>
            </w:pPr>
          </w:p>
        </w:tc>
        <w:tc>
          <w:tcPr>
            <w:tcW w:w="100" w:type="dxa"/>
            <w:vAlign w:val="bottom"/>
            <w:tcBorders>
              <w:top w:val="single" w:sz="8" w:color="CEFFE7"/>
            </w:tcBorders>
            <w:shd w:val="clear" w:color="auto" w:fill="CEFFE7"/>
          </w:tcPr>
          <w:p>
            <w:pPr>
              <w:spacing w:after="0"/>
              <w:rPr>
                <w:sz w:val="18"/>
                <w:szCs w:val="18"/>
                <w:color w:val="auto"/>
              </w:rPr>
            </w:pPr>
          </w:p>
        </w:tc>
        <w:tc>
          <w:tcPr>
            <w:tcW w:w="40" w:type="dxa"/>
            <w:vAlign w:val="bottom"/>
            <w:tcBorders>
              <w:top w:val="single" w:sz="8" w:color="CEFFE7"/>
            </w:tcBorders>
            <w:shd w:val="clear" w:color="auto" w:fill="CEFFE7"/>
          </w:tcPr>
          <w:p>
            <w:pPr>
              <w:spacing w:after="0"/>
              <w:rPr>
                <w:sz w:val="18"/>
                <w:szCs w:val="18"/>
                <w:color w:val="auto"/>
              </w:rPr>
            </w:pPr>
          </w:p>
        </w:tc>
        <w:tc>
          <w:tcPr>
            <w:tcW w:w="1380" w:type="dxa"/>
            <w:vAlign w:val="bottom"/>
            <w:tcBorders>
              <w:top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28,287</w:t>
            </w:r>
          </w:p>
        </w:tc>
        <w:tc>
          <w:tcPr>
            <w:tcW w:w="580" w:type="dxa"/>
            <w:vAlign w:val="bottom"/>
            <w:tcBorders>
              <w:top w:val="single" w:sz="8" w:color="auto"/>
            </w:tcBorders>
            <w:shd w:val="clear" w:color="auto" w:fill="CEFFE7"/>
          </w:tcPr>
          <w:p>
            <w:pPr>
              <w:spacing w:after="0"/>
              <w:rPr>
                <w:sz w:val="18"/>
                <w:szCs w:val="18"/>
                <w:color w:val="auto"/>
              </w:rPr>
            </w:pPr>
          </w:p>
        </w:tc>
        <w:tc>
          <w:tcPr>
            <w:tcW w:w="120" w:type="dxa"/>
            <w:vAlign w:val="bottom"/>
            <w:tcBorders>
              <w:top w:val="single" w:sz="8" w:color="auto"/>
            </w:tcBorders>
            <w:shd w:val="clear" w:color="auto" w:fill="CEFFE7"/>
          </w:tcPr>
          <w:p>
            <w:pPr>
              <w:spacing w:after="0"/>
              <w:rPr>
                <w:sz w:val="18"/>
                <w:szCs w:val="18"/>
                <w:color w:val="auto"/>
              </w:rPr>
            </w:pPr>
          </w:p>
        </w:tc>
        <w:tc>
          <w:tcPr>
            <w:tcW w:w="40" w:type="dxa"/>
            <w:vAlign w:val="bottom"/>
            <w:tcBorders>
              <w:top w:val="single" w:sz="8" w:color="auto"/>
            </w:tcBorders>
            <w:shd w:val="clear" w:color="auto" w:fill="CEFFE7"/>
          </w:tcPr>
          <w:p>
            <w:pPr>
              <w:spacing w:after="0"/>
              <w:rPr>
                <w:sz w:val="18"/>
                <w:szCs w:val="18"/>
                <w:color w:val="auto"/>
              </w:rPr>
            </w:pPr>
          </w:p>
        </w:tc>
        <w:tc>
          <w:tcPr>
            <w:tcW w:w="680" w:type="dxa"/>
            <w:vAlign w:val="bottom"/>
            <w:tcBorders>
              <w:top w:val="single" w:sz="8" w:color="auto"/>
            </w:tcBorders>
            <w:gridSpan w:val="3"/>
            <w:shd w:val="clear" w:color="auto" w:fill="CEFFE7"/>
          </w:tcPr>
          <w:p>
            <w:pPr>
              <w:jc w:val="right"/>
              <w:ind w:right="19"/>
              <w:spacing w:after="0"/>
              <w:rPr>
                <w:sz w:val="20"/>
                <w:szCs w:val="20"/>
                <w:color w:val="auto"/>
              </w:rPr>
            </w:pPr>
            <w:r>
              <w:rPr>
                <w:rFonts w:ascii="Arial" w:cs="Arial" w:eastAsia="Arial" w:hAnsi="Arial"/>
                <w:sz w:val="16"/>
                <w:szCs w:val="16"/>
                <w:color w:val="auto"/>
              </w:rPr>
              <w:t>24,694</w:t>
            </w:r>
          </w:p>
        </w:tc>
        <w:tc>
          <w:tcPr>
            <w:tcW w:w="700" w:type="dxa"/>
            <w:vAlign w:val="bottom"/>
            <w:tcBorders>
              <w:top w:val="single" w:sz="8" w:color="auto"/>
            </w:tcBorders>
            <w:shd w:val="clear" w:color="auto" w:fill="CEFFE7"/>
          </w:tcPr>
          <w:p>
            <w:pPr>
              <w:spacing w:after="0"/>
              <w:rPr>
                <w:sz w:val="18"/>
                <w:szCs w:val="18"/>
                <w:color w:val="auto"/>
              </w:rPr>
            </w:pPr>
          </w:p>
        </w:tc>
        <w:tc>
          <w:tcPr>
            <w:tcW w:w="800" w:type="dxa"/>
            <w:vAlign w:val="bottom"/>
            <w:tcBorders>
              <w:top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rPr>
              <w:t>128,774</w:t>
            </w:r>
          </w:p>
        </w:tc>
        <w:tc>
          <w:tcPr>
            <w:tcW w:w="40" w:type="dxa"/>
            <w:vAlign w:val="bottom"/>
            <w:tcBorders>
              <w:top w:val="single" w:sz="8" w:color="auto"/>
            </w:tcBorders>
            <w:shd w:val="clear" w:color="auto" w:fill="CEFFE7"/>
          </w:tcPr>
          <w:p>
            <w:pPr>
              <w:spacing w:after="0"/>
              <w:rPr>
                <w:sz w:val="18"/>
                <w:szCs w:val="18"/>
                <w:color w:val="auto"/>
              </w:rPr>
            </w:pPr>
          </w:p>
        </w:tc>
        <w:tc>
          <w:tcPr>
            <w:tcW w:w="100" w:type="dxa"/>
            <w:vAlign w:val="bottom"/>
            <w:tcBorders>
              <w:top w:val="single" w:sz="8" w:color="auto"/>
            </w:tcBorders>
            <w:shd w:val="clear" w:color="auto" w:fill="CEFFE7"/>
          </w:tcPr>
          <w:p>
            <w:pPr>
              <w:spacing w:after="0"/>
              <w:rPr>
                <w:sz w:val="18"/>
                <w:szCs w:val="18"/>
                <w:color w:val="auto"/>
              </w:rPr>
            </w:pPr>
          </w:p>
        </w:tc>
        <w:tc>
          <w:tcPr>
            <w:tcW w:w="140" w:type="dxa"/>
            <w:vAlign w:val="bottom"/>
            <w:tcBorders>
              <w:top w:val="single" w:sz="8" w:color="auto"/>
            </w:tcBorders>
            <w:shd w:val="clear" w:color="auto" w:fill="CEFFE7"/>
          </w:tcPr>
          <w:p>
            <w:pPr>
              <w:spacing w:after="0"/>
              <w:rPr>
                <w:sz w:val="18"/>
                <w:szCs w:val="18"/>
                <w:color w:val="auto"/>
              </w:rPr>
            </w:pPr>
          </w:p>
        </w:tc>
        <w:tc>
          <w:tcPr>
            <w:tcW w:w="140" w:type="dxa"/>
            <w:vAlign w:val="bottom"/>
            <w:tcBorders>
              <w:top w:val="single" w:sz="8" w:color="auto"/>
            </w:tcBorders>
            <w:shd w:val="clear" w:color="auto" w:fill="CEFFE7"/>
          </w:tcPr>
          <w:p>
            <w:pPr>
              <w:spacing w:after="0"/>
              <w:rPr>
                <w:sz w:val="18"/>
                <w:szCs w:val="18"/>
                <w:color w:val="auto"/>
              </w:rPr>
            </w:pPr>
          </w:p>
        </w:tc>
        <w:tc>
          <w:tcPr>
            <w:tcW w:w="160" w:type="dxa"/>
            <w:vAlign w:val="bottom"/>
            <w:tcBorders>
              <w:top w:val="single" w:sz="8" w:color="auto"/>
            </w:tcBorders>
            <w:shd w:val="clear" w:color="auto" w:fill="CEFFE7"/>
          </w:tcPr>
          <w:p>
            <w:pPr>
              <w:spacing w:after="0"/>
              <w:rPr>
                <w:sz w:val="18"/>
                <w:szCs w:val="18"/>
                <w:color w:val="auto"/>
              </w:rPr>
            </w:pPr>
          </w:p>
        </w:tc>
        <w:tc>
          <w:tcPr>
            <w:tcW w:w="66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121,918</w:t>
            </w:r>
          </w:p>
        </w:tc>
        <w:tc>
          <w:tcPr>
            <w:tcW w:w="320" w:type="dxa"/>
            <w:vAlign w:val="bottom"/>
            <w:tcBorders>
              <w:left w:val="single" w:sz="8" w:color="CEFFE7"/>
            </w:tcBorders>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080" w:type="dxa"/>
            <w:vAlign w:val="bottom"/>
            <w:gridSpan w:val="4"/>
          </w:tcPr>
          <w:p>
            <w:pPr>
              <w:spacing w:after="0"/>
              <w:rPr>
                <w:sz w:val="20"/>
                <w:szCs w:val="20"/>
                <w:color w:val="auto"/>
              </w:rPr>
            </w:pPr>
            <w:r>
              <w:rPr>
                <w:rFonts w:ascii="Arial" w:cs="Arial" w:eastAsia="Arial" w:hAnsi="Arial"/>
                <w:sz w:val="16"/>
                <w:szCs w:val="16"/>
                <w:color w:val="auto"/>
              </w:rPr>
              <w:t>t income attributable to noncontrolling interest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color w:val="auto"/>
              </w:rPr>
              <w:t>(3,126)</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(3,728)</w:t>
            </w:r>
          </w:p>
        </w:tc>
        <w:tc>
          <w:tcPr>
            <w:tcW w:w="70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(7,297)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(7,778)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100" w:type="dxa"/>
            <w:vAlign w:val="bottom"/>
          </w:tcPr>
          <w:p>
            <w:pPr>
              <w:spacing w:after="0"/>
              <w:rPr>
                <w:sz w:val="20"/>
                <w:szCs w:val="20"/>
                <w:color w:val="auto"/>
              </w:rPr>
            </w:pPr>
            <w:r>
              <w:rPr>
                <w:rFonts w:ascii="Arial" w:cs="Arial" w:eastAsia="Arial" w:hAnsi="Arial"/>
                <w:sz w:val="16"/>
                <w:szCs w:val="16"/>
                <w:color w:val="auto"/>
              </w:rPr>
              <w:t>t</w:t>
            </w:r>
          </w:p>
        </w:tc>
        <w:tc>
          <w:tcPr>
            <w:tcW w:w="3980" w:type="dxa"/>
            <w:vAlign w:val="bottom"/>
            <w:tcBorders>
              <w:top w:val="single" w:sz="8" w:color="CEFFE7"/>
              <w:bottom w:val="single" w:sz="8" w:color="CEFFE7"/>
            </w:tcBorders>
            <w:gridSpan w:val="3"/>
            <w:shd w:val="clear" w:color="auto" w:fill="CEFFE7"/>
          </w:tcPr>
          <w:p>
            <w:pPr>
              <w:spacing w:after="0"/>
              <w:rPr>
                <w:sz w:val="20"/>
                <w:szCs w:val="20"/>
                <w:color w:val="auto"/>
              </w:rPr>
            </w:pPr>
            <w:r>
              <w:rPr>
                <w:rFonts w:ascii="Arial" w:cs="Arial" w:eastAsia="Arial" w:hAnsi="Arial"/>
                <w:sz w:val="16"/>
                <w:szCs w:val="16"/>
                <w:color w:val="auto"/>
              </w:rPr>
              <w:t>income available for common stock</w:t>
            </w:r>
          </w:p>
        </w:tc>
        <w:tc>
          <w:tcPr>
            <w:tcW w:w="1240" w:type="dxa"/>
            <w:vAlign w:val="bottom"/>
            <w:tcBorders>
              <w:top w:val="single" w:sz="8" w:color="CEFFE7"/>
              <w:bottom w:val="single" w:sz="8" w:color="CEFFE7"/>
            </w:tcBorders>
            <w:gridSpan w:val="2"/>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EFFE7"/>
              <w:bottom w:val="single" w:sz="8" w:color="CEFFE7"/>
            </w:tcBorders>
            <w:shd w:val="clear" w:color="auto" w:fill="CEFFE7"/>
          </w:tcPr>
          <w:p>
            <w:pPr>
              <w:spacing w:after="0"/>
              <w:rPr>
                <w:sz w:val="20"/>
                <w:szCs w:val="20"/>
                <w:color w:val="auto"/>
              </w:rPr>
            </w:pPr>
          </w:p>
        </w:tc>
        <w:tc>
          <w:tcPr>
            <w:tcW w:w="40" w:type="dxa"/>
            <w:vAlign w:val="bottom"/>
            <w:tcBorders>
              <w:top w:val="single" w:sz="8" w:color="CEFFE7"/>
              <w:bottom w:val="single" w:sz="8" w:color="CEFFE7"/>
            </w:tcBorders>
            <w:shd w:val="clear" w:color="auto" w:fill="CEFFE7"/>
          </w:tcPr>
          <w:p>
            <w:pPr>
              <w:spacing w:after="0"/>
              <w:rPr>
                <w:sz w:val="20"/>
                <w:szCs w:val="20"/>
                <w:color w:val="auto"/>
              </w:rPr>
            </w:pPr>
          </w:p>
        </w:tc>
        <w:tc>
          <w:tcPr>
            <w:tcW w:w="1380" w:type="dxa"/>
            <w:vAlign w:val="bottom"/>
            <w:tcBorders>
              <w:top w:val="single" w:sz="8" w:color="auto"/>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25,161$</w:t>
            </w:r>
          </w:p>
        </w:tc>
        <w:tc>
          <w:tcPr>
            <w:tcW w:w="580" w:type="dxa"/>
            <w:vAlign w:val="bottom"/>
            <w:tcBorders>
              <w:top w:val="single" w:sz="8" w:color="auto"/>
              <w:bottom w:val="single" w:sz="8" w:color="auto"/>
            </w:tcBorders>
            <w:shd w:val="clear" w:color="auto" w:fill="CEFFE7"/>
          </w:tcPr>
          <w:p>
            <w:pPr>
              <w:spacing w:after="0"/>
              <w:rPr>
                <w:sz w:val="20"/>
                <w:szCs w:val="20"/>
                <w:color w:val="auto"/>
              </w:rPr>
            </w:pPr>
          </w:p>
        </w:tc>
        <w:tc>
          <w:tcPr>
            <w:tcW w:w="120" w:type="dxa"/>
            <w:vAlign w:val="bottom"/>
            <w:tcBorders>
              <w:top w:val="single" w:sz="8" w:color="auto"/>
              <w:bottom w:val="single" w:sz="8" w:color="auto"/>
            </w:tcBorders>
            <w:shd w:val="clear" w:color="auto" w:fill="CEFFE7"/>
          </w:tcPr>
          <w:p>
            <w:pPr>
              <w:spacing w:after="0"/>
              <w:rPr>
                <w:sz w:val="20"/>
                <w:szCs w:val="20"/>
                <w:color w:val="auto"/>
              </w:rPr>
            </w:pPr>
          </w:p>
        </w:tc>
        <w:tc>
          <w:tcPr>
            <w:tcW w:w="40" w:type="dxa"/>
            <w:vAlign w:val="bottom"/>
            <w:tcBorders>
              <w:top w:val="single" w:sz="8" w:color="auto"/>
              <w:bottom w:val="single" w:sz="8" w:color="auto"/>
            </w:tcBorders>
            <w:shd w:val="clear" w:color="auto" w:fill="CEFFE7"/>
          </w:tcPr>
          <w:p>
            <w:pPr>
              <w:spacing w:after="0"/>
              <w:rPr>
                <w:sz w:val="20"/>
                <w:szCs w:val="20"/>
                <w:color w:val="auto"/>
              </w:rPr>
            </w:pPr>
          </w:p>
        </w:tc>
        <w:tc>
          <w:tcPr>
            <w:tcW w:w="680" w:type="dxa"/>
            <w:vAlign w:val="bottom"/>
            <w:tcBorders>
              <w:top w:val="single" w:sz="8" w:color="auto"/>
              <w:bottom w:val="single" w:sz="8" w:color="auto"/>
            </w:tcBorders>
            <w:gridSpan w:val="3"/>
            <w:shd w:val="clear" w:color="auto" w:fill="CEFFE7"/>
          </w:tcPr>
          <w:p>
            <w:pPr>
              <w:jc w:val="right"/>
              <w:ind w:right="19"/>
              <w:spacing w:after="0"/>
              <w:rPr>
                <w:sz w:val="20"/>
                <w:szCs w:val="20"/>
                <w:color w:val="auto"/>
              </w:rPr>
            </w:pPr>
            <w:r>
              <w:rPr>
                <w:rFonts w:ascii="Arial" w:cs="Arial" w:eastAsia="Arial" w:hAnsi="Arial"/>
                <w:sz w:val="16"/>
                <w:szCs w:val="16"/>
                <w:color w:val="auto"/>
                <w:w w:val="96"/>
              </w:rPr>
              <w:t>20,966$</w:t>
            </w:r>
          </w:p>
        </w:tc>
        <w:tc>
          <w:tcPr>
            <w:tcW w:w="700" w:type="dxa"/>
            <w:vAlign w:val="bottom"/>
            <w:tcBorders>
              <w:top w:val="single" w:sz="8" w:color="auto"/>
              <w:bottom w:val="single" w:sz="8" w:color="auto"/>
            </w:tcBorders>
            <w:shd w:val="clear" w:color="auto" w:fill="CEFFE7"/>
          </w:tcPr>
          <w:p>
            <w:pPr>
              <w:spacing w:after="0"/>
              <w:rPr>
                <w:sz w:val="20"/>
                <w:szCs w:val="20"/>
                <w:color w:val="auto"/>
              </w:rPr>
            </w:pPr>
          </w:p>
        </w:tc>
        <w:tc>
          <w:tcPr>
            <w:tcW w:w="800" w:type="dxa"/>
            <w:vAlign w:val="bottom"/>
            <w:tcBorders>
              <w:top w:val="single" w:sz="8" w:color="auto"/>
              <w:bottom w:val="single" w:sz="8" w:color="auto"/>
            </w:tcBorders>
            <w:shd w:val="clear" w:color="auto" w:fill="CEFFE7"/>
          </w:tcPr>
          <w:p>
            <w:pPr>
              <w:jc w:val="right"/>
              <w:ind w:right="119"/>
              <w:spacing w:after="0"/>
              <w:rPr>
                <w:sz w:val="20"/>
                <w:szCs w:val="20"/>
                <w:color w:val="auto"/>
              </w:rPr>
            </w:pPr>
            <w:r>
              <w:rPr>
                <w:rFonts w:ascii="Arial" w:cs="Arial" w:eastAsia="Arial" w:hAnsi="Arial"/>
                <w:sz w:val="16"/>
                <w:szCs w:val="16"/>
                <w:color w:val="auto"/>
                <w:w w:val="86"/>
              </w:rPr>
              <w:t>121,477$</w:t>
            </w:r>
          </w:p>
        </w:tc>
        <w:tc>
          <w:tcPr>
            <w:tcW w:w="40" w:type="dxa"/>
            <w:vAlign w:val="bottom"/>
            <w:tcBorders>
              <w:top w:val="single" w:sz="8" w:color="auto"/>
              <w:bottom w:val="single" w:sz="8" w:color="auto"/>
            </w:tcBorders>
            <w:shd w:val="clear" w:color="auto" w:fill="CEFFE7"/>
          </w:tcPr>
          <w:p>
            <w:pPr>
              <w:spacing w:after="0"/>
              <w:rPr>
                <w:sz w:val="20"/>
                <w:szCs w:val="20"/>
                <w:color w:val="auto"/>
              </w:rPr>
            </w:pPr>
          </w:p>
        </w:tc>
        <w:tc>
          <w:tcPr>
            <w:tcW w:w="100" w:type="dxa"/>
            <w:vAlign w:val="bottom"/>
            <w:tcBorders>
              <w:top w:val="single" w:sz="8" w:color="auto"/>
              <w:bottom w:val="single" w:sz="8" w:color="auto"/>
            </w:tcBorders>
            <w:shd w:val="clear" w:color="auto" w:fill="CEFFE7"/>
          </w:tcPr>
          <w:p>
            <w:pPr>
              <w:spacing w:after="0"/>
              <w:rPr>
                <w:sz w:val="20"/>
                <w:szCs w:val="20"/>
                <w:color w:val="auto"/>
              </w:rPr>
            </w:pPr>
          </w:p>
        </w:tc>
        <w:tc>
          <w:tcPr>
            <w:tcW w:w="140" w:type="dxa"/>
            <w:vAlign w:val="bottom"/>
            <w:tcBorders>
              <w:top w:val="single" w:sz="8" w:color="auto"/>
              <w:bottom w:val="single" w:sz="8" w:color="auto"/>
            </w:tcBorders>
            <w:shd w:val="clear" w:color="auto" w:fill="CEFFE7"/>
          </w:tcPr>
          <w:p>
            <w:pPr>
              <w:spacing w:after="0"/>
              <w:rPr>
                <w:sz w:val="20"/>
                <w:szCs w:val="20"/>
                <w:color w:val="auto"/>
              </w:rPr>
            </w:pPr>
          </w:p>
        </w:tc>
        <w:tc>
          <w:tcPr>
            <w:tcW w:w="140" w:type="dxa"/>
            <w:vAlign w:val="bottom"/>
            <w:tcBorders>
              <w:top w:val="single" w:sz="8" w:color="auto"/>
              <w:bottom w:val="single" w:sz="8" w:color="auto"/>
            </w:tcBorders>
            <w:shd w:val="clear" w:color="auto" w:fill="CEFFE7"/>
          </w:tcPr>
          <w:p>
            <w:pPr>
              <w:spacing w:after="0"/>
              <w:rPr>
                <w:sz w:val="20"/>
                <w:szCs w:val="20"/>
                <w:color w:val="auto"/>
              </w:rPr>
            </w:pPr>
          </w:p>
        </w:tc>
        <w:tc>
          <w:tcPr>
            <w:tcW w:w="160" w:type="dxa"/>
            <w:vAlign w:val="bottom"/>
            <w:tcBorders>
              <w:top w:val="single" w:sz="8" w:color="auto"/>
              <w:bottom w:val="single" w:sz="8" w:color="auto"/>
            </w:tcBorders>
            <w:shd w:val="clear" w:color="auto" w:fill="CEFFE7"/>
          </w:tcPr>
          <w:p>
            <w:pPr>
              <w:spacing w:after="0"/>
              <w:rPr>
                <w:sz w:val="20"/>
                <w:szCs w:val="20"/>
                <w:color w:val="auto"/>
              </w:rPr>
            </w:pPr>
          </w:p>
        </w:tc>
        <w:tc>
          <w:tcPr>
            <w:tcW w:w="66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114,140</w:t>
            </w:r>
          </w:p>
        </w:tc>
        <w:tc>
          <w:tcPr>
            <w:tcW w:w="320" w:type="dxa"/>
            <w:vAlign w:val="bottom"/>
            <w:tcBorders>
              <w:left w:val="single" w:sz="8" w:color="CEFFE7"/>
            </w:tcBorders>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Borders>
              <w:top w:val="single" w:sz="8" w:color="CEFFE7"/>
            </w:tcBorders>
          </w:tcPr>
          <w:p>
            <w:pPr>
              <w:spacing w:after="0" w:line="20" w:lineRule="exact"/>
              <w:rPr>
                <w:sz w:val="1"/>
                <w:szCs w:val="1"/>
                <w:color w:val="auto"/>
              </w:rPr>
            </w:pPr>
          </w:p>
        </w:tc>
        <w:tc>
          <w:tcPr>
            <w:tcW w:w="1320" w:type="dxa"/>
            <w:vAlign w:val="bottom"/>
            <w:tcBorders>
              <w:top w:val="single" w:sz="8" w:color="CEFFE7"/>
            </w:tcBorders>
          </w:tcPr>
          <w:p>
            <w:pPr>
              <w:spacing w:after="0" w:line="20" w:lineRule="exact"/>
              <w:rPr>
                <w:sz w:val="1"/>
                <w:szCs w:val="1"/>
                <w:color w:val="auto"/>
              </w:rPr>
            </w:pPr>
          </w:p>
        </w:tc>
        <w:tc>
          <w:tcPr>
            <w:tcW w:w="2620" w:type="dxa"/>
            <w:vAlign w:val="bottom"/>
            <w:tcBorders>
              <w:top w:val="single" w:sz="8" w:color="CEFFE7"/>
            </w:tcBorders>
          </w:tcPr>
          <w:p>
            <w:pPr>
              <w:spacing w:after="0" w:line="20" w:lineRule="exact"/>
              <w:rPr>
                <w:sz w:val="1"/>
                <w:szCs w:val="1"/>
                <w:color w:val="auto"/>
              </w:rPr>
            </w:pPr>
          </w:p>
        </w:tc>
        <w:tc>
          <w:tcPr>
            <w:tcW w:w="112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40" w:type="dxa"/>
            <w:vAlign w:val="bottom"/>
            <w:tcBorders>
              <w:top w:val="single" w:sz="8" w:color="CEFFE7"/>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420" w:type="dxa"/>
            <w:vAlign w:val="bottom"/>
            <w:tcBorders>
              <w:top w:val="single" w:sz="8" w:color="CEFFE7"/>
              <w:bottom w:val="single" w:sz="8" w:color="auto"/>
            </w:tcBorders>
          </w:tcPr>
          <w:p>
            <w:pPr>
              <w:spacing w:after="0" w:line="20" w:lineRule="exact"/>
              <w:rPr>
                <w:sz w:val="1"/>
                <w:szCs w:val="1"/>
                <w:color w:val="auto"/>
              </w:rPr>
            </w:pPr>
          </w:p>
        </w:tc>
        <w:tc>
          <w:tcPr>
            <w:tcW w:w="58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40" w:type="dxa"/>
            <w:vAlign w:val="bottom"/>
            <w:tcBorders>
              <w:top w:val="single" w:sz="8" w:color="CEFFE7"/>
              <w:bottom w:val="single" w:sz="8" w:color="auto"/>
            </w:tcBorders>
          </w:tcPr>
          <w:p>
            <w:pPr>
              <w:spacing w:after="0" w:line="20" w:lineRule="exact"/>
              <w:rPr>
                <w:sz w:val="1"/>
                <w:szCs w:val="1"/>
                <w:color w:val="auto"/>
              </w:rPr>
            </w:pPr>
          </w:p>
        </w:tc>
        <w:tc>
          <w:tcPr>
            <w:tcW w:w="4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520" w:type="dxa"/>
            <w:vAlign w:val="bottom"/>
            <w:tcBorders>
              <w:top w:val="single" w:sz="8" w:color="CEFFE7"/>
              <w:bottom w:val="single" w:sz="8" w:color="auto"/>
            </w:tcBorders>
          </w:tcPr>
          <w:p>
            <w:pPr>
              <w:spacing w:after="0" w:line="20" w:lineRule="exact"/>
              <w:rPr>
                <w:sz w:val="1"/>
                <w:szCs w:val="1"/>
                <w:color w:val="auto"/>
              </w:rPr>
            </w:pPr>
          </w:p>
        </w:tc>
        <w:tc>
          <w:tcPr>
            <w:tcW w:w="700" w:type="dxa"/>
            <w:vAlign w:val="bottom"/>
            <w:tcBorders>
              <w:top w:val="single" w:sz="8" w:color="CEFFE7"/>
              <w:bottom w:val="single" w:sz="8" w:color="auto"/>
            </w:tcBorders>
          </w:tcPr>
          <w:p>
            <w:pPr>
              <w:spacing w:after="0" w:line="20" w:lineRule="exact"/>
              <w:rPr>
                <w:sz w:val="1"/>
                <w:szCs w:val="1"/>
                <w:color w:val="auto"/>
              </w:rPr>
            </w:pPr>
          </w:p>
        </w:tc>
        <w:tc>
          <w:tcPr>
            <w:tcW w:w="800" w:type="dxa"/>
            <w:vAlign w:val="bottom"/>
            <w:tcBorders>
              <w:top w:val="single" w:sz="8" w:color="CEFFE7"/>
              <w:bottom w:val="single" w:sz="8" w:color="auto"/>
            </w:tcBorders>
          </w:tcPr>
          <w:p>
            <w:pPr>
              <w:spacing w:after="0" w:line="20" w:lineRule="exact"/>
              <w:rPr>
                <w:sz w:val="1"/>
                <w:szCs w:val="1"/>
                <w:color w:val="auto"/>
              </w:rPr>
            </w:pPr>
          </w:p>
        </w:tc>
        <w:tc>
          <w:tcPr>
            <w:tcW w:w="4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66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75"/>
        </w:trPr>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519"/>
              <w:spacing w:after="0"/>
              <w:rPr>
                <w:sz w:val="20"/>
                <w:szCs w:val="20"/>
                <w:color w:val="auto"/>
              </w:rPr>
            </w:pPr>
            <w:r>
              <w:rPr>
                <w:rFonts w:ascii="Arial" w:cs="Arial" w:eastAsia="Arial" w:hAnsi="Arial"/>
                <w:sz w:val="16"/>
                <w:szCs w:val="16"/>
                <w:color w:val="auto"/>
              </w:rPr>
              <w:t>31</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100" w:type="dxa"/>
            <w:vAlign w:val="bottom"/>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7179310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-2811145</wp:posOffset>
            </wp:positionV>
            <wp:extent cx="692658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26580" cy="1371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-1945005</wp:posOffset>
            </wp:positionV>
            <wp:extent cx="692658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26580" cy="1371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-1670685</wp:posOffset>
            </wp:positionV>
            <wp:extent cx="692658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6580" cy="137160"/>
                    </a:xfrm>
                    <a:prstGeom prst="rect">
                      <a:avLst/>
                    </a:prstGeom>
                    <a:noFill/>
                  </pic:spPr>
                </pic:pic>
              </a:graphicData>
            </a:graphic>
          </wp:anchor>
        </w:drawing>
      </w:r>
    </w:p>
    <w:p>
      <w:pPr>
        <w:sectPr>
          <w:pgSz w:w="11900" w:h="16838" w:orient="portrait"/>
          <w:cols w:equalWidth="0" w:num="1">
            <w:col w:w="11340"/>
          </w:cols>
          <w:pgMar w:left="220" w:top="118" w:right="3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Selected Balance Sheet Information</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Accounts Receivable and Allowance for Credit Losses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Accounts receivable, net included in the accompanying Condensed Consolidated Balance Sheets (in thousands) as of:</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7100" w:type="dxa"/>
            <w:vAlign w:val="bottom"/>
            <w:tcBorders>
              <w:bottom w:val="single" w:sz="8" w:color="CEFFE7"/>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June 30, 2021</w:t>
            </w: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2020</w:t>
            </w:r>
          </w:p>
        </w:tc>
      </w:tr>
      <w:tr>
        <w:trPr>
          <w:trHeight w:val="213"/>
        </w:trPr>
        <w:tc>
          <w:tcPr>
            <w:tcW w:w="7100" w:type="dxa"/>
            <w:vAlign w:val="bottom"/>
            <w:shd w:val="clear" w:color="auto" w:fill="CEFFE7"/>
          </w:tcPr>
          <w:p>
            <w:pPr>
              <w:spacing w:after="0"/>
              <w:rPr>
                <w:sz w:val="20"/>
                <w:szCs w:val="20"/>
                <w:color w:val="auto"/>
              </w:rPr>
            </w:pPr>
            <w:r>
              <w:rPr>
                <w:rFonts w:ascii="Arial" w:cs="Arial" w:eastAsia="Arial" w:hAnsi="Arial"/>
                <w:sz w:val="16"/>
                <w:szCs w:val="16"/>
                <w:color w:val="auto"/>
              </w:rPr>
              <w:t>Accounts receivable, trade</w:t>
            </w:r>
          </w:p>
        </w:tc>
        <w:tc>
          <w:tcPr>
            <w:tcW w:w="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132,400</w:t>
            </w:r>
          </w:p>
        </w:tc>
        <w:tc>
          <w:tcPr>
            <w:tcW w:w="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146,899</w:t>
            </w:r>
          </w:p>
        </w:tc>
      </w:tr>
      <w:tr>
        <w:trPr>
          <w:trHeight w:val="213"/>
        </w:trPr>
        <w:tc>
          <w:tcPr>
            <w:tcW w:w="7100" w:type="dxa"/>
            <w:vAlign w:val="bottom"/>
          </w:tcPr>
          <w:p>
            <w:pPr>
              <w:spacing w:after="0"/>
              <w:rPr>
                <w:sz w:val="20"/>
                <w:szCs w:val="20"/>
                <w:color w:val="auto"/>
              </w:rPr>
            </w:pPr>
            <w:r>
              <w:rPr>
                <w:rFonts w:ascii="Arial" w:cs="Arial" w:eastAsia="Arial" w:hAnsi="Arial"/>
                <w:sz w:val="16"/>
                <w:szCs w:val="16"/>
                <w:color w:val="auto"/>
              </w:rPr>
              <w:t>Unbilled revenue</w:t>
            </w:r>
          </w:p>
        </w:tc>
        <w:tc>
          <w:tcPr>
            <w:tcW w:w="300" w:type="dxa"/>
            <w:vAlign w:val="bottom"/>
          </w:tcPr>
          <w:p>
            <w:pPr>
              <w:spacing w:after="0"/>
              <w:rPr>
                <w:sz w:val="18"/>
                <w:szCs w:val="18"/>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63,066</w:t>
            </w: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126,065</w:t>
            </w:r>
          </w:p>
        </w:tc>
      </w:tr>
      <w:tr>
        <w:trPr>
          <w:trHeight w:val="216"/>
        </w:trPr>
        <w:tc>
          <w:tcPr>
            <w:tcW w:w="7100" w:type="dxa"/>
            <w:vAlign w:val="bottom"/>
            <w:shd w:val="clear" w:color="auto" w:fill="CEFFE7"/>
          </w:tcPr>
          <w:p>
            <w:pPr>
              <w:spacing w:after="0"/>
              <w:rPr>
                <w:sz w:val="20"/>
                <w:szCs w:val="20"/>
                <w:color w:val="auto"/>
              </w:rPr>
            </w:pPr>
            <w:r>
              <w:rPr>
                <w:rFonts w:ascii="Arial" w:cs="Arial" w:eastAsia="Arial" w:hAnsi="Arial"/>
                <w:sz w:val="16"/>
                <w:szCs w:val="16"/>
                <w:color w:val="auto"/>
              </w:rPr>
              <w:t>Less: Allowance for credit losses</w:t>
            </w:r>
          </w:p>
        </w:tc>
        <w:tc>
          <w:tcPr>
            <w:tcW w:w="300" w:type="dxa"/>
            <w:vAlign w:val="bottom"/>
            <w:tcBorders>
              <w:bottom w:val="single" w:sz="8" w:color="auto"/>
            </w:tcBorders>
            <w:shd w:val="clear" w:color="auto" w:fill="CEFFE7"/>
          </w:tcPr>
          <w:p>
            <w:pPr>
              <w:spacing w:after="0"/>
              <w:rPr>
                <w:sz w:val="18"/>
                <w:szCs w:val="18"/>
                <w:color w:val="auto"/>
              </w:rPr>
            </w:pPr>
          </w:p>
        </w:tc>
        <w:tc>
          <w:tcPr>
            <w:tcW w:w="1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(6,029)</w:t>
            </w:r>
          </w:p>
        </w:tc>
        <w:tc>
          <w:tcPr>
            <w:tcW w:w="24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(7,003)</w:t>
            </w:r>
          </w:p>
        </w:tc>
      </w:tr>
      <w:tr>
        <w:trPr>
          <w:trHeight w:val="212"/>
        </w:trPr>
        <w:tc>
          <w:tcPr>
            <w:tcW w:w="7100" w:type="dxa"/>
            <w:vAlign w:val="bottom"/>
          </w:tcPr>
          <w:p>
            <w:pPr>
              <w:spacing w:after="0"/>
              <w:rPr>
                <w:sz w:val="20"/>
                <w:szCs w:val="20"/>
                <w:color w:val="auto"/>
              </w:rPr>
            </w:pPr>
            <w:r>
              <w:rPr>
                <w:rFonts w:ascii="Arial" w:cs="Arial" w:eastAsia="Arial" w:hAnsi="Arial"/>
                <w:sz w:val="16"/>
                <w:szCs w:val="16"/>
                <w:color w:val="auto"/>
              </w:rPr>
              <w:t>Accounts receivable, net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189,437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265,961</w:t>
            </w:r>
          </w:p>
        </w:tc>
      </w:tr>
      <w:tr>
        <w:trPr>
          <w:trHeight w:val="21"/>
        </w:trPr>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Changes to allowance for credit losses for the six months ended June 30, 2021 and 2020, respectively, were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00" w:type="dxa"/>
            <w:vAlign w:val="bottom"/>
          </w:tcPr>
          <w:p>
            <w:pPr>
              <w:spacing w:after="0"/>
              <w:rPr>
                <w:sz w:val="16"/>
                <w:szCs w:val="16"/>
                <w:color w:val="auto"/>
              </w:rPr>
            </w:pPr>
          </w:p>
        </w:tc>
        <w:tc>
          <w:tcPr>
            <w:tcW w:w="1860" w:type="dxa"/>
            <w:vAlign w:val="bottom"/>
            <w:gridSpan w:val="3"/>
          </w:tcPr>
          <w:p>
            <w:pPr>
              <w:jc w:val="center"/>
              <w:spacing w:after="0"/>
              <w:rPr>
                <w:sz w:val="20"/>
                <w:szCs w:val="20"/>
                <w:color w:val="auto"/>
              </w:rPr>
            </w:pPr>
            <w:r>
              <w:rPr>
                <w:rFonts w:ascii="Arial" w:cs="Arial" w:eastAsia="Arial" w:hAnsi="Arial"/>
                <w:sz w:val="16"/>
                <w:szCs w:val="16"/>
                <w:color w:val="auto"/>
              </w:rPr>
              <w:t>Balance at Beginning</w:t>
            </w:r>
          </w:p>
        </w:tc>
        <w:tc>
          <w:tcPr>
            <w:tcW w:w="1740" w:type="dxa"/>
            <w:vAlign w:val="bottom"/>
            <w:gridSpan w:val="3"/>
          </w:tcPr>
          <w:p>
            <w:pPr>
              <w:jc w:val="right"/>
              <w:ind w:right="160"/>
              <w:spacing w:after="0"/>
              <w:rPr>
                <w:sz w:val="20"/>
                <w:szCs w:val="20"/>
                <w:color w:val="auto"/>
              </w:rPr>
            </w:pPr>
            <w:r>
              <w:rPr>
                <w:rFonts w:ascii="Arial" w:cs="Arial" w:eastAsia="Arial" w:hAnsi="Arial"/>
                <w:sz w:val="16"/>
                <w:szCs w:val="16"/>
                <w:color w:val="auto"/>
              </w:rPr>
              <w:t>Additions Charged to</w:t>
            </w:r>
          </w:p>
        </w:tc>
        <w:tc>
          <w:tcPr>
            <w:tcW w:w="1760" w:type="dxa"/>
            <w:vAlign w:val="bottom"/>
            <w:gridSpan w:val="3"/>
          </w:tcPr>
          <w:p>
            <w:pPr>
              <w:ind w:left="40"/>
              <w:spacing w:after="0"/>
              <w:rPr>
                <w:sz w:val="20"/>
                <w:szCs w:val="20"/>
                <w:color w:val="auto"/>
              </w:rPr>
            </w:pPr>
            <w:r>
              <w:rPr>
                <w:rFonts w:ascii="Arial" w:cs="Arial" w:eastAsia="Arial" w:hAnsi="Arial"/>
                <w:sz w:val="16"/>
                <w:szCs w:val="16"/>
                <w:color w:val="auto"/>
              </w:rPr>
              <w:t>Recoveries and Other</w:t>
            </w:r>
          </w:p>
        </w:tc>
        <w:tc>
          <w:tcPr>
            <w:tcW w:w="1760" w:type="dxa"/>
            <w:vAlign w:val="bottom"/>
            <w:gridSpan w:val="3"/>
          </w:tcPr>
          <w:p>
            <w:pPr>
              <w:jc w:val="center"/>
              <w:ind w:right="100"/>
              <w:spacing w:after="0"/>
              <w:rPr>
                <w:sz w:val="20"/>
                <w:szCs w:val="20"/>
                <w:color w:val="auto"/>
              </w:rPr>
            </w:pPr>
            <w:r>
              <w:rPr>
                <w:rFonts w:ascii="Arial" w:cs="Arial" w:eastAsia="Arial" w:hAnsi="Arial"/>
                <w:sz w:val="16"/>
                <w:szCs w:val="16"/>
                <w:color w:val="auto"/>
              </w:rPr>
              <w:t>Write-offs and Other</w:t>
            </w:r>
          </w:p>
        </w:tc>
        <w:tc>
          <w:tcPr>
            <w:tcW w:w="2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98"/>
        </w:trPr>
        <w:tc>
          <w:tcPr>
            <w:tcW w:w="2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6"/>
                <w:szCs w:val="16"/>
                <w:color w:val="auto"/>
                <w:w w:val="96"/>
              </w:rPr>
              <w:t>of Year</w:t>
            </w:r>
          </w:p>
        </w:tc>
        <w:tc>
          <w:tcPr>
            <w:tcW w:w="1740" w:type="dxa"/>
            <w:vAlign w:val="bottom"/>
            <w:gridSpan w:val="3"/>
          </w:tcPr>
          <w:p>
            <w:pPr>
              <w:jc w:val="right"/>
              <w:ind w:right="180"/>
              <w:spacing w:after="0"/>
              <w:rPr>
                <w:sz w:val="20"/>
                <w:szCs w:val="20"/>
                <w:color w:val="auto"/>
              </w:rPr>
            </w:pPr>
            <w:r>
              <w:rPr>
                <w:rFonts w:ascii="Arial" w:cs="Arial" w:eastAsia="Arial" w:hAnsi="Arial"/>
                <w:sz w:val="16"/>
                <w:szCs w:val="16"/>
                <w:color w:val="auto"/>
              </w:rPr>
              <w:t>Costs and Expenses</w:t>
            </w:r>
          </w:p>
        </w:tc>
        <w:tc>
          <w:tcPr>
            <w:tcW w:w="300" w:type="dxa"/>
            <w:vAlign w:val="bottom"/>
          </w:tcPr>
          <w:p>
            <w:pPr>
              <w:spacing w:after="0"/>
              <w:rPr>
                <w:sz w:val="17"/>
                <w:szCs w:val="17"/>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color w:val="auto"/>
              </w:rPr>
              <w:t>Additions</w:t>
            </w:r>
          </w:p>
        </w:tc>
        <w:tc>
          <w:tcPr>
            <w:tcW w:w="260" w:type="dxa"/>
            <w:vAlign w:val="bottom"/>
          </w:tcPr>
          <w:p>
            <w:pPr>
              <w:spacing w:after="0"/>
              <w:rPr>
                <w:sz w:val="17"/>
                <w:szCs w:val="17"/>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6"/>
                <w:szCs w:val="16"/>
                <w:color w:val="auto"/>
              </w:rPr>
              <w:t>Deductions</w:t>
            </w:r>
          </w:p>
        </w:tc>
        <w:tc>
          <w:tcPr>
            <w:tcW w:w="200" w:type="dxa"/>
            <w:vAlign w:val="bottom"/>
          </w:tcPr>
          <w:p>
            <w:pPr>
              <w:spacing w:after="0"/>
              <w:rPr>
                <w:sz w:val="17"/>
                <w:szCs w:val="17"/>
                <w:color w:val="auto"/>
              </w:rPr>
            </w:pPr>
          </w:p>
        </w:tc>
        <w:tc>
          <w:tcPr>
            <w:tcW w:w="1820" w:type="dxa"/>
            <w:vAlign w:val="bottom"/>
          </w:tcPr>
          <w:p>
            <w:pPr>
              <w:jc w:val="right"/>
              <w:ind w:right="199"/>
              <w:spacing w:after="0"/>
              <w:rPr>
                <w:sz w:val="20"/>
                <w:szCs w:val="20"/>
                <w:color w:val="auto"/>
              </w:rPr>
            </w:pPr>
            <w:r>
              <w:rPr>
                <w:rFonts w:ascii="Arial" w:cs="Arial" w:eastAsia="Arial" w:hAnsi="Arial"/>
                <w:sz w:val="16"/>
                <w:szCs w:val="16"/>
                <w:color w:val="auto"/>
              </w:rPr>
              <w:t>Balance at June 30,</w:t>
            </w:r>
          </w:p>
        </w:tc>
      </w:tr>
      <w:tr>
        <w:trPr>
          <w:trHeight w:val="213"/>
        </w:trPr>
        <w:tc>
          <w:tcPr>
            <w:tcW w:w="2100" w:type="dxa"/>
            <w:vAlign w:val="bottom"/>
            <w:tcBorders>
              <w:top w:val="single" w:sz="8" w:color="CEFEE7"/>
            </w:tcBorders>
            <w:shd w:val="clear" w:color="auto" w:fill="CEFEE7"/>
          </w:tcPr>
          <w:p>
            <w:pPr>
              <w:jc w:val="right"/>
              <w:ind w:right="1639"/>
              <w:spacing w:after="0"/>
              <w:rPr>
                <w:sz w:val="20"/>
                <w:szCs w:val="20"/>
                <w:color w:val="auto"/>
              </w:rPr>
            </w:pPr>
            <w:r>
              <w:rPr>
                <w:rFonts w:ascii="Arial" w:cs="Arial" w:eastAsia="Arial" w:hAnsi="Arial"/>
                <w:sz w:val="16"/>
                <w:szCs w:val="16"/>
                <w:color w:val="auto"/>
              </w:rPr>
              <w:t>2021</w:t>
            </w:r>
          </w:p>
        </w:tc>
        <w:tc>
          <w:tcPr>
            <w:tcW w:w="440" w:type="dxa"/>
            <w:vAlign w:val="bottom"/>
            <w:tcBorders>
              <w:top w:val="single" w:sz="8" w:color="auto"/>
            </w:tcBorders>
            <w:shd w:val="clear" w:color="auto" w:fill="CEFEE7"/>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7,003</w:t>
            </w:r>
          </w:p>
        </w:tc>
        <w:tc>
          <w:tcPr>
            <w:tcW w:w="100" w:type="dxa"/>
            <w:vAlign w:val="bottom"/>
            <w:tcBorders>
              <w:top w:val="single" w:sz="8" w:color="CEFEE7"/>
            </w:tcBorders>
            <w:shd w:val="clear" w:color="auto" w:fill="CEFEE7"/>
          </w:tcPr>
          <w:p>
            <w:pPr>
              <w:spacing w:after="0"/>
              <w:rPr>
                <w:sz w:val="18"/>
                <w:szCs w:val="18"/>
                <w:color w:val="auto"/>
              </w:rPr>
            </w:pPr>
          </w:p>
        </w:tc>
        <w:tc>
          <w:tcPr>
            <w:tcW w:w="640" w:type="dxa"/>
            <w:vAlign w:val="bottom"/>
            <w:tcBorders>
              <w:top w:val="single" w:sz="8" w:color="auto"/>
            </w:tcBorders>
            <w:shd w:val="clear" w:color="auto" w:fill="CEFEE7"/>
          </w:tcPr>
          <w:p>
            <w:pPr>
              <w:jc w:val="right"/>
              <w:ind w:right="4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1,510</w:t>
            </w:r>
          </w:p>
        </w:tc>
        <w:tc>
          <w:tcPr>
            <w:tcW w:w="80" w:type="dxa"/>
            <w:vAlign w:val="bottom"/>
            <w:tcBorders>
              <w:top w:val="single" w:sz="8" w:color="CEFEE7"/>
            </w:tcBorders>
            <w:shd w:val="clear" w:color="auto" w:fill="CEFEE7"/>
          </w:tcPr>
          <w:p>
            <w:pPr>
              <w:spacing w:after="0"/>
              <w:rPr>
                <w:sz w:val="18"/>
                <w:szCs w:val="18"/>
                <w:color w:val="auto"/>
              </w:rPr>
            </w:pPr>
          </w:p>
        </w:tc>
        <w:tc>
          <w:tcPr>
            <w:tcW w:w="300" w:type="dxa"/>
            <w:vAlign w:val="bottom"/>
            <w:tcBorders>
              <w:top w:val="single" w:sz="8" w:color="auto"/>
            </w:tcBorders>
            <w:shd w:val="clear" w:color="auto" w:fill="CEFEE7"/>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1,786</w:t>
            </w:r>
          </w:p>
        </w:tc>
        <w:tc>
          <w:tcPr>
            <w:tcW w:w="100" w:type="dxa"/>
            <w:vAlign w:val="bottom"/>
            <w:tcBorders>
              <w:top w:val="single" w:sz="8" w:color="CEFEE7"/>
            </w:tcBorders>
            <w:shd w:val="clear" w:color="auto" w:fill="CEFEE7"/>
          </w:tcPr>
          <w:p>
            <w:pPr>
              <w:spacing w:after="0"/>
              <w:rPr>
                <w:sz w:val="18"/>
                <w:szCs w:val="18"/>
                <w:color w:val="auto"/>
              </w:rPr>
            </w:pPr>
          </w:p>
        </w:tc>
        <w:tc>
          <w:tcPr>
            <w:tcW w:w="260" w:type="dxa"/>
            <w:vAlign w:val="bottom"/>
            <w:tcBorders>
              <w:top w:val="single" w:sz="8" w:color="auto"/>
            </w:tcBorders>
            <w:shd w:val="clear" w:color="auto" w:fill="CEFEE7"/>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(4,270)</w:t>
            </w:r>
          </w:p>
        </w:tc>
        <w:tc>
          <w:tcPr>
            <w:tcW w:w="100" w:type="dxa"/>
            <w:vAlign w:val="bottom"/>
            <w:tcBorders>
              <w:top w:val="single" w:sz="8" w:color="CEFEE7"/>
            </w:tcBorders>
            <w:shd w:val="clear" w:color="auto" w:fill="CEFEE7"/>
          </w:tcPr>
          <w:p>
            <w:pPr>
              <w:spacing w:after="0"/>
              <w:rPr>
                <w:sz w:val="18"/>
                <w:szCs w:val="18"/>
                <w:color w:val="auto"/>
              </w:rPr>
            </w:pPr>
          </w:p>
        </w:tc>
        <w:tc>
          <w:tcPr>
            <w:tcW w:w="20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top w:val="single" w:sz="8" w:color="auto"/>
            </w:tcBorders>
            <w:shd w:val="clear" w:color="auto" w:fill="CEFEE7"/>
          </w:tcPr>
          <w:p>
            <w:pPr>
              <w:jc w:val="right"/>
              <w:spacing w:after="0"/>
              <w:rPr>
                <w:sz w:val="20"/>
                <w:szCs w:val="20"/>
                <w:color w:val="auto"/>
              </w:rPr>
            </w:pPr>
            <w:r>
              <w:rPr>
                <w:rFonts w:ascii="Arial" w:cs="Arial" w:eastAsia="Arial" w:hAnsi="Arial"/>
                <w:sz w:val="16"/>
                <w:szCs w:val="16"/>
                <w:color w:val="auto"/>
              </w:rPr>
              <w:t>6,029</w:t>
            </w:r>
          </w:p>
        </w:tc>
      </w:tr>
      <w:tr>
        <w:trPr>
          <w:trHeight w:val="210"/>
        </w:trPr>
        <w:tc>
          <w:tcPr>
            <w:tcW w:w="2100" w:type="dxa"/>
            <w:vAlign w:val="bottom"/>
          </w:tcPr>
          <w:p>
            <w:pPr>
              <w:jc w:val="right"/>
              <w:ind w:right="1639"/>
              <w:spacing w:after="0"/>
              <w:rPr>
                <w:sz w:val="20"/>
                <w:szCs w:val="20"/>
                <w:color w:val="auto"/>
              </w:rPr>
            </w:pPr>
            <w:r>
              <w:rPr>
                <w:rFonts w:ascii="Arial" w:cs="Arial" w:eastAsia="Arial" w:hAnsi="Arial"/>
                <w:sz w:val="16"/>
                <w:szCs w:val="16"/>
                <w:color w:val="auto"/>
              </w:rPr>
              <w:t>2020</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2,444</w:t>
            </w:r>
          </w:p>
        </w:tc>
        <w:tc>
          <w:tcPr>
            <w:tcW w:w="100" w:type="dxa"/>
            <w:vAlign w:val="bottom"/>
          </w:tcPr>
          <w:p>
            <w:pPr>
              <w:spacing w:after="0"/>
              <w:rPr>
                <w:sz w:val="18"/>
                <w:szCs w:val="18"/>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6,715</w:t>
            </w:r>
          </w:p>
        </w:tc>
        <w:tc>
          <w:tcPr>
            <w:tcW w:w="8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2,203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(3,777)</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7,585</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Materials, Supplies and Fuel</w:t>
      </w:r>
    </w:p>
    <w:p>
      <w:pPr>
        <w:spacing w:after="0" w:line="24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amounts by major classification are included in Materials, supplies and fuel on the accompanying Condensed Consolidated Balance Sheets (in thousands) as of:</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7100" w:type="dxa"/>
            <w:vAlign w:val="bottom"/>
            <w:tcBorders>
              <w:bottom w:val="single" w:sz="8" w:color="CEFFE7"/>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June 30, 2021</w:t>
            </w:r>
          </w:p>
        </w:tc>
        <w:tc>
          <w:tcPr>
            <w:tcW w:w="2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2020</w:t>
            </w:r>
          </w:p>
        </w:tc>
      </w:tr>
      <w:tr>
        <w:trPr>
          <w:trHeight w:val="212"/>
        </w:trPr>
        <w:tc>
          <w:tcPr>
            <w:tcW w:w="7100" w:type="dxa"/>
            <w:vAlign w:val="bottom"/>
            <w:shd w:val="clear" w:color="auto" w:fill="CEFFE7"/>
          </w:tcPr>
          <w:p>
            <w:pPr>
              <w:spacing w:after="0"/>
              <w:rPr>
                <w:sz w:val="20"/>
                <w:szCs w:val="20"/>
                <w:color w:val="auto"/>
              </w:rPr>
            </w:pPr>
            <w:r>
              <w:rPr>
                <w:rFonts w:ascii="Arial" w:cs="Arial" w:eastAsia="Arial" w:hAnsi="Arial"/>
                <w:sz w:val="16"/>
                <w:szCs w:val="16"/>
                <w:color w:val="auto"/>
              </w:rPr>
              <w:t>Materials and supplies</w:t>
            </w:r>
          </w:p>
        </w:tc>
        <w:tc>
          <w:tcPr>
            <w:tcW w:w="30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85,277</w:t>
            </w:r>
          </w:p>
        </w:tc>
        <w:tc>
          <w:tcPr>
            <w:tcW w:w="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85,250</w:t>
            </w:r>
          </w:p>
        </w:tc>
      </w:tr>
      <w:tr>
        <w:trPr>
          <w:trHeight w:val="213"/>
        </w:trPr>
        <w:tc>
          <w:tcPr>
            <w:tcW w:w="7100" w:type="dxa"/>
            <w:vAlign w:val="bottom"/>
          </w:tcPr>
          <w:p>
            <w:pPr>
              <w:spacing w:after="0"/>
              <w:rPr>
                <w:sz w:val="20"/>
                <w:szCs w:val="20"/>
                <w:color w:val="auto"/>
              </w:rPr>
            </w:pPr>
            <w:r>
              <w:rPr>
                <w:rFonts w:ascii="Arial" w:cs="Arial" w:eastAsia="Arial" w:hAnsi="Arial"/>
                <w:sz w:val="16"/>
                <w:szCs w:val="16"/>
                <w:color w:val="auto"/>
              </w:rPr>
              <w:t>Fuel - Electric Utilities</w:t>
            </w:r>
          </w:p>
        </w:tc>
        <w:tc>
          <w:tcPr>
            <w:tcW w:w="30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2,310</w:t>
            </w: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1,531</w:t>
            </w:r>
          </w:p>
        </w:tc>
      </w:tr>
      <w:tr>
        <w:trPr>
          <w:trHeight w:val="216"/>
        </w:trPr>
        <w:tc>
          <w:tcPr>
            <w:tcW w:w="7100" w:type="dxa"/>
            <w:vAlign w:val="bottom"/>
            <w:shd w:val="clear" w:color="auto" w:fill="CEFFE7"/>
          </w:tcPr>
          <w:p>
            <w:pPr>
              <w:spacing w:after="0"/>
              <w:rPr>
                <w:sz w:val="20"/>
                <w:szCs w:val="20"/>
                <w:color w:val="auto"/>
              </w:rPr>
            </w:pPr>
            <w:r>
              <w:rPr>
                <w:rFonts w:ascii="Arial" w:cs="Arial" w:eastAsia="Arial" w:hAnsi="Arial"/>
                <w:sz w:val="16"/>
                <w:szCs w:val="16"/>
                <w:color w:val="auto"/>
              </w:rPr>
              <w:t>Natural gas in storage</w:t>
            </w:r>
          </w:p>
        </w:tc>
        <w:tc>
          <w:tcPr>
            <w:tcW w:w="300" w:type="dxa"/>
            <w:vAlign w:val="bottom"/>
            <w:tcBorders>
              <w:bottom w:val="single" w:sz="8" w:color="auto"/>
            </w:tcBorders>
            <w:shd w:val="clear" w:color="auto" w:fill="CEFFE7"/>
          </w:tcPr>
          <w:p>
            <w:pPr>
              <w:spacing w:after="0"/>
              <w:rPr>
                <w:sz w:val="18"/>
                <w:szCs w:val="18"/>
                <w:color w:val="auto"/>
              </w:rPr>
            </w:pPr>
          </w:p>
        </w:tc>
        <w:tc>
          <w:tcPr>
            <w:tcW w:w="17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26,502</w:t>
            </w:r>
          </w:p>
        </w:tc>
        <w:tc>
          <w:tcPr>
            <w:tcW w:w="26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30,619</w:t>
            </w:r>
          </w:p>
        </w:tc>
      </w:tr>
      <w:tr>
        <w:trPr>
          <w:trHeight w:val="213"/>
        </w:trPr>
        <w:tc>
          <w:tcPr>
            <w:tcW w:w="7100" w:type="dxa"/>
            <w:vAlign w:val="bottom"/>
          </w:tcPr>
          <w:p>
            <w:pPr>
              <w:ind w:left="200"/>
              <w:spacing w:after="0"/>
              <w:rPr>
                <w:sz w:val="20"/>
                <w:szCs w:val="20"/>
                <w:color w:val="auto"/>
              </w:rPr>
            </w:pPr>
            <w:r>
              <w:rPr>
                <w:rFonts w:ascii="Arial" w:cs="Arial" w:eastAsia="Arial" w:hAnsi="Arial"/>
                <w:sz w:val="16"/>
                <w:szCs w:val="16"/>
                <w:color w:val="auto"/>
              </w:rPr>
              <w:t>Total materials, supplies and fuel</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114,089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117,400</w:t>
            </w:r>
          </w:p>
        </w:tc>
      </w:tr>
      <w:tr>
        <w:trPr>
          <w:trHeight w:val="20"/>
        </w:trPr>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Accrued Liabilities</w:t>
      </w:r>
    </w:p>
    <w:p>
      <w:pPr>
        <w:spacing w:after="0" w:line="248" w:lineRule="exact"/>
        <w:rPr>
          <w:sz w:val="20"/>
          <w:szCs w:val="20"/>
          <w:color w:val="auto"/>
        </w:rPr>
      </w:pPr>
    </w:p>
    <w:p>
      <w:pPr>
        <w:ind w:right="740"/>
        <w:spacing w:after="0" w:line="260" w:lineRule="auto"/>
        <w:rPr>
          <w:sz w:val="20"/>
          <w:szCs w:val="20"/>
          <w:color w:val="auto"/>
        </w:rPr>
      </w:pPr>
      <w:r>
        <w:rPr>
          <w:rFonts w:ascii="Arial" w:cs="Arial" w:eastAsia="Arial" w:hAnsi="Arial"/>
          <w:sz w:val="16"/>
          <w:szCs w:val="16"/>
          <w:color w:val="auto"/>
        </w:rPr>
        <w:t>The following amounts by major classification are included in Accrued liabilities on the accompanying Condensed Consolidated Balance Sheets (in thousands) as of:</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7240" w:type="dxa"/>
            <w:vAlign w:val="bottom"/>
            <w:tcBorders>
              <w:bottom w:val="single" w:sz="8" w:color="CEFFE7"/>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June 30, 2021</w:t>
            </w:r>
          </w:p>
        </w:tc>
        <w:tc>
          <w:tcPr>
            <w:tcW w:w="2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December 31, 2020</w:t>
            </w:r>
          </w:p>
        </w:tc>
      </w:tr>
      <w:tr>
        <w:trPr>
          <w:trHeight w:val="212"/>
        </w:trPr>
        <w:tc>
          <w:tcPr>
            <w:tcW w:w="7240" w:type="dxa"/>
            <w:vAlign w:val="bottom"/>
            <w:shd w:val="clear" w:color="auto" w:fill="CEFFE7"/>
          </w:tcPr>
          <w:p>
            <w:pPr>
              <w:ind w:left="20"/>
              <w:spacing w:after="0"/>
              <w:rPr>
                <w:sz w:val="20"/>
                <w:szCs w:val="20"/>
                <w:color w:val="auto"/>
              </w:rPr>
            </w:pPr>
            <w:r>
              <w:rPr>
                <w:rFonts w:ascii="Arial" w:cs="Arial" w:eastAsia="Arial" w:hAnsi="Arial"/>
                <w:sz w:val="16"/>
                <w:szCs w:val="16"/>
                <w:color w:val="auto"/>
              </w:rPr>
              <w:t>Accrued employee compensation, benefits and withholdings</w:t>
            </w:r>
          </w:p>
        </w:tc>
        <w:tc>
          <w:tcPr>
            <w:tcW w:w="30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69,067</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77,806</w:t>
            </w: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Accrued property taxes</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39,416</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47,105</w:t>
            </w:r>
          </w:p>
        </w:tc>
      </w:tr>
      <w:tr>
        <w:trPr>
          <w:trHeight w:val="219"/>
        </w:trPr>
        <w:tc>
          <w:tcPr>
            <w:tcW w:w="7240" w:type="dxa"/>
            <w:vAlign w:val="bottom"/>
            <w:shd w:val="clear" w:color="auto" w:fill="CEFFE7"/>
          </w:tcPr>
          <w:p>
            <w:pPr>
              <w:ind w:left="20"/>
              <w:spacing w:after="0"/>
              <w:rPr>
                <w:sz w:val="20"/>
                <w:szCs w:val="20"/>
                <w:color w:val="auto"/>
              </w:rPr>
            </w:pPr>
            <w:r>
              <w:rPr>
                <w:rFonts w:ascii="Arial" w:cs="Arial" w:eastAsia="Arial" w:hAnsi="Arial"/>
                <w:sz w:val="16"/>
                <w:szCs w:val="16"/>
                <w:color w:val="auto"/>
              </w:rPr>
              <w:t>Customer deposits and prepayments</w:t>
            </w:r>
          </w:p>
        </w:tc>
        <w:tc>
          <w:tcPr>
            <w:tcW w:w="300" w:type="dxa"/>
            <w:vAlign w:val="bottom"/>
            <w:shd w:val="clear" w:color="auto" w:fill="CEFFE7"/>
          </w:tcPr>
          <w:p>
            <w:pPr>
              <w:spacing w:after="0"/>
              <w:rPr>
                <w:sz w:val="19"/>
                <w:szCs w:val="19"/>
                <w:color w:val="auto"/>
              </w:rPr>
            </w:pPr>
          </w:p>
        </w:tc>
        <w:tc>
          <w:tcPr>
            <w:tcW w:w="1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47,583</w:t>
            </w:r>
          </w:p>
        </w:tc>
        <w:tc>
          <w:tcPr>
            <w:tcW w:w="220" w:type="dxa"/>
            <w:vAlign w:val="bottom"/>
            <w:shd w:val="clear" w:color="auto" w:fill="CEFFE7"/>
          </w:tcPr>
          <w:p>
            <w:pPr>
              <w:spacing w:after="0"/>
              <w:rPr>
                <w:sz w:val="19"/>
                <w:szCs w:val="19"/>
                <w:color w:val="auto"/>
              </w:rPr>
            </w:pPr>
          </w:p>
        </w:tc>
        <w:tc>
          <w:tcPr>
            <w:tcW w:w="1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52,185</w:t>
            </w: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31,762</w:t>
            </w: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31,520</w:t>
            </w:r>
          </w:p>
        </w:tc>
      </w:tr>
      <w:tr>
        <w:trPr>
          <w:trHeight w:val="216"/>
        </w:trPr>
        <w:tc>
          <w:tcPr>
            <w:tcW w:w="724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(none of which is individually significant)</w:t>
            </w:r>
          </w:p>
        </w:tc>
        <w:tc>
          <w:tcPr>
            <w:tcW w:w="300" w:type="dxa"/>
            <w:vAlign w:val="bottom"/>
            <w:tcBorders>
              <w:bottom w:val="single" w:sz="8" w:color="auto"/>
            </w:tcBorders>
            <w:shd w:val="clear" w:color="auto" w:fill="CEFFE7"/>
          </w:tcPr>
          <w:p>
            <w:pPr>
              <w:spacing w:after="0"/>
              <w:rPr>
                <w:sz w:val="18"/>
                <w:szCs w:val="18"/>
                <w:color w:val="auto"/>
              </w:rPr>
            </w:pP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31,194</w:t>
            </w:r>
          </w:p>
        </w:tc>
        <w:tc>
          <w:tcPr>
            <w:tcW w:w="220" w:type="dxa"/>
            <w:vAlign w:val="bottom"/>
            <w:tcBorders>
              <w:bottom w:val="single" w:sz="8" w:color="auto"/>
            </w:tcBorders>
            <w:shd w:val="clear" w:color="auto" w:fill="CEFFE7"/>
          </w:tcPr>
          <w:p>
            <w:pPr>
              <w:spacing w:after="0"/>
              <w:rPr>
                <w:sz w:val="18"/>
                <w:szCs w:val="18"/>
                <w:color w:val="auto"/>
              </w:rPr>
            </w:pPr>
          </w:p>
        </w:tc>
        <w:tc>
          <w:tcPr>
            <w:tcW w:w="1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34,996</w:t>
            </w:r>
          </w:p>
        </w:tc>
      </w:tr>
      <w:tr>
        <w:trPr>
          <w:trHeight w:val="213"/>
        </w:trPr>
        <w:tc>
          <w:tcPr>
            <w:tcW w:w="7240" w:type="dxa"/>
            <w:vAlign w:val="bottom"/>
          </w:tcPr>
          <w:p>
            <w:pPr>
              <w:ind w:left="220"/>
              <w:spacing w:after="0"/>
              <w:rPr>
                <w:sz w:val="20"/>
                <w:szCs w:val="20"/>
                <w:color w:val="auto"/>
              </w:rPr>
            </w:pPr>
            <w:r>
              <w:rPr>
                <w:rFonts w:ascii="Arial" w:cs="Arial" w:eastAsia="Arial" w:hAnsi="Arial"/>
                <w:sz w:val="16"/>
                <w:szCs w:val="16"/>
                <w:color w:val="auto"/>
              </w:rPr>
              <w:t>Total accrued liabilities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219,022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243,612</w:t>
            </w:r>
          </w:p>
        </w:tc>
      </w:tr>
      <w:tr>
        <w:trPr>
          <w:trHeight w:val="20"/>
        </w:trPr>
        <w:tc>
          <w:tcPr>
            <w:tcW w:w="7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480" w:hanging="472"/>
        <w:spacing w:after="0"/>
        <w:tabs>
          <w:tab w:leader="none" w:pos="48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Subsequent Events</w:t>
      </w:r>
    </w:p>
    <w:p>
      <w:pPr>
        <w:spacing w:after="0" w:line="268" w:lineRule="exact"/>
        <w:rPr>
          <w:sz w:val="20"/>
          <w:szCs w:val="20"/>
          <w:color w:val="auto"/>
        </w:rPr>
      </w:pPr>
    </w:p>
    <w:p>
      <w:pPr>
        <w:ind w:right="22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We evaluated all subsequent event activity and concluded that no subsequent events have occurred that would require recognition in the condensed consolidated financial statements or disclosures, with the exception of Colorado Gas regulatory activity disclosed in </w:t>
      </w:r>
      <w:hyperlink w:anchor="page15">
        <w:r>
          <w:rPr>
            <w:rFonts w:ascii="Arial" w:cs="Arial" w:eastAsia="Arial" w:hAnsi="Arial"/>
            <w:sz w:val="16"/>
            <w:szCs w:val="16"/>
            <w:u w:val="single" w:color="auto"/>
            <w:color w:val="0000FF"/>
          </w:rPr>
          <w:t>Note 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our amended and restated corporate Revolving Credit Facility disclosed in </w:t>
      </w:r>
      <w:hyperlink w:anchor="page19">
        <w:r>
          <w:rPr>
            <w:rFonts w:ascii="Arial" w:cs="Arial" w:eastAsia="Arial" w:hAnsi="Arial"/>
            <w:sz w:val="16"/>
            <w:szCs w:val="16"/>
            <w:u w:val="single" w:color="auto"/>
            <w:color w:val="0000FF"/>
          </w:rPr>
          <w:t>Note 5</w:t>
        </w:r>
      </w:hyperlink>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77"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following discussions should be read in conjunction with the Notes contained herein and Management's Discussion and Analysis of Financial Condition and Results of Operations appearing in the 2020 Form 10-K.</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Executive Summary</w:t>
      </w:r>
    </w:p>
    <w:p>
      <w:pPr>
        <w:spacing w:after="0" w:line="268" w:lineRule="exact"/>
        <w:rPr>
          <w:sz w:val="20"/>
          <w:szCs w:val="20"/>
          <w:color w:val="auto"/>
        </w:rPr>
      </w:pPr>
    </w:p>
    <w:p>
      <w:pPr>
        <w:jc w:val="both"/>
        <w:ind w:right="400"/>
        <w:spacing w:after="0" w:line="253" w:lineRule="auto"/>
        <w:rPr>
          <w:sz w:val="20"/>
          <w:szCs w:val="20"/>
          <w:color w:val="auto"/>
        </w:rPr>
      </w:pPr>
      <w:r>
        <w:rPr>
          <w:rFonts w:ascii="Arial" w:cs="Arial" w:eastAsia="Arial" w:hAnsi="Arial"/>
          <w:sz w:val="16"/>
          <w:szCs w:val="16"/>
          <w:color w:val="auto"/>
        </w:rPr>
        <w:t>We are a customer-focused, growth-oriented electric and natural gas utility company with a mission of Improving Life with Energy and a vision to be the Energy Partner of Choice. The Company provides electric and natural gas utility service to 1.3 million customers over 800 communities in eight states, including Arkansas, Colorado, Iowa, Kansas, Montana, Nebraska, South Dakota and Wyoming.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Recent Developments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Winter Storm Uri</w:t>
      </w:r>
    </w:p>
    <w:p>
      <w:pPr>
        <w:spacing w:after="0" w:line="268"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In February 2021, a prolonged period of historic cold temperatures across the central United States, which covered all of our Utilities’ service territories, caused a substantial increase in heating and energy demand and contributed to unforeseeable and unprecedented market prices for natural gas and electricity. As a result of Winter Storm Uri, we incurred significant incremental natural gas and fuel costs.</w:t>
      </w:r>
    </w:p>
    <w:p>
      <w:pPr>
        <w:spacing w:after="0" w:line="228" w:lineRule="exact"/>
        <w:rPr>
          <w:sz w:val="20"/>
          <w:szCs w:val="20"/>
          <w:color w:val="auto"/>
        </w:rPr>
      </w:pPr>
    </w:p>
    <w:p>
      <w:pPr>
        <w:ind w:right="2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On February 24, 2021, we entered into a nine-month, $800 million unsecured term loan to provide additional liquidity and meet our cash needs related to the incremental fuel, purchased power and natural gas costs from Winter Storm Uri. See </w:t>
      </w:r>
      <w:hyperlink w:anchor="page19">
        <w:r>
          <w:rPr>
            <w:rFonts w:ascii="Arial" w:cs="Arial" w:eastAsia="Arial" w:hAnsi="Arial"/>
            <w:sz w:val="16"/>
            <w:szCs w:val="16"/>
            <w:u w:val="single" w:color="auto"/>
            <w:color w:val="0000FF"/>
          </w:rPr>
          <w:t>Note 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for further term loan information.</w:t>
      </w:r>
    </w:p>
    <w:p>
      <w:pPr>
        <w:spacing w:after="0" w:line="228" w:lineRule="exact"/>
        <w:rPr>
          <w:sz w:val="20"/>
          <w:szCs w:val="20"/>
          <w:color w:val="auto"/>
        </w:rPr>
      </w:pPr>
    </w:p>
    <w:p>
      <w:pPr>
        <w:jc w:val="both"/>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During the second quarter, our Utilities submitted cost recovery applications with the utility commissions in our state jurisdictions to recover incremental costs associated with Winter Storm Uri. See </w:t>
      </w:r>
      <w:hyperlink w:anchor="page15">
        <w:r>
          <w:rPr>
            <w:rFonts w:ascii="Arial" w:cs="Arial" w:eastAsia="Arial" w:hAnsi="Arial"/>
            <w:sz w:val="16"/>
            <w:szCs w:val="16"/>
            <w:u w:val="single" w:color="auto"/>
            <w:color w:val="0000FF"/>
          </w:rPr>
          <w:t>Note 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for further information on our regulatory activity.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Update</w:t>
      </w:r>
    </w:p>
    <w:p>
      <w:pPr>
        <w:spacing w:after="0" w:line="2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 xml:space="preserve">For the six months ended June 30, 2021, we did not experience significant impacts to our financial results, liquidity or operational activities due to COVID-19. We continue to monitor loads, customers’ ability to pay, the potential for supply chain disruption that may impact our capital and maintenance project plans, the availability of third-party resources to execute our business plans and the capital markets to ensure we have the liquidity necessary to support our financial needs. </w:t>
      </w:r>
      <w:r>
        <w:rPr>
          <w:rFonts w:ascii="Arial" w:cs="Arial" w:eastAsia="Arial" w:hAnsi="Arial"/>
          <w:sz w:val="16"/>
          <w:szCs w:val="16"/>
          <w:color w:val="212529"/>
        </w:rPr>
        <w:t>State Orders lifting temporarily suspended disconnections have been issued in all of our jurisdictions.</w:t>
      </w:r>
    </w:p>
    <w:p>
      <w:pPr>
        <w:spacing w:after="0" w:line="229"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We continue to provide periodic status updates and maintain ongoing dialogue with the regulatory commissions in our jurisdictions regarding our right to preserve deferred regulatory treatment for certain COVID-19 related costs and to seek recovery of these costs at a later date.</w:t>
      </w:r>
    </w:p>
    <w:p>
      <w:pPr>
        <w:spacing w:after="0" w:line="222"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As we look forward, our operating results from COVID-19 could be affected as discussed in the “Risk Factors” section in Part I, Item 1A of our 2020 Annual Report on Form 10-K.</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 Highlights and Corporate Activity</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Electric Utilities</w:t>
      </w:r>
    </w:p>
    <w:p>
      <w:pPr>
        <w:spacing w:after="0" w:line="248"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July 28, 2021, Wyoming Electric set a new all-time and summer peak load of 274 MW, exceeding the previous peak of 271 MW set in July 2020.</w:t>
      </w:r>
    </w:p>
    <w:p>
      <w:pPr>
        <w:spacing w:after="0" w:line="248" w:lineRule="exact"/>
        <w:rPr>
          <w:rFonts w:ascii="Arial" w:cs="Arial" w:eastAsia="Arial" w:hAnsi="Arial"/>
          <w:sz w:val="16"/>
          <w:szCs w:val="16"/>
          <w:color w:val="auto"/>
        </w:rPr>
      </w:pPr>
    </w:p>
    <w:p>
      <w:pPr>
        <w:ind w:left="660" w:right="480" w:hanging="328"/>
        <w:spacing w:after="0" w:line="260"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July 27, 2021, South Dakota Electric set a new all-time and summer peak load of 397 MW, exceeding the previous peak of 378 MW set in August 2020.</w:t>
      </w:r>
    </w:p>
    <w:p>
      <w:pPr>
        <w:spacing w:after="0" w:line="222" w:lineRule="exact"/>
        <w:rPr>
          <w:rFonts w:ascii="Arial" w:cs="Arial" w:eastAsia="Arial" w:hAnsi="Arial"/>
          <w:sz w:val="16"/>
          <w:szCs w:val="16"/>
          <w:color w:val="auto"/>
        </w:rPr>
      </w:pPr>
    </w:p>
    <w:p>
      <w:pPr>
        <w:ind w:left="660" w:hanging="328"/>
        <w:spacing w:after="0" w:line="249"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June 30, 2021, South Dakota Electric and Wyoming Electric submitted an IRP to the SDPUC and WPSC. The IRP outlines a range of options for the two electric utilities to meet long-term forecasted energy needs over a 20-year planning horizon while strengthening reliability and resiliency of the grid. The analysis focused on the least-cost resource needs to best meet customers’ future peak energy needs while maintaining system flexibility and achieving the Company’s generation emissions reduction goals. The IRP’s preferred options for the near-term planning period through 2026 propose the addition of 100 MW of renewable generation, the conversion of Neil Simpson II to natural gas in 2025 and consideration of up to 20 MW of battery storage.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20" w:hanging="328"/>
        <w:spacing w:after="0" w:line="249"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February 19, 2021, Colorado Electric entered into a PPA with TC Colorado Solar, LLC to purchase up to 200 MW of renewable energy upon construction of a new solar facility, to be owned by TC Colorado Solar, LLC, which is expected to be completed by the end of 2023. This agreement will expire 15 years after construction completion. The utility-scale solar project represents Colorado Electric’s preferred bid in a competitive solicitation process completed in September 2020 through its Renewable Advantage plan. With the addition of 200 MW of solar energy on its system, more than half of Colorado Electric’s generation is forecasted to be sourced from renewable energy resources by 2023, leading to a 70% reduction in carbon emissions by 2024 compared to the 2005 base year.</w:t>
      </w:r>
    </w:p>
    <w:p>
      <w:pPr>
        <w:spacing w:after="0" w:line="231" w:lineRule="exact"/>
        <w:rPr>
          <w:rFonts w:ascii="Arial" w:cs="Arial" w:eastAsia="Arial" w:hAnsi="Arial"/>
          <w:sz w:val="16"/>
          <w:szCs w:val="16"/>
          <w:color w:val="auto"/>
        </w:rPr>
      </w:pPr>
    </w:p>
    <w:p>
      <w:pPr>
        <w:ind w:left="660" w:right="600" w:hanging="328"/>
        <w:spacing w:after="0" w:line="26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February 11, 2021, South Dakota Electric set a new winter peak load of 326 MW, surpassing the previous winter peak of 320 MW set in February 2019.</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Utilities</w:t>
      </w:r>
    </w:p>
    <w:p>
      <w:pPr>
        <w:spacing w:after="0" w:line="248" w:lineRule="exact"/>
        <w:rPr>
          <w:sz w:val="20"/>
          <w:szCs w:val="20"/>
          <w:color w:val="auto"/>
        </w:rPr>
      </w:pPr>
    </w:p>
    <w:p>
      <w:pPr>
        <w:ind w:right="3260" w:firstLine="332"/>
        <w:spacing w:after="0" w:line="563" w:lineRule="auto"/>
        <w:tabs>
          <w:tab w:leader="none" w:pos="637"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See </w:t>
      </w:r>
      <w:hyperlink w:anchor="page15">
        <w:r>
          <w:rPr>
            <w:rFonts w:ascii="Arial" w:cs="Arial" w:eastAsia="Arial" w:hAnsi="Arial"/>
            <w:sz w:val="16"/>
            <w:szCs w:val="16"/>
            <w:u w:val="single" w:color="auto"/>
            <w:color w:val="0000FF"/>
          </w:rPr>
          <w:t>Note 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recent regulatory activity for our Gas Utilities in Colorado, Iowa, Kansas and Nebraska. </w:t>
      </w:r>
      <w:r>
        <w:rPr>
          <w:rFonts w:ascii="Arial" w:cs="Arial" w:eastAsia="Arial" w:hAnsi="Arial"/>
          <w:sz w:val="16"/>
          <w:szCs w:val="16"/>
          <w:u w:val="single" w:color="auto"/>
          <w:color w:val="auto"/>
        </w:rPr>
        <w:t>Corporate and Other</w:t>
      </w: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On July 19, 2021, we amended and restated our corporate Revolving Credit Facility. See </w:t>
      </w:r>
      <w:hyperlink w:anchor="page19">
        <w:r>
          <w:rPr>
            <w:rFonts w:ascii="Arial" w:cs="Arial" w:eastAsia="Arial" w:hAnsi="Arial"/>
            <w:sz w:val="16"/>
            <w:szCs w:val="16"/>
            <w:u w:val="single" w:color="auto"/>
            <w:color w:val="0000FF"/>
          </w:rPr>
          <w:t>Note 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further information.</w:t>
      </w:r>
    </w:p>
    <w:p>
      <w:pPr>
        <w:spacing w:after="0" w:line="200" w:lineRule="exact"/>
        <w:rPr>
          <w:rFonts w:ascii="Arial" w:cs="Arial" w:eastAsia="Arial" w:hAnsi="Arial"/>
          <w:sz w:val="16"/>
          <w:szCs w:val="16"/>
          <w:color w:val="auto"/>
        </w:rPr>
      </w:pPr>
    </w:p>
    <w:p>
      <w:pPr>
        <w:spacing w:after="0" w:line="271" w:lineRule="exact"/>
        <w:rPr>
          <w:rFonts w:ascii="Arial" w:cs="Arial" w:eastAsia="Arial" w:hAnsi="Arial"/>
          <w:sz w:val="16"/>
          <w:szCs w:val="16"/>
          <w:color w:val="auto"/>
        </w:rPr>
      </w:pPr>
    </w:p>
    <w:p>
      <w:pPr>
        <w:jc w:val="center"/>
        <w:ind w:right="-39"/>
        <w:spacing w:after="0"/>
        <w:rPr>
          <w:sz w:val="20"/>
          <w:szCs w:val="20"/>
          <w:color w:val="auto"/>
        </w:rPr>
      </w:pPr>
      <w:r>
        <w:rPr>
          <w:rFonts w:ascii="Arial" w:cs="Arial" w:eastAsia="Arial" w:hAnsi="Arial"/>
          <w:sz w:val="16"/>
          <w:szCs w:val="16"/>
          <w:b w:val="1"/>
          <w:bCs w:val="1"/>
          <w:color w:val="auto"/>
        </w:rPr>
        <w:t>Results of Operations</w:t>
      </w:r>
    </w:p>
    <w:p>
      <w:pPr>
        <w:spacing w:after="0" w:line="268" w:lineRule="exact"/>
        <w:rPr>
          <w:rFonts w:ascii="Arial" w:cs="Arial" w:eastAsia="Arial" w:hAnsi="Arial"/>
          <w:sz w:val="16"/>
          <w:szCs w:val="16"/>
          <w:color w:val="auto"/>
        </w:rPr>
      </w:pPr>
    </w:p>
    <w:p>
      <w:pPr>
        <w:ind w:right="100"/>
        <w:spacing w:after="0" w:line="260" w:lineRule="auto"/>
        <w:rPr>
          <w:sz w:val="20"/>
          <w:szCs w:val="20"/>
          <w:color w:val="auto"/>
        </w:rPr>
      </w:pPr>
      <w:r>
        <w:rPr>
          <w:rFonts w:ascii="Arial" w:cs="Arial" w:eastAsia="Arial" w:hAnsi="Arial"/>
          <w:sz w:val="16"/>
          <w:szCs w:val="16"/>
          <w:color w:val="auto"/>
        </w:rPr>
        <w:t>The segment information does not include inter-company eliminations. Minor differences in amounts may result due to rounding. All amounts are presented on a pre-tax basis unless otherwise indicated.</w:t>
      </w:r>
    </w:p>
    <w:p>
      <w:pPr>
        <w:spacing w:after="0" w:line="222" w:lineRule="exact"/>
        <w:rPr>
          <w:rFonts w:ascii="Arial" w:cs="Arial" w:eastAsia="Arial" w:hAnsi="Arial"/>
          <w:sz w:val="16"/>
          <w:szCs w:val="16"/>
          <w:color w:val="auto"/>
        </w:rPr>
      </w:pPr>
    </w:p>
    <w:p>
      <w:pPr>
        <w:ind w:right="120"/>
        <w:spacing w:after="0" w:line="249" w:lineRule="auto"/>
        <w:rPr>
          <w:sz w:val="20"/>
          <w:szCs w:val="20"/>
          <w:color w:val="auto"/>
        </w:rPr>
      </w:pPr>
      <w:r>
        <w:rPr>
          <w:rFonts w:ascii="Arial" w:cs="Arial" w:eastAsia="Arial" w:hAnsi="Arial"/>
          <w:sz w:val="16"/>
          <w:szCs w:val="16"/>
          <w:color w:val="auto"/>
        </w:rPr>
        <w:t>Certain lines of business in which we operate are highly seasonal, and revenue from, and certain expenses for, such operations may fluctuate significantly among quarterly periods. Demand for electricity and natural gas is sensitive to seasonal cooling, heating and industrial load requirements. In particular, the normal peak usage season for our Electric Utilities is June through August while the normal peak usage season for our Gas Utilities is November through March. Significant earnings variances can be expected between the Gas Utilities segment’s peak and off-peak seasons. Due to this seasonal nature, our results of operations for the three and six months ended June 30, 2021 and 2020, and our financial condition as of June 30, 2021 and December 31, 2020, are not necessarily indicative of the results of operations and financial condition to be expected as of or for any other period or for the entire year.</w:t>
      </w:r>
    </w:p>
    <w:p>
      <w:pPr>
        <w:spacing w:after="0" w:line="212"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Pr>
          <w:p>
            <w:pPr>
              <w:spacing w:after="0"/>
              <w:rPr>
                <w:sz w:val="20"/>
                <w:szCs w:val="20"/>
                <w:color w:val="auto"/>
              </w:rPr>
            </w:pPr>
            <w:r>
              <w:rPr>
                <w:rFonts w:ascii="Arial" w:cs="Arial" w:eastAsia="Arial" w:hAnsi="Arial"/>
                <w:sz w:val="16"/>
                <w:szCs w:val="16"/>
                <w:b w:val="1"/>
                <w:bCs w:val="1"/>
                <w:color w:val="auto"/>
              </w:rPr>
              <w:t>Consolidated Summary and Overview</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580" w:type="dxa"/>
            <w:vAlign w:val="bottom"/>
          </w:tcPr>
          <w:p>
            <w:pPr>
              <w:spacing w:after="0"/>
              <w:rPr>
                <w:sz w:val="24"/>
                <w:szCs w:val="24"/>
                <w:color w:val="auto"/>
              </w:rPr>
            </w:pPr>
          </w:p>
        </w:tc>
        <w:tc>
          <w:tcPr>
            <w:tcW w:w="3300" w:type="dxa"/>
            <w:vAlign w:val="bottom"/>
            <w:gridSpan w:val="4"/>
          </w:tcPr>
          <w:p>
            <w:pPr>
              <w:jc w:val="right"/>
              <w:ind w:right="479"/>
              <w:spacing w:after="0"/>
              <w:rPr>
                <w:sz w:val="20"/>
                <w:szCs w:val="20"/>
                <w:color w:val="auto"/>
              </w:rPr>
            </w:pPr>
            <w:r>
              <w:rPr>
                <w:rFonts w:ascii="Arial" w:cs="Arial" w:eastAsia="Arial" w:hAnsi="Arial"/>
                <w:sz w:val="16"/>
                <w:szCs w:val="16"/>
                <w:color w:val="auto"/>
              </w:rPr>
              <w:t>Three Months Ended June 30,</w:t>
            </w:r>
          </w:p>
        </w:tc>
        <w:tc>
          <w:tcPr>
            <w:tcW w:w="380" w:type="dxa"/>
            <w:vAlign w:val="bottom"/>
          </w:tcPr>
          <w:p>
            <w:pPr>
              <w:spacing w:after="0"/>
              <w:rPr>
                <w:sz w:val="24"/>
                <w:szCs w:val="24"/>
                <w:color w:val="auto"/>
              </w:rPr>
            </w:pPr>
          </w:p>
        </w:tc>
        <w:tc>
          <w:tcPr>
            <w:tcW w:w="2940" w:type="dxa"/>
            <w:vAlign w:val="bottom"/>
            <w:gridSpan w:val="3"/>
          </w:tcPr>
          <w:p>
            <w:pPr>
              <w:jc w:val="right"/>
              <w:ind w:right="599"/>
              <w:spacing w:after="0"/>
              <w:rPr>
                <w:sz w:val="20"/>
                <w:szCs w:val="20"/>
                <w:color w:val="auto"/>
              </w:rPr>
            </w:pPr>
            <w:r>
              <w:rPr>
                <w:rFonts w:ascii="Arial" w:cs="Arial" w:eastAsia="Arial" w:hAnsi="Arial"/>
                <w:sz w:val="16"/>
                <w:szCs w:val="16"/>
                <w:color w:val="auto"/>
              </w:rPr>
              <w:t>Six Months Ended June 30,</w:t>
            </w:r>
          </w:p>
        </w:tc>
        <w:tc>
          <w:tcPr>
            <w:tcW w:w="0" w:type="dxa"/>
            <w:vAlign w:val="bottom"/>
          </w:tcPr>
          <w:p>
            <w:pPr>
              <w:spacing w:after="0"/>
              <w:rPr>
                <w:sz w:val="1"/>
                <w:szCs w:val="1"/>
                <w:color w:val="auto"/>
              </w:rPr>
            </w:pPr>
          </w:p>
        </w:tc>
      </w:tr>
      <w:tr>
        <w:trPr>
          <w:trHeight w:val="219"/>
        </w:trPr>
        <w:tc>
          <w:tcPr>
            <w:tcW w:w="45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6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2020</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09"/>
        </w:trPr>
        <w:tc>
          <w:tcPr>
            <w:tcW w:w="4580" w:type="dxa"/>
            <w:vAlign w:val="bottom"/>
            <w:tcBorders>
              <w:bottom w:val="single" w:sz="8" w:color="CEFFE7"/>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color w:val="auto"/>
              </w:rPr>
              <w:t>(in thousands, except per share amounts)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580" w:type="dxa"/>
            <w:vAlign w:val="bottom"/>
            <w:shd w:val="clear" w:color="auto" w:fill="CEFFE7"/>
          </w:tcPr>
          <w:p>
            <w:pPr>
              <w:ind w:left="20"/>
              <w:spacing w:after="0" w:line="199" w:lineRule="exact"/>
              <w:rPr>
                <w:sz w:val="20"/>
                <w:szCs w:val="20"/>
                <w:color w:val="auto"/>
              </w:rPr>
            </w:pPr>
            <w:r>
              <w:rPr>
                <w:rFonts w:ascii="Arial" w:cs="Arial" w:eastAsia="Arial" w:hAnsi="Arial"/>
                <w:sz w:val="16"/>
                <w:szCs w:val="16"/>
                <w:color w:val="auto"/>
              </w:rPr>
              <w:t xml:space="preserve">Adjusted operating income </w:t>
            </w:r>
            <w:r>
              <w:rPr>
                <w:rFonts w:ascii="Arial" w:cs="Arial" w:eastAsia="Arial" w:hAnsi="Arial"/>
                <w:sz w:val="21"/>
                <w:szCs w:val="21"/>
                <w:color w:val="auto"/>
                <w:vertAlign w:val="superscript"/>
              </w:rPr>
              <w:t>(a):</w:t>
            </w:r>
          </w:p>
        </w:tc>
        <w:tc>
          <w:tcPr>
            <w:tcW w:w="1020" w:type="dxa"/>
            <w:vAlign w:val="bottom"/>
            <w:shd w:val="clear" w:color="auto" w:fill="CEFFE7"/>
          </w:tcPr>
          <w:p>
            <w:pPr>
              <w:spacing w:after="0"/>
              <w:rPr>
                <w:sz w:val="17"/>
                <w:szCs w:val="17"/>
                <w:color w:val="auto"/>
              </w:rPr>
            </w:pPr>
          </w:p>
        </w:tc>
        <w:tc>
          <w:tcPr>
            <w:tcW w:w="620" w:type="dxa"/>
            <w:vAlign w:val="bottom"/>
            <w:shd w:val="clear" w:color="auto" w:fill="CEFFE7"/>
          </w:tcPr>
          <w:p>
            <w:pPr>
              <w:spacing w:after="0"/>
              <w:rPr>
                <w:sz w:val="17"/>
                <w:szCs w:val="17"/>
                <w:color w:val="auto"/>
              </w:rPr>
            </w:pPr>
          </w:p>
        </w:tc>
        <w:tc>
          <w:tcPr>
            <w:tcW w:w="140" w:type="dxa"/>
            <w:vAlign w:val="bottom"/>
            <w:shd w:val="clear" w:color="auto" w:fill="CEFFE7"/>
          </w:tcPr>
          <w:p>
            <w:pPr>
              <w:spacing w:after="0"/>
              <w:rPr>
                <w:sz w:val="17"/>
                <w:szCs w:val="17"/>
                <w:color w:val="auto"/>
              </w:rPr>
            </w:pPr>
          </w:p>
        </w:tc>
        <w:tc>
          <w:tcPr>
            <w:tcW w:w="1520" w:type="dxa"/>
            <w:vAlign w:val="bottom"/>
            <w:shd w:val="clear" w:color="auto" w:fill="CEFFE7"/>
          </w:tcPr>
          <w:p>
            <w:pPr>
              <w:spacing w:after="0"/>
              <w:rPr>
                <w:sz w:val="17"/>
                <w:szCs w:val="17"/>
                <w:color w:val="auto"/>
              </w:rPr>
            </w:pPr>
          </w:p>
        </w:tc>
        <w:tc>
          <w:tcPr>
            <w:tcW w:w="380" w:type="dxa"/>
            <w:vAlign w:val="bottom"/>
            <w:shd w:val="clear" w:color="auto" w:fill="CEFFE7"/>
          </w:tcPr>
          <w:p>
            <w:pPr>
              <w:spacing w:after="0"/>
              <w:rPr>
                <w:sz w:val="17"/>
                <w:szCs w:val="17"/>
                <w:color w:val="auto"/>
              </w:rPr>
            </w:pPr>
          </w:p>
        </w:tc>
        <w:tc>
          <w:tcPr>
            <w:tcW w:w="1280" w:type="dxa"/>
            <w:vAlign w:val="bottom"/>
            <w:shd w:val="clear" w:color="auto" w:fill="CEFFE7"/>
          </w:tcPr>
          <w:p>
            <w:pPr>
              <w:spacing w:after="0"/>
              <w:rPr>
                <w:sz w:val="17"/>
                <w:szCs w:val="17"/>
                <w:color w:val="auto"/>
              </w:rPr>
            </w:pPr>
          </w:p>
        </w:tc>
        <w:tc>
          <w:tcPr>
            <w:tcW w:w="380" w:type="dxa"/>
            <w:vAlign w:val="bottom"/>
            <w:shd w:val="clear" w:color="auto" w:fill="CEFFE7"/>
          </w:tcPr>
          <w:p>
            <w:pPr>
              <w:spacing w:after="0"/>
              <w:rPr>
                <w:sz w:val="17"/>
                <w:szCs w:val="17"/>
                <w:color w:val="auto"/>
              </w:rPr>
            </w:pPr>
          </w:p>
        </w:tc>
        <w:tc>
          <w:tcPr>
            <w:tcW w:w="128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80" w:type="dxa"/>
            <w:vAlign w:val="bottom"/>
          </w:tcPr>
          <w:p>
            <w:pPr>
              <w:ind w:left="260"/>
              <w:spacing w:after="0"/>
              <w:rPr>
                <w:sz w:val="20"/>
                <w:szCs w:val="20"/>
                <w:color w:val="auto"/>
              </w:rPr>
            </w:pPr>
            <w:r>
              <w:rPr>
                <w:rFonts w:ascii="Arial" w:cs="Arial" w:eastAsia="Arial" w:hAnsi="Arial"/>
                <w:sz w:val="16"/>
                <w:szCs w:val="16"/>
                <w:color w:val="auto"/>
              </w:rPr>
              <w:t>Electric Utilities</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35,568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33,993</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57,381</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69,643</w:t>
            </w:r>
          </w:p>
        </w:tc>
        <w:tc>
          <w:tcPr>
            <w:tcW w:w="0" w:type="dxa"/>
            <w:vAlign w:val="bottom"/>
          </w:tcPr>
          <w:p>
            <w:pPr>
              <w:spacing w:after="0"/>
              <w:rPr>
                <w:sz w:val="1"/>
                <w:szCs w:val="1"/>
                <w:color w:val="auto"/>
              </w:rPr>
            </w:pPr>
          </w:p>
        </w:tc>
      </w:tr>
      <w:tr>
        <w:trPr>
          <w:trHeight w:val="219"/>
        </w:trPr>
        <w:tc>
          <w:tcPr>
            <w:tcW w:w="4580" w:type="dxa"/>
            <w:vAlign w:val="bottom"/>
            <w:shd w:val="clear" w:color="auto" w:fill="CEFFE7"/>
          </w:tcPr>
          <w:p>
            <w:pPr>
              <w:ind w:left="260"/>
              <w:spacing w:after="0"/>
              <w:rPr>
                <w:sz w:val="20"/>
                <w:szCs w:val="20"/>
                <w:color w:val="auto"/>
              </w:rPr>
            </w:pPr>
            <w:r>
              <w:rPr>
                <w:rFonts w:ascii="Arial" w:cs="Arial" w:eastAsia="Arial" w:hAnsi="Arial"/>
                <w:sz w:val="16"/>
                <w:szCs w:val="16"/>
                <w:color w:val="auto"/>
              </w:rPr>
              <w:t>Gas Utilities</w:t>
            </w:r>
          </w:p>
        </w:tc>
        <w:tc>
          <w:tcPr>
            <w:tcW w:w="1020" w:type="dxa"/>
            <w:vAlign w:val="bottom"/>
            <w:shd w:val="clear" w:color="auto" w:fill="CEFFE7"/>
          </w:tcPr>
          <w:p>
            <w:pPr>
              <w:spacing w:after="0"/>
              <w:rPr>
                <w:sz w:val="19"/>
                <w:szCs w:val="19"/>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19,985</w:t>
            </w:r>
          </w:p>
        </w:tc>
        <w:tc>
          <w:tcPr>
            <w:tcW w:w="140" w:type="dxa"/>
            <w:vAlign w:val="bottom"/>
            <w:shd w:val="clear" w:color="auto" w:fill="CEFFE7"/>
          </w:tcPr>
          <w:p>
            <w:pPr>
              <w:spacing w:after="0"/>
              <w:rPr>
                <w:sz w:val="19"/>
                <w:szCs w:val="19"/>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18,209</w:t>
            </w:r>
          </w:p>
        </w:tc>
        <w:tc>
          <w:tcPr>
            <w:tcW w:w="380" w:type="dxa"/>
            <w:vAlign w:val="bottom"/>
            <w:shd w:val="clear" w:color="auto" w:fill="CEFFE7"/>
          </w:tcPr>
          <w:p>
            <w:pPr>
              <w:spacing w:after="0"/>
              <w:rPr>
                <w:sz w:val="19"/>
                <w:szCs w:val="19"/>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122,079</w:t>
            </w:r>
          </w:p>
        </w:tc>
        <w:tc>
          <w:tcPr>
            <w:tcW w:w="380" w:type="dxa"/>
            <w:vAlign w:val="bottom"/>
            <w:shd w:val="clear" w:color="auto" w:fill="CEFFE7"/>
          </w:tcPr>
          <w:p>
            <w:pPr>
              <w:spacing w:after="0"/>
              <w:rPr>
                <w:sz w:val="19"/>
                <w:szCs w:val="19"/>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121,106</w:t>
            </w:r>
          </w:p>
        </w:tc>
        <w:tc>
          <w:tcPr>
            <w:tcW w:w="0" w:type="dxa"/>
            <w:vAlign w:val="bottom"/>
          </w:tcPr>
          <w:p>
            <w:pPr>
              <w:spacing w:after="0"/>
              <w:rPr>
                <w:sz w:val="1"/>
                <w:szCs w:val="1"/>
                <w:color w:val="auto"/>
              </w:rPr>
            </w:pPr>
          </w:p>
        </w:tc>
      </w:tr>
      <w:tr>
        <w:trPr>
          <w:trHeight w:val="213"/>
        </w:trPr>
        <w:tc>
          <w:tcPr>
            <w:tcW w:w="4580" w:type="dxa"/>
            <w:vAlign w:val="bottom"/>
          </w:tcPr>
          <w:p>
            <w:pPr>
              <w:ind w:left="260"/>
              <w:spacing w:after="0"/>
              <w:rPr>
                <w:sz w:val="20"/>
                <w:szCs w:val="20"/>
                <w:color w:val="auto"/>
              </w:rPr>
            </w:pPr>
            <w:r>
              <w:rPr>
                <w:rFonts w:ascii="Arial" w:cs="Arial" w:eastAsia="Arial" w:hAnsi="Arial"/>
                <w:sz w:val="16"/>
                <w:szCs w:val="16"/>
                <w:color w:val="auto"/>
              </w:rPr>
              <w:t>Power Generation</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8,250</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11,402</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22,519</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22,751</w:t>
            </w:r>
          </w:p>
        </w:tc>
        <w:tc>
          <w:tcPr>
            <w:tcW w:w="0" w:type="dxa"/>
            <w:vAlign w:val="bottom"/>
          </w:tcPr>
          <w:p>
            <w:pPr>
              <w:spacing w:after="0"/>
              <w:rPr>
                <w:sz w:val="1"/>
                <w:szCs w:val="1"/>
                <w:color w:val="auto"/>
              </w:rPr>
            </w:pPr>
          </w:p>
        </w:tc>
      </w:tr>
      <w:tr>
        <w:trPr>
          <w:trHeight w:val="219"/>
        </w:trPr>
        <w:tc>
          <w:tcPr>
            <w:tcW w:w="4580" w:type="dxa"/>
            <w:vAlign w:val="bottom"/>
            <w:shd w:val="clear" w:color="auto" w:fill="CEFFE7"/>
          </w:tcPr>
          <w:p>
            <w:pPr>
              <w:ind w:left="260"/>
              <w:spacing w:after="0"/>
              <w:rPr>
                <w:sz w:val="20"/>
                <w:szCs w:val="20"/>
                <w:color w:val="auto"/>
              </w:rPr>
            </w:pPr>
            <w:r>
              <w:rPr>
                <w:rFonts w:ascii="Arial" w:cs="Arial" w:eastAsia="Arial" w:hAnsi="Arial"/>
                <w:sz w:val="16"/>
                <w:szCs w:val="16"/>
                <w:color w:val="auto"/>
              </w:rPr>
              <w:t>Mining</w:t>
            </w:r>
          </w:p>
        </w:tc>
        <w:tc>
          <w:tcPr>
            <w:tcW w:w="1020" w:type="dxa"/>
            <w:vAlign w:val="bottom"/>
            <w:shd w:val="clear" w:color="auto" w:fill="CEFFE7"/>
          </w:tcPr>
          <w:p>
            <w:pPr>
              <w:spacing w:after="0"/>
              <w:rPr>
                <w:sz w:val="19"/>
                <w:szCs w:val="19"/>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3,644</w:t>
            </w:r>
          </w:p>
        </w:tc>
        <w:tc>
          <w:tcPr>
            <w:tcW w:w="140" w:type="dxa"/>
            <w:vAlign w:val="bottom"/>
            <w:shd w:val="clear" w:color="auto" w:fill="CEFFE7"/>
          </w:tcPr>
          <w:p>
            <w:pPr>
              <w:spacing w:after="0"/>
              <w:rPr>
                <w:sz w:val="19"/>
                <w:szCs w:val="19"/>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3,358</w:t>
            </w:r>
          </w:p>
        </w:tc>
        <w:tc>
          <w:tcPr>
            <w:tcW w:w="380" w:type="dxa"/>
            <w:vAlign w:val="bottom"/>
            <w:shd w:val="clear" w:color="auto" w:fill="CEFFE7"/>
          </w:tcPr>
          <w:p>
            <w:pPr>
              <w:spacing w:after="0"/>
              <w:rPr>
                <w:sz w:val="19"/>
                <w:szCs w:val="19"/>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6,905</w:t>
            </w:r>
          </w:p>
        </w:tc>
        <w:tc>
          <w:tcPr>
            <w:tcW w:w="380" w:type="dxa"/>
            <w:vAlign w:val="bottom"/>
            <w:shd w:val="clear" w:color="auto" w:fill="CEFFE7"/>
          </w:tcPr>
          <w:p>
            <w:pPr>
              <w:spacing w:after="0"/>
              <w:rPr>
                <w:sz w:val="19"/>
                <w:szCs w:val="19"/>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6,487</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EFFE7"/>
            </w:tcBorders>
          </w:tcPr>
          <w:p>
            <w:pPr>
              <w:ind w:left="260"/>
              <w:spacing w:after="0"/>
              <w:rPr>
                <w:sz w:val="20"/>
                <w:szCs w:val="20"/>
                <w:color w:val="auto"/>
              </w:rPr>
            </w:pPr>
            <w:r>
              <w:rPr>
                <w:rFonts w:ascii="Arial" w:cs="Arial" w:eastAsia="Arial" w:hAnsi="Arial"/>
                <w:sz w:val="16"/>
                <w:szCs w:val="16"/>
                <w:color w:val="auto"/>
              </w:rPr>
              <w:t>Corporate and Other</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(3,303)</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0"/>
        </w:trPr>
        <w:tc>
          <w:tcPr>
            <w:tcW w:w="458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Operating income</w:t>
            </w:r>
          </w:p>
        </w:tc>
        <w:tc>
          <w:tcPr>
            <w:tcW w:w="1020" w:type="dxa"/>
            <w:vAlign w:val="bottom"/>
            <w:tcBorders>
              <w:bottom w:val="single" w:sz="8" w:color="auto"/>
            </w:tcBorders>
            <w:shd w:val="clear" w:color="auto" w:fill="CEFFE7"/>
          </w:tcPr>
          <w:p>
            <w:pPr>
              <w:spacing w:after="0"/>
              <w:rPr>
                <w:sz w:val="18"/>
                <w:szCs w:val="18"/>
                <w:color w:val="auto"/>
              </w:rPr>
            </w:pP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67,266</w:t>
            </w:r>
          </w:p>
        </w:tc>
        <w:tc>
          <w:tcPr>
            <w:tcW w:w="140" w:type="dxa"/>
            <w:vAlign w:val="bottom"/>
            <w:tcBorders>
              <w:bottom w:val="single" w:sz="8" w:color="auto"/>
            </w:tcBorders>
            <w:shd w:val="clear" w:color="auto" w:fill="CEFFE7"/>
          </w:tcPr>
          <w:p>
            <w:pPr>
              <w:spacing w:after="0"/>
              <w:rPr>
                <w:sz w:val="18"/>
                <w:szCs w:val="18"/>
                <w:color w:val="auto"/>
              </w:rPr>
            </w:pP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66,933</w:t>
            </w:r>
          </w:p>
        </w:tc>
        <w:tc>
          <w:tcPr>
            <w:tcW w:w="380" w:type="dxa"/>
            <w:vAlign w:val="bottom"/>
            <w:tcBorders>
              <w:bottom w:val="single" w:sz="8" w:color="auto"/>
            </w:tcBorders>
            <w:shd w:val="clear" w:color="auto" w:fill="CEFFE7"/>
          </w:tcPr>
          <w:p>
            <w:pPr>
              <w:spacing w:after="0"/>
              <w:rPr>
                <w:sz w:val="18"/>
                <w:szCs w:val="18"/>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205,581</w:t>
            </w:r>
          </w:p>
        </w:tc>
        <w:tc>
          <w:tcPr>
            <w:tcW w:w="380" w:type="dxa"/>
            <w:vAlign w:val="bottom"/>
            <w:tcBorders>
              <w:bottom w:val="single" w:sz="8" w:color="auto"/>
            </w:tcBorders>
            <w:shd w:val="clear" w:color="auto" w:fill="CEFFE7"/>
          </w:tcPr>
          <w:p>
            <w:pPr>
              <w:spacing w:after="0"/>
              <w:rPr>
                <w:sz w:val="18"/>
                <w:szCs w:val="18"/>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220,118</w:t>
            </w:r>
          </w:p>
        </w:tc>
        <w:tc>
          <w:tcPr>
            <w:tcW w:w="0" w:type="dxa"/>
            <w:vAlign w:val="bottom"/>
          </w:tcPr>
          <w:p>
            <w:pPr>
              <w:spacing w:after="0"/>
              <w:rPr>
                <w:sz w:val="1"/>
                <w:szCs w:val="1"/>
                <w:color w:val="auto"/>
              </w:rPr>
            </w:pPr>
          </w:p>
        </w:tc>
      </w:tr>
      <w:tr>
        <w:trPr>
          <w:trHeight w:val="78"/>
        </w:trPr>
        <w:tc>
          <w:tcPr>
            <w:tcW w:w="45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Interest expense, net</w:t>
            </w:r>
          </w:p>
        </w:tc>
        <w:tc>
          <w:tcPr>
            <w:tcW w:w="1020" w:type="dxa"/>
            <w:vAlign w:val="bottom"/>
            <w:shd w:val="clear" w:color="auto" w:fill="CEFFE7"/>
          </w:tcPr>
          <w:p>
            <w:pPr>
              <w:spacing w:after="0"/>
              <w:rPr>
                <w:sz w:val="18"/>
                <w:szCs w:val="18"/>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6"/>
                <w:szCs w:val="16"/>
                <w:color w:val="auto"/>
                <w:w w:val="97"/>
              </w:rPr>
              <w:t>(38,202)</w:t>
            </w:r>
          </w:p>
        </w:tc>
        <w:tc>
          <w:tcPr>
            <w:tcW w:w="140" w:type="dxa"/>
            <w:vAlign w:val="bottom"/>
            <w:shd w:val="clear" w:color="auto" w:fill="CEFFE7"/>
          </w:tcPr>
          <w:p>
            <w:pPr>
              <w:spacing w:after="0"/>
              <w:rPr>
                <w:sz w:val="18"/>
                <w:szCs w:val="18"/>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(35,545)</w:t>
            </w:r>
          </w:p>
        </w:tc>
        <w:tc>
          <w:tcPr>
            <w:tcW w:w="380" w:type="dxa"/>
            <w:vAlign w:val="bottom"/>
            <w:shd w:val="clear" w:color="auto" w:fill="CEFFE7"/>
          </w:tcPr>
          <w:p>
            <w:pPr>
              <w:spacing w:after="0"/>
              <w:rPr>
                <w:sz w:val="18"/>
                <w:szCs w:val="18"/>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(75,802)</w:t>
            </w:r>
          </w:p>
        </w:tc>
        <w:tc>
          <w:tcPr>
            <w:tcW w:w="380" w:type="dxa"/>
            <w:vAlign w:val="bottom"/>
            <w:shd w:val="clear" w:color="auto" w:fill="CEFFE7"/>
          </w:tcPr>
          <w:p>
            <w:pPr>
              <w:spacing w:after="0"/>
              <w:rPr>
                <w:sz w:val="18"/>
                <w:szCs w:val="18"/>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(70,998)</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Arial" w:cs="Arial" w:eastAsia="Arial" w:hAnsi="Arial"/>
                <w:sz w:val="16"/>
                <w:szCs w:val="16"/>
                <w:color w:val="auto"/>
              </w:rPr>
              <w:t>Impairment of investment</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(6,859)</w:t>
            </w:r>
          </w:p>
        </w:tc>
        <w:tc>
          <w:tcPr>
            <w:tcW w:w="0" w:type="dxa"/>
            <w:vAlign w:val="bottom"/>
          </w:tcPr>
          <w:p>
            <w:pPr>
              <w:spacing w:after="0"/>
              <w:rPr>
                <w:sz w:val="1"/>
                <w:szCs w:val="1"/>
                <w:color w:val="auto"/>
              </w:rPr>
            </w:pPr>
          </w:p>
        </w:tc>
      </w:tr>
      <w:tr>
        <w:trPr>
          <w:trHeight w:val="219"/>
        </w:trPr>
        <w:tc>
          <w:tcPr>
            <w:tcW w:w="458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income (expense), net</w:t>
            </w:r>
          </w:p>
        </w:tc>
        <w:tc>
          <w:tcPr>
            <w:tcW w:w="1020" w:type="dxa"/>
            <w:vAlign w:val="bottom"/>
            <w:shd w:val="clear" w:color="auto" w:fill="CEFFE7"/>
          </w:tcPr>
          <w:p>
            <w:pPr>
              <w:spacing w:after="0"/>
              <w:rPr>
                <w:sz w:val="19"/>
                <w:szCs w:val="19"/>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(191)</w:t>
            </w:r>
          </w:p>
        </w:tc>
        <w:tc>
          <w:tcPr>
            <w:tcW w:w="140" w:type="dxa"/>
            <w:vAlign w:val="bottom"/>
            <w:shd w:val="clear" w:color="auto" w:fill="CEFFE7"/>
          </w:tcPr>
          <w:p>
            <w:pPr>
              <w:spacing w:after="0"/>
              <w:rPr>
                <w:sz w:val="19"/>
                <w:szCs w:val="19"/>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(1,863)</w:t>
            </w:r>
          </w:p>
        </w:tc>
        <w:tc>
          <w:tcPr>
            <w:tcW w:w="380" w:type="dxa"/>
            <w:vAlign w:val="bottom"/>
            <w:shd w:val="clear" w:color="auto" w:fill="CEFFE7"/>
          </w:tcPr>
          <w:p>
            <w:pPr>
              <w:spacing w:after="0"/>
              <w:rPr>
                <w:sz w:val="19"/>
                <w:szCs w:val="19"/>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75</w:t>
            </w:r>
          </w:p>
        </w:tc>
        <w:tc>
          <w:tcPr>
            <w:tcW w:w="380" w:type="dxa"/>
            <w:vAlign w:val="bottom"/>
            <w:shd w:val="clear" w:color="auto" w:fill="CEFFE7"/>
          </w:tcPr>
          <w:p>
            <w:pPr>
              <w:spacing w:after="0"/>
              <w:rPr>
                <w:sz w:val="19"/>
                <w:szCs w:val="19"/>
                <w:color w:val="auto"/>
              </w:rPr>
            </w:pPr>
          </w:p>
        </w:tc>
        <w:tc>
          <w:tcPr>
            <w:tcW w:w="12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13"/>
        </w:trPr>
        <w:tc>
          <w:tcPr>
            <w:tcW w:w="458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Income tax (expense)</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(4,831)</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(20,833)</w:t>
            </w:r>
          </w:p>
        </w:tc>
        <w:tc>
          <w:tcPr>
            <w:tcW w:w="0" w:type="dxa"/>
            <w:vAlign w:val="bottom"/>
          </w:tcPr>
          <w:p>
            <w:pPr>
              <w:spacing w:after="0"/>
              <w:rPr>
                <w:sz w:val="1"/>
                <w:szCs w:val="1"/>
                <w:color w:val="auto"/>
              </w:rPr>
            </w:pPr>
          </w:p>
        </w:tc>
      </w:tr>
      <w:tr>
        <w:trPr>
          <w:trHeight w:val="209"/>
        </w:trPr>
        <w:tc>
          <w:tcPr>
            <w:tcW w:w="4580" w:type="dxa"/>
            <w:vAlign w:val="bottom"/>
            <w:shd w:val="clear" w:color="auto" w:fill="CEFFE7"/>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auto"/>
            </w:tcBorders>
            <w:shd w:val="clear" w:color="auto" w:fill="CEFFE7"/>
          </w:tcPr>
          <w:p>
            <w:pPr>
              <w:spacing w:after="0"/>
              <w:rPr>
                <w:sz w:val="18"/>
                <w:szCs w:val="18"/>
                <w:color w:val="auto"/>
              </w:rPr>
            </w:pP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28,287</w:t>
            </w:r>
          </w:p>
        </w:tc>
        <w:tc>
          <w:tcPr>
            <w:tcW w:w="140" w:type="dxa"/>
            <w:vAlign w:val="bottom"/>
            <w:tcBorders>
              <w:bottom w:val="single" w:sz="8" w:color="auto"/>
            </w:tcBorders>
            <w:shd w:val="clear" w:color="auto" w:fill="CEFFE7"/>
          </w:tcPr>
          <w:p>
            <w:pPr>
              <w:spacing w:after="0"/>
              <w:rPr>
                <w:sz w:val="18"/>
                <w:szCs w:val="18"/>
                <w:color w:val="auto"/>
              </w:rPr>
            </w:pP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24,694</w:t>
            </w:r>
          </w:p>
        </w:tc>
        <w:tc>
          <w:tcPr>
            <w:tcW w:w="380" w:type="dxa"/>
            <w:vAlign w:val="bottom"/>
            <w:tcBorders>
              <w:bottom w:val="single" w:sz="8" w:color="auto"/>
            </w:tcBorders>
            <w:shd w:val="clear" w:color="auto" w:fill="CEFFE7"/>
          </w:tcPr>
          <w:p>
            <w:pPr>
              <w:spacing w:after="0"/>
              <w:rPr>
                <w:sz w:val="18"/>
                <w:szCs w:val="18"/>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128,774</w:t>
            </w:r>
          </w:p>
        </w:tc>
        <w:tc>
          <w:tcPr>
            <w:tcW w:w="380" w:type="dxa"/>
            <w:vAlign w:val="bottom"/>
            <w:tcBorders>
              <w:bottom w:val="single" w:sz="8" w:color="auto"/>
            </w:tcBorders>
            <w:shd w:val="clear" w:color="auto" w:fill="CEFFE7"/>
          </w:tcPr>
          <w:p>
            <w:pPr>
              <w:spacing w:after="0"/>
              <w:rPr>
                <w:sz w:val="18"/>
                <w:szCs w:val="18"/>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121,918</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(3,126)</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(3,728)</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(7,297)</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(7,778)</w:t>
            </w:r>
          </w:p>
        </w:tc>
        <w:tc>
          <w:tcPr>
            <w:tcW w:w="0" w:type="dxa"/>
            <w:vAlign w:val="bottom"/>
          </w:tcPr>
          <w:p>
            <w:pPr>
              <w:spacing w:after="0"/>
              <w:rPr>
                <w:sz w:val="1"/>
                <w:szCs w:val="1"/>
                <w:color w:val="auto"/>
              </w:rPr>
            </w:pPr>
          </w:p>
        </w:tc>
      </w:tr>
      <w:tr>
        <w:trPr>
          <w:trHeight w:val="237"/>
        </w:trPr>
        <w:tc>
          <w:tcPr>
            <w:tcW w:w="45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Net income available for common stock</w:t>
            </w:r>
          </w:p>
        </w:tc>
        <w:tc>
          <w:tcPr>
            <w:tcW w:w="1020" w:type="dxa"/>
            <w:vAlign w:val="bottom"/>
            <w:tcBorders>
              <w:bottom w:val="single" w:sz="8" w:color="auto"/>
            </w:tcBorders>
            <w:shd w:val="clear" w:color="auto" w:fill="CEFFE7"/>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25,161</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20,966</w:t>
            </w:r>
          </w:p>
        </w:tc>
        <w:tc>
          <w:tcPr>
            <w:tcW w:w="380" w:type="dxa"/>
            <w:vAlign w:val="bottom"/>
            <w:tcBorders>
              <w:bottom w:val="single" w:sz="8" w:color="auto"/>
            </w:tcBorders>
            <w:shd w:val="clear" w:color="auto" w:fill="CEFFE7"/>
          </w:tcPr>
          <w:p>
            <w:pPr>
              <w:spacing w:after="0"/>
              <w:rPr>
                <w:sz w:val="20"/>
                <w:szCs w:val="20"/>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121,477</w:t>
            </w:r>
          </w:p>
        </w:tc>
        <w:tc>
          <w:tcPr>
            <w:tcW w:w="380" w:type="dxa"/>
            <w:vAlign w:val="bottom"/>
            <w:tcBorders>
              <w:bottom w:val="single" w:sz="8" w:color="auto"/>
            </w:tcBorders>
            <w:shd w:val="clear" w:color="auto" w:fill="CEFFE7"/>
          </w:tcPr>
          <w:p>
            <w:pPr>
              <w:spacing w:after="0"/>
              <w:rPr>
                <w:sz w:val="20"/>
                <w:szCs w:val="20"/>
                <w:color w:val="auto"/>
              </w:rPr>
            </w:pP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114,140</w:t>
            </w:r>
          </w:p>
        </w:tc>
        <w:tc>
          <w:tcPr>
            <w:tcW w:w="0" w:type="dxa"/>
            <w:vAlign w:val="bottom"/>
          </w:tcPr>
          <w:p>
            <w:pPr>
              <w:spacing w:after="0"/>
              <w:rPr>
                <w:sz w:val="1"/>
                <w:szCs w:val="1"/>
                <w:color w:val="auto"/>
              </w:rPr>
            </w:pPr>
          </w:p>
        </w:tc>
      </w:tr>
      <w:tr>
        <w:trPr>
          <w:trHeight w:val="20"/>
        </w:trPr>
        <w:tc>
          <w:tcPr>
            <w:tcW w:w="4580" w:type="dxa"/>
            <w:vAlign w:val="bottom"/>
            <w:tcBorders>
              <w:top w:val="single" w:sz="8" w:color="CEFFE7"/>
            </w:tcBorders>
          </w:tcPr>
          <w:p>
            <w:pPr>
              <w:spacing w:after="0" w:line="20" w:lineRule="exact"/>
              <w:rPr>
                <w:sz w:val="1"/>
                <w:szCs w:val="1"/>
                <w:color w:val="auto"/>
              </w:rPr>
            </w:pPr>
          </w:p>
        </w:tc>
        <w:tc>
          <w:tcPr>
            <w:tcW w:w="1020" w:type="dxa"/>
            <w:vAlign w:val="bottom"/>
            <w:tcBorders>
              <w:top w:val="single" w:sz="8" w:color="CEFFE7"/>
              <w:bottom w:val="single" w:sz="8" w:color="auto"/>
            </w:tcBorders>
          </w:tcPr>
          <w:p>
            <w:pPr>
              <w:spacing w:after="0" w:line="20" w:lineRule="exact"/>
              <w:rPr>
                <w:sz w:val="1"/>
                <w:szCs w:val="1"/>
                <w:color w:val="auto"/>
              </w:rPr>
            </w:pPr>
          </w:p>
        </w:tc>
        <w:tc>
          <w:tcPr>
            <w:tcW w:w="62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520" w:type="dxa"/>
            <w:vAlign w:val="bottom"/>
            <w:tcBorders>
              <w:top w:val="single" w:sz="8" w:color="CEFFE7"/>
              <w:bottom w:val="single" w:sz="8" w:color="auto"/>
            </w:tcBorders>
          </w:tcPr>
          <w:p>
            <w:pPr>
              <w:spacing w:after="0" w:line="20" w:lineRule="exact"/>
              <w:rPr>
                <w:sz w:val="1"/>
                <w:szCs w:val="1"/>
                <w:color w:val="auto"/>
              </w:rPr>
            </w:pPr>
          </w:p>
        </w:tc>
        <w:tc>
          <w:tcPr>
            <w:tcW w:w="38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c>
          <w:tcPr>
            <w:tcW w:w="38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45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45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Total earnings per share of common stock, Diluted</w:t>
            </w:r>
          </w:p>
        </w:tc>
        <w:tc>
          <w:tcPr>
            <w:tcW w:w="1020" w:type="dxa"/>
            <w:vAlign w:val="bottom"/>
            <w:tcBorders>
              <w:bottom w:val="single" w:sz="8" w:color="auto"/>
            </w:tcBorders>
            <w:shd w:val="clear" w:color="auto" w:fill="CEFFE7"/>
          </w:tcPr>
          <w:p>
            <w:pPr>
              <w:jc w:val="right"/>
              <w:ind w:right="8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0.40</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0.33</w:t>
            </w:r>
          </w:p>
        </w:tc>
        <w:tc>
          <w:tcPr>
            <w:tcW w:w="380" w:type="dxa"/>
            <w:vAlign w:val="bottom"/>
            <w:tcBorders>
              <w:bottom w:val="single" w:sz="8" w:color="auto"/>
            </w:tcBorders>
            <w:shd w:val="clear" w:color="auto" w:fill="CEFFE7"/>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1.93</w:t>
            </w:r>
          </w:p>
        </w:tc>
        <w:tc>
          <w:tcPr>
            <w:tcW w:w="380" w:type="dxa"/>
            <w:vAlign w:val="bottom"/>
            <w:tcBorders>
              <w:bottom w:val="single" w:sz="8" w:color="auto"/>
            </w:tcBorders>
            <w:shd w:val="clear" w:color="auto" w:fill="CEFFE7"/>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0"/>
        </w:trPr>
        <w:tc>
          <w:tcPr>
            <w:tcW w:w="4580" w:type="dxa"/>
            <w:vAlign w:val="bottom"/>
            <w:tcBorders>
              <w:top w:val="single" w:sz="8" w:color="CEFFE7"/>
              <w:bottom w:val="single" w:sz="8" w:color="CEFFE7"/>
            </w:tcBorders>
            <w:vMerge w:val="restart"/>
          </w:tcPr>
          <w:p>
            <w:pPr>
              <w:spacing w:after="0"/>
              <w:rPr>
                <w:sz w:val="20"/>
                <w:szCs w:val="20"/>
                <w:color w:val="auto"/>
              </w:rPr>
            </w:pPr>
            <w:r>
              <w:rPr>
                <w:rFonts w:ascii="Arial" w:cs="Arial" w:eastAsia="Arial" w:hAnsi="Arial"/>
                <w:sz w:val="16"/>
                <w:szCs w:val="16"/>
                <w:color w:val="auto"/>
              </w:rPr>
              <w:t>__________</w:t>
            </w:r>
          </w:p>
        </w:tc>
        <w:tc>
          <w:tcPr>
            <w:tcW w:w="1020" w:type="dxa"/>
            <w:vAlign w:val="bottom"/>
            <w:tcBorders>
              <w:top w:val="single" w:sz="8" w:color="CEFFE7"/>
              <w:bottom w:val="single" w:sz="8" w:color="auto"/>
            </w:tcBorders>
          </w:tcPr>
          <w:p>
            <w:pPr>
              <w:spacing w:after="0" w:line="20" w:lineRule="exact"/>
              <w:rPr>
                <w:sz w:val="1"/>
                <w:szCs w:val="1"/>
                <w:color w:val="auto"/>
              </w:rPr>
            </w:pPr>
          </w:p>
        </w:tc>
        <w:tc>
          <w:tcPr>
            <w:tcW w:w="620" w:type="dxa"/>
            <w:vAlign w:val="bottom"/>
            <w:tcBorders>
              <w:top w:val="single" w:sz="8" w:color="CEFFE7"/>
              <w:bottom w:val="single" w:sz="8" w:color="auto"/>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520" w:type="dxa"/>
            <w:vAlign w:val="bottom"/>
            <w:tcBorders>
              <w:top w:val="single" w:sz="8" w:color="CEFFE7"/>
              <w:bottom w:val="single" w:sz="8" w:color="auto"/>
            </w:tcBorders>
          </w:tcPr>
          <w:p>
            <w:pPr>
              <w:spacing w:after="0" w:line="20" w:lineRule="exact"/>
              <w:rPr>
                <w:sz w:val="1"/>
                <w:szCs w:val="1"/>
                <w:color w:val="auto"/>
              </w:rPr>
            </w:pPr>
          </w:p>
        </w:tc>
        <w:tc>
          <w:tcPr>
            <w:tcW w:w="38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c>
          <w:tcPr>
            <w:tcW w:w="380" w:type="dxa"/>
            <w:vAlign w:val="bottom"/>
            <w:tcBorders>
              <w:top w:val="single" w:sz="8" w:color="CEFFE7"/>
              <w:bottom w:val="single" w:sz="8" w:color="auto"/>
            </w:tcBorders>
          </w:tcPr>
          <w:p>
            <w:pPr>
              <w:spacing w:after="0" w:line="20" w:lineRule="exact"/>
              <w:rPr>
                <w:sz w:val="1"/>
                <w:szCs w:val="1"/>
                <w:color w:val="auto"/>
              </w:rPr>
            </w:pPr>
          </w:p>
        </w:tc>
        <w:tc>
          <w:tcPr>
            <w:tcW w:w="1280" w:type="dxa"/>
            <w:vAlign w:val="bottom"/>
            <w:tcBorders>
              <w:top w:val="single" w:sz="8" w:color="CEFFE7"/>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580" w:type="dxa"/>
            <w:vAlign w:val="bottom"/>
            <w:vMerge w:val="continue"/>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right="280" w:hanging="332"/>
        <w:spacing w:after="0" w:line="258" w:lineRule="auto"/>
        <w:tabs>
          <w:tab w:leader="none" w:pos="344" w:val="left"/>
        </w:tabs>
        <w:numPr>
          <w:ilvl w:val="0"/>
          <w:numId w:val="23"/>
        </w:numPr>
        <w:rPr>
          <w:rFonts w:ascii="Arial" w:cs="Arial" w:eastAsia="Arial" w:hAnsi="Arial"/>
          <w:sz w:val="14"/>
          <w:szCs w:val="14"/>
          <w:color w:val="auto"/>
        </w:rPr>
      </w:pPr>
      <w:r>
        <w:rPr>
          <w:rFonts w:ascii="Arial" w:cs="Arial" w:eastAsia="Arial" w:hAnsi="Arial"/>
          <w:sz w:val="14"/>
          <w:szCs w:val="14"/>
          <w:color w:val="auto"/>
        </w:rPr>
        <w:t>Adjusted operating income recognizes intersegment revenues and costs for Colorado Electric’s PPA with Black Hills Colorado IPP on an accrual basis rather than as a finance lease. This presentation of segment information does not impact consolidated financial results.</w:t>
      </w:r>
    </w:p>
    <w:p>
      <w:pPr>
        <w:spacing w:after="0" w:line="312" w:lineRule="exact"/>
        <w:rPr>
          <w:rFonts w:ascii="Arial" w:cs="Arial" w:eastAsia="Arial" w:hAnsi="Arial"/>
          <w:sz w:val="16"/>
          <w:szCs w:val="16"/>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Three Months Ended June 30, 2021 Compared to Three Months Ended June 30, 2020</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variance to the prior year included the following:</w:t>
      </w:r>
    </w:p>
    <w:p>
      <w:pPr>
        <w:spacing w:after="0" w:line="248" w:lineRule="exact"/>
        <w:rPr>
          <w:sz w:val="20"/>
          <w:szCs w:val="20"/>
          <w:color w:val="auto"/>
        </w:rPr>
      </w:pPr>
    </w:p>
    <w:p>
      <w:pPr>
        <w:ind w:left="660" w:right="300" w:hanging="328"/>
        <w:spacing w:after="0" w:line="246"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Electric Utilities’ adjusted operating income increased $1.6 million primarily due to increased wholesale, power marketing and Tech Services revenues, increased rider revenues, regulatory actions reducing certain Winter Storm Uri impacts, and prior year COVID-19 impacts which were partially offset by unfavorable mark-to-market adjustments on wholesale energy contacts and higher operating expenses;</w:t>
      </w:r>
    </w:p>
    <w:p>
      <w:pPr>
        <w:spacing w:after="0" w:line="1" w:lineRule="exact"/>
        <w:rPr>
          <w:rFonts w:ascii="Arial" w:cs="Arial" w:eastAsia="Arial" w:hAnsi="Arial"/>
          <w:sz w:val="16"/>
          <w:szCs w:val="16"/>
          <w:color w:val="auto"/>
        </w:rPr>
      </w:pPr>
    </w:p>
    <w:p>
      <w:pPr>
        <w:ind w:left="660" w:right="300" w:hanging="328"/>
        <w:spacing w:after="0" w:line="246"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Gas Utilities’ adjusted operating income increased $1.8 million primarily due to new rates, favorable market-to-market adjustments on wholesale commodity contracts and prior year COVID-19 impacts partially offset by Nebraska Gas’s TCJA-related bill credits to customers and higher operating expenses;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Power Generation’s adjusted operating income decreased $3.2 million primarily driven by current year planned outages;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$2.7 million increase in interest expense due to higher debt balances partially offset by lower rates;</w:t>
      </w:r>
    </w:p>
    <w:p>
      <w:pPr>
        <w:spacing w:after="0" w:line="5" w:lineRule="exact"/>
        <w:rPr>
          <w:rFonts w:ascii="Arial" w:cs="Arial" w:eastAsia="Arial" w:hAnsi="Arial"/>
          <w:sz w:val="16"/>
          <w:szCs w:val="16"/>
          <w:color w:val="auto"/>
        </w:rPr>
      </w:pPr>
    </w:p>
    <w:p>
      <w:pPr>
        <w:ind w:left="660" w:right="20" w:hanging="328"/>
        <w:spacing w:after="0" w:line="246"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$1.7 million increase in other income primarily due to lower non-service pension costs driven by a lower discount rate and lower costs for our non-qualified benefit plans which were driven by market performance; and</w:t>
      </w:r>
    </w:p>
    <w:p>
      <w:pPr>
        <w:ind w:left="660" w:right="160" w:hanging="328"/>
        <w:spacing w:after="0" w:line="260"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$4.2 million decrease in income tax expense due to a lower effective tax rate driven primarily by tax benefits from Nebraska Gas’s TCJA-related bill credits and flow-through tax benefits related to repairs and certain indirect costs.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Six Months Ended June 30, 2021 Compared to Six Months Ended June 30, 2020</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variance to the prior year included the following:</w:t>
      </w:r>
    </w:p>
    <w:p>
      <w:pPr>
        <w:spacing w:after="0" w:line="248" w:lineRule="exact"/>
        <w:rPr>
          <w:sz w:val="20"/>
          <w:szCs w:val="20"/>
          <w:color w:val="auto"/>
        </w:rPr>
      </w:pPr>
    </w:p>
    <w:p>
      <w:pPr>
        <w:jc w:val="both"/>
        <w:ind w:left="660" w:right="540" w:hanging="328"/>
        <w:spacing w:after="0" w:line="246"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Electric Utilities’ adjusted operating income decreased $12 million primarily due to Colorado Electric’s TCJA-related bill credits to customers, impacts from Winter Storm Uri and unfavorable mark-to-market adjustments on wholesale energy contracts partially offset by increased rider revenues, increased wholesale, power marketing and Tech Services revenues and prior year COVID-19 impacts;</w:t>
      </w:r>
    </w:p>
    <w:p>
      <w:pPr>
        <w:spacing w:after="0" w:line="1" w:lineRule="exact"/>
        <w:rPr>
          <w:rFonts w:ascii="Arial" w:cs="Arial" w:eastAsia="Arial" w:hAnsi="Arial"/>
          <w:sz w:val="16"/>
          <w:szCs w:val="16"/>
          <w:color w:val="auto"/>
        </w:rPr>
      </w:pPr>
    </w:p>
    <w:p>
      <w:pPr>
        <w:ind w:left="660" w:hanging="328"/>
        <w:spacing w:after="0" w:line="246"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Gas Utilities’ adjusted operating income increased $1.0 million primarily due to new rates and higher heating demand from colder weather mostly offset by Winter Storm Uri costs incurred by Black Hills Energy Services, Nebraska Gas TCJA-related bill credits to customers, and higher operating expenses;</w:t>
      </w:r>
    </w:p>
    <w:p>
      <w:pPr>
        <w:spacing w:after="0" w:line="1" w:lineRule="exact"/>
        <w:rPr>
          <w:rFonts w:ascii="Arial" w:cs="Arial" w:eastAsia="Arial" w:hAnsi="Arial"/>
          <w:sz w:val="16"/>
          <w:szCs w:val="16"/>
          <w:color w:val="auto"/>
        </w:rPr>
      </w:pPr>
    </w:p>
    <w:p>
      <w:pPr>
        <w:ind w:left="660" w:right="60" w:hanging="328"/>
        <w:spacing w:after="0" w:line="246"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Corporate and Other expenses increased $3.4 million primarily due to a prior year favorable true-up of employee costs allocated to our subsidiaries in the current year, which is offset in our business segments;</w:t>
      </w: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$4.8 million increase in interest expense due to higher debt balances partially offset by lower rates;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prior year $6.9 million pre-tax non-cash impairment of our investment in equity securities of a privately held oil and gas company;</w:t>
      </w:r>
    </w:p>
    <w:p>
      <w:pPr>
        <w:spacing w:after="0" w:line="5" w:lineRule="exact"/>
        <w:rPr>
          <w:rFonts w:ascii="Arial" w:cs="Arial" w:eastAsia="Arial" w:hAnsi="Arial"/>
          <w:sz w:val="16"/>
          <w:szCs w:val="16"/>
          <w:color w:val="auto"/>
        </w:rPr>
      </w:pPr>
    </w:p>
    <w:p>
      <w:pPr>
        <w:ind w:left="660" w:right="80" w:hanging="328"/>
        <w:spacing w:after="0" w:line="253"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$19.8 million decrease in income tax expense due to lower pre-tax income and a lower effective tax rate driven primarily by tax benefits from Colorado Electric and Nebraska Gas TCJA-related bill credits, flow-through tax benefits related to repairs and certain indirect costs, amortization of excess deferred income taxes and federal production tax credits associated with new wind assets.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Operating Results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A discussion of operating results from our business segments follows.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w:t>
      </w:r>
    </w:p>
    <w:p>
      <w:pPr>
        <w:spacing w:after="0" w:line="26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following discussion includes financial information prepared in accordance with GAAP, as well as another financial measure, gross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Gross margin (revenue less cost of sales) is a non-GAAP financial measure due to the exclusion of depreciation and amortization from the measure. The presentation of gross margin is intended to supplement investors’ understanding of our operating performance.</w:t>
      </w:r>
    </w:p>
    <w:p>
      <w:pPr>
        <w:spacing w:after="0" w:line="230"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Gross margin for our Electric Utilities is calculated as operating revenue less cost of fuel and purchased power. Gross margin for our Gas Utilities is calculated as operating revenue less cost of natural gas sold. Our gross margin is impacted by the fluctuations in power and natural gas purchases and other fuel supply costs. However, while these fluctuating costs impact gross margin as a percentage of revenue, they only impact total gross margin if the costs cannot be passed through to our customers.</w:t>
      </w:r>
    </w:p>
    <w:p>
      <w:pPr>
        <w:spacing w:after="0" w:line="229"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Our gross margin measure may not be comparable to other companies’ gross margin measure. Furthermore, this measure is not intended to replace operating income, as determined in accordance with GAAP, as an indicator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84"/>
        </w:trPr>
        <w:tc>
          <w:tcPr>
            <w:tcW w:w="4440" w:type="dxa"/>
            <w:vAlign w:val="bottom"/>
            <w:gridSpan w:val="4"/>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784"/>
        </w:trPr>
        <w:tc>
          <w:tcPr>
            <w:tcW w:w="1360" w:type="dxa"/>
            <w:vAlign w:val="bottom"/>
            <w:tcBorders>
              <w:top w:val="single" w:sz="8" w:color="0000FF"/>
            </w:tcBorders>
            <w:gridSpan w:val="3"/>
          </w:tcPr>
          <w:p>
            <w:pPr>
              <w:spacing w:after="0"/>
              <w:rPr>
                <w:sz w:val="20"/>
                <w:szCs w:val="20"/>
                <w:color w:val="auto"/>
              </w:rPr>
            </w:pPr>
            <w:r>
              <w:rPr>
                <w:rFonts w:ascii="Arial" w:cs="Arial" w:eastAsia="Arial" w:hAnsi="Arial"/>
                <w:sz w:val="16"/>
                <w:szCs w:val="16"/>
                <w:b w:val="1"/>
                <w:bCs w:val="1"/>
                <w:color w:val="auto"/>
              </w:rPr>
              <w:t>Electric Utilities</w:t>
            </w: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540" w:type="dxa"/>
            <w:vAlign w:val="bottom"/>
            <w:gridSpan w:val="6"/>
          </w:tcPr>
          <w:p>
            <w:pPr>
              <w:spacing w:after="0"/>
              <w:rPr>
                <w:sz w:val="20"/>
                <w:szCs w:val="20"/>
                <w:color w:val="auto"/>
              </w:rPr>
            </w:pPr>
            <w:r>
              <w:rPr>
                <w:rFonts w:ascii="Arial" w:cs="Arial" w:eastAsia="Arial" w:hAnsi="Arial"/>
                <w:sz w:val="16"/>
                <w:szCs w:val="16"/>
                <w:color w:val="auto"/>
              </w:rPr>
              <w:t>Operating results for the Electric Utilities were as follows (in thousands):</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gridSpan w:val="6"/>
          </w:tcPr>
          <w:p>
            <w:pPr>
              <w:jc w:val="center"/>
              <w:ind w:right="159"/>
              <w:spacing w:after="0"/>
              <w:rPr>
                <w:sz w:val="20"/>
                <w:szCs w:val="20"/>
                <w:color w:val="auto"/>
              </w:rPr>
            </w:pPr>
            <w:r>
              <w:rPr>
                <w:rFonts w:ascii="Arial" w:cs="Arial" w:eastAsia="Arial" w:hAnsi="Arial"/>
                <w:sz w:val="16"/>
                <w:szCs w:val="16"/>
                <w:color w:val="auto"/>
              </w:rPr>
              <w:t>Three Months Ended June 30,</w:t>
            </w:r>
          </w:p>
        </w:tc>
        <w:tc>
          <w:tcPr>
            <w:tcW w:w="260" w:type="dxa"/>
            <w:vAlign w:val="bottom"/>
          </w:tcPr>
          <w:p>
            <w:pPr>
              <w:spacing w:after="0"/>
              <w:rPr>
                <w:sz w:val="24"/>
                <w:szCs w:val="24"/>
                <w:color w:val="auto"/>
              </w:rPr>
            </w:pPr>
          </w:p>
        </w:tc>
        <w:tc>
          <w:tcPr>
            <w:tcW w:w="3160" w:type="dxa"/>
            <w:vAlign w:val="bottom"/>
            <w:gridSpan w:val="7"/>
          </w:tcPr>
          <w:p>
            <w:pPr>
              <w:jc w:val="right"/>
              <w:ind w:right="720"/>
              <w:spacing w:after="0"/>
              <w:rPr>
                <w:sz w:val="20"/>
                <w:szCs w:val="20"/>
                <w:color w:val="auto"/>
              </w:rPr>
            </w:pPr>
            <w:r>
              <w:rPr>
                <w:rFonts w:ascii="Arial" w:cs="Arial" w:eastAsia="Arial" w:hAnsi="Arial"/>
                <w:sz w:val="16"/>
                <w:szCs w:val="16"/>
                <w:color w:val="auto"/>
              </w:rPr>
              <w:t>Six Months Ended June 30,</w:t>
            </w:r>
          </w:p>
        </w:tc>
      </w:tr>
      <w:tr>
        <w:trPr>
          <w:trHeight w:val="219"/>
        </w:trPr>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2020</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Variance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Variance</w:t>
            </w:r>
          </w:p>
        </w:tc>
      </w:tr>
      <w:tr>
        <w:trPr>
          <w:trHeight w:val="253"/>
        </w:trPr>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3"/>
        </w:trPr>
        <w:tc>
          <w:tcPr>
            <w:tcW w:w="4440" w:type="dxa"/>
            <w:vAlign w:val="bottom"/>
            <w:gridSpan w:val="4"/>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184,933</w:t>
            </w:r>
          </w:p>
        </w:tc>
        <w:tc>
          <w:tcPr>
            <w:tcW w:w="28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163,200</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21,733</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412,341</w:t>
            </w:r>
          </w:p>
        </w:tc>
        <w:tc>
          <w:tcPr>
            <w:tcW w:w="300" w:type="dxa"/>
            <w:vAlign w:val="bottom"/>
            <w:tcBorders>
              <w:bottom w:val="single" w:sz="8" w:color="auto"/>
            </w:tcBorders>
            <w:gridSpan w:val="2"/>
            <w:shd w:val="clear" w:color="auto" w:fill="CEFFE7"/>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337,339</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75,002</w:t>
            </w:r>
          </w:p>
        </w:tc>
        <w:tc>
          <w:tcPr>
            <w:tcW w:w="20" w:type="dxa"/>
            <w:vAlign w:val="bottom"/>
            <w:tcBorders>
              <w:bottom w:val="single" w:sz="8" w:color="auto"/>
            </w:tcBorders>
            <w:shd w:val="clear" w:color="auto" w:fill="CEFFE7"/>
          </w:tcPr>
          <w:p>
            <w:pPr>
              <w:spacing w:after="0"/>
              <w:rPr>
                <w:sz w:val="18"/>
                <w:szCs w:val="18"/>
                <w:color w:val="auto"/>
              </w:rPr>
            </w:pPr>
          </w:p>
        </w:tc>
      </w:tr>
      <w:tr>
        <w:trPr>
          <w:trHeight w:val="253"/>
        </w:trPr>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3"/>
        </w:trPr>
        <w:tc>
          <w:tcPr>
            <w:tcW w:w="4440" w:type="dxa"/>
            <w:vAlign w:val="bottom"/>
            <w:gridSpan w:val="4"/>
            <w:shd w:val="clear" w:color="auto" w:fill="CEFFE7"/>
          </w:tcPr>
          <w:p>
            <w:pPr>
              <w:ind w:left="20"/>
              <w:spacing w:after="0"/>
              <w:rPr>
                <w:sz w:val="20"/>
                <w:szCs w:val="20"/>
                <w:color w:val="auto"/>
              </w:rPr>
            </w:pPr>
            <w:r>
              <w:rPr>
                <w:rFonts w:ascii="Arial" w:cs="Arial" w:eastAsia="Arial" w:hAnsi="Arial"/>
                <w:sz w:val="16"/>
                <w:szCs w:val="16"/>
                <w:color w:val="auto"/>
              </w:rPr>
              <w:t>Total fuel and purchased power</w:t>
            </w:r>
          </w:p>
        </w:tc>
        <w:tc>
          <w:tcPr>
            <w:tcW w:w="24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75,238</w:t>
            </w:r>
          </w:p>
        </w:tc>
        <w:tc>
          <w:tcPr>
            <w:tcW w:w="28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59,053</w:t>
            </w:r>
          </w:p>
        </w:tc>
        <w:tc>
          <w:tcPr>
            <w:tcW w:w="20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16,185</w:t>
            </w:r>
          </w:p>
        </w:tc>
        <w:tc>
          <w:tcPr>
            <w:tcW w:w="26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207,307</w:t>
            </w:r>
          </w:p>
        </w:tc>
        <w:tc>
          <w:tcPr>
            <w:tcW w:w="80" w:type="dxa"/>
            <w:vAlign w:val="bottom"/>
            <w:tcBorders>
              <w:bottom w:val="single" w:sz="8" w:color="auto"/>
            </w:tcBorders>
            <w:shd w:val="clear" w:color="auto" w:fill="CEFFE7"/>
          </w:tcPr>
          <w:p>
            <w:pPr>
              <w:spacing w:after="0"/>
              <w:rPr>
                <w:sz w:val="18"/>
                <w:szCs w:val="18"/>
                <w:color w:val="auto"/>
              </w:rPr>
            </w:pPr>
          </w:p>
        </w:tc>
        <w:tc>
          <w:tcPr>
            <w:tcW w:w="22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123,513</w:t>
            </w:r>
          </w:p>
        </w:tc>
        <w:tc>
          <w:tcPr>
            <w:tcW w:w="20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83,794</w:t>
            </w:r>
          </w:p>
        </w:tc>
        <w:tc>
          <w:tcPr>
            <w:tcW w:w="20" w:type="dxa"/>
            <w:vAlign w:val="bottom"/>
            <w:tcBorders>
              <w:bottom w:val="single" w:sz="8" w:color="auto"/>
            </w:tcBorders>
            <w:shd w:val="clear" w:color="auto" w:fill="CEFFE7"/>
          </w:tcPr>
          <w:p>
            <w:pPr>
              <w:spacing w:after="0"/>
              <w:rPr>
                <w:sz w:val="18"/>
                <w:szCs w:val="18"/>
                <w:color w:val="auto"/>
              </w:rPr>
            </w:pPr>
          </w:p>
        </w:tc>
      </w:tr>
      <w:tr>
        <w:trPr>
          <w:trHeight w:val="253"/>
        </w:trPr>
        <w:tc>
          <w:tcPr>
            <w:tcW w:w="40" w:type="dxa"/>
            <w:vAlign w:val="bottom"/>
            <w:tcBorders>
              <w:bottom w:val="single" w:sz="8" w:color="CEFFE7"/>
            </w:tcBorders>
          </w:tcPr>
          <w:p>
            <w:pPr>
              <w:spacing w:after="0"/>
              <w:rPr>
                <w:sz w:val="22"/>
                <w:szCs w:val="22"/>
                <w:color w:val="auto"/>
              </w:rPr>
            </w:pPr>
          </w:p>
        </w:tc>
        <w:tc>
          <w:tcPr>
            <w:tcW w:w="940" w:type="dxa"/>
            <w:vAlign w:val="bottom"/>
            <w:tcBorders>
              <w:bottom w:val="single" w:sz="8" w:color="CEFFE7"/>
            </w:tcBorders>
          </w:tcPr>
          <w:p>
            <w:pPr>
              <w:spacing w:after="0"/>
              <w:rPr>
                <w:sz w:val="22"/>
                <w:szCs w:val="22"/>
                <w:color w:val="auto"/>
              </w:rPr>
            </w:pPr>
          </w:p>
        </w:tc>
        <w:tc>
          <w:tcPr>
            <w:tcW w:w="380" w:type="dxa"/>
            <w:vAlign w:val="bottom"/>
            <w:tcBorders>
              <w:bottom w:val="single" w:sz="8" w:color="CEFFE7"/>
            </w:tcBorders>
          </w:tcPr>
          <w:p>
            <w:pPr>
              <w:spacing w:after="0"/>
              <w:rPr>
                <w:sz w:val="22"/>
                <w:szCs w:val="22"/>
                <w:color w:val="auto"/>
              </w:rPr>
            </w:pPr>
          </w:p>
        </w:tc>
        <w:tc>
          <w:tcPr>
            <w:tcW w:w="3080" w:type="dxa"/>
            <w:vAlign w:val="bottom"/>
            <w:tcBorders>
              <w:bottom w:val="single" w:sz="8" w:color="CEFFE7"/>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07"/>
        </w:trPr>
        <w:tc>
          <w:tcPr>
            <w:tcW w:w="4440" w:type="dxa"/>
            <w:vAlign w:val="bottom"/>
            <w:gridSpan w:val="4"/>
            <w:shd w:val="clear" w:color="auto" w:fill="CEFFE7"/>
          </w:tcPr>
          <w:p>
            <w:pPr>
              <w:ind w:left="20"/>
              <w:spacing w:after="0"/>
              <w:rPr>
                <w:sz w:val="20"/>
                <w:szCs w:val="20"/>
                <w:color w:val="auto"/>
              </w:rPr>
            </w:pPr>
            <w:r>
              <w:rPr>
                <w:rFonts w:ascii="Arial" w:cs="Arial" w:eastAsia="Arial" w:hAnsi="Arial"/>
                <w:sz w:val="16"/>
                <w:szCs w:val="16"/>
                <w:color w:val="auto"/>
              </w:rPr>
              <w:t>Gross margin (non-GAAP)</w:t>
            </w:r>
          </w:p>
        </w:tc>
        <w:tc>
          <w:tcPr>
            <w:tcW w:w="240" w:type="dxa"/>
            <w:vAlign w:val="bottom"/>
            <w:tcBorders>
              <w:bottom w:val="single" w:sz="8" w:color="auto"/>
            </w:tcBorders>
            <w:shd w:val="clear" w:color="auto" w:fill="CEFFE7"/>
          </w:tcPr>
          <w:p>
            <w:pPr>
              <w:spacing w:after="0"/>
              <w:rPr>
                <w:sz w:val="17"/>
                <w:szCs w:val="17"/>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109,695</w:t>
            </w:r>
          </w:p>
        </w:tc>
        <w:tc>
          <w:tcPr>
            <w:tcW w:w="280" w:type="dxa"/>
            <w:vAlign w:val="bottom"/>
            <w:tcBorders>
              <w:bottom w:val="single" w:sz="8" w:color="auto"/>
            </w:tcBorders>
            <w:shd w:val="clear" w:color="auto" w:fill="CEFFE7"/>
          </w:tcPr>
          <w:p>
            <w:pPr>
              <w:spacing w:after="0"/>
              <w:rPr>
                <w:sz w:val="17"/>
                <w:szCs w:val="17"/>
                <w:color w:val="auto"/>
              </w:rPr>
            </w:pPr>
          </w:p>
        </w:tc>
        <w:tc>
          <w:tcPr>
            <w:tcW w:w="860" w:type="dxa"/>
            <w:vAlign w:val="bottom"/>
            <w:tcBorders>
              <w:bottom w:val="single" w:sz="8" w:color="auto"/>
            </w:tcBorders>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104,147</w:t>
            </w:r>
          </w:p>
        </w:tc>
        <w:tc>
          <w:tcPr>
            <w:tcW w:w="200" w:type="dxa"/>
            <w:vAlign w:val="bottom"/>
            <w:tcBorders>
              <w:bottom w:val="single" w:sz="8" w:color="auto"/>
            </w:tcBorders>
            <w:shd w:val="clear" w:color="auto" w:fill="CEFFE7"/>
          </w:tcPr>
          <w:p>
            <w:pPr>
              <w:spacing w:after="0"/>
              <w:rPr>
                <w:sz w:val="17"/>
                <w:szCs w:val="17"/>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5,548</w:t>
            </w:r>
          </w:p>
        </w:tc>
        <w:tc>
          <w:tcPr>
            <w:tcW w:w="260" w:type="dxa"/>
            <w:vAlign w:val="bottom"/>
            <w:tcBorders>
              <w:bottom w:val="single" w:sz="8" w:color="auto"/>
            </w:tcBorders>
            <w:shd w:val="clear" w:color="auto" w:fill="CEFFE7"/>
          </w:tcPr>
          <w:p>
            <w:pPr>
              <w:spacing w:after="0"/>
              <w:rPr>
                <w:sz w:val="17"/>
                <w:szCs w:val="17"/>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205,034</w:t>
            </w:r>
          </w:p>
        </w:tc>
        <w:tc>
          <w:tcPr>
            <w:tcW w:w="80" w:type="dxa"/>
            <w:vAlign w:val="bottom"/>
            <w:tcBorders>
              <w:bottom w:val="single" w:sz="8" w:color="auto"/>
            </w:tcBorders>
            <w:shd w:val="clear" w:color="auto" w:fill="CEFFE7"/>
          </w:tcPr>
          <w:p>
            <w:pPr>
              <w:spacing w:after="0"/>
              <w:rPr>
                <w:sz w:val="17"/>
                <w:szCs w:val="17"/>
                <w:color w:val="auto"/>
              </w:rPr>
            </w:pPr>
          </w:p>
        </w:tc>
        <w:tc>
          <w:tcPr>
            <w:tcW w:w="220" w:type="dxa"/>
            <w:vAlign w:val="bottom"/>
            <w:tcBorders>
              <w:bottom w:val="single" w:sz="8" w:color="auto"/>
            </w:tcBorders>
            <w:shd w:val="clear" w:color="auto" w:fill="CEFFE7"/>
          </w:tcPr>
          <w:p>
            <w:pPr>
              <w:spacing w:after="0"/>
              <w:rPr>
                <w:sz w:val="17"/>
                <w:szCs w:val="17"/>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213,826</w:t>
            </w:r>
          </w:p>
        </w:tc>
        <w:tc>
          <w:tcPr>
            <w:tcW w:w="200" w:type="dxa"/>
            <w:vAlign w:val="bottom"/>
            <w:tcBorders>
              <w:bottom w:val="single" w:sz="8" w:color="auto"/>
            </w:tcBorders>
            <w:shd w:val="clear" w:color="auto" w:fill="CEFFE7"/>
          </w:tcPr>
          <w:p>
            <w:pPr>
              <w:spacing w:after="0"/>
              <w:rPr>
                <w:sz w:val="17"/>
                <w:szCs w:val="17"/>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(8,792)</w:t>
            </w:r>
          </w:p>
        </w:tc>
        <w:tc>
          <w:tcPr>
            <w:tcW w:w="20" w:type="dxa"/>
            <w:vAlign w:val="bottom"/>
            <w:tcBorders>
              <w:bottom w:val="single" w:sz="8" w:color="auto"/>
            </w:tcBorders>
            <w:shd w:val="clear" w:color="auto" w:fill="CEFFE7"/>
          </w:tcPr>
          <w:p>
            <w:pPr>
              <w:spacing w:after="0"/>
              <w:rPr>
                <w:sz w:val="17"/>
                <w:szCs w:val="17"/>
                <w:color w:val="auto"/>
              </w:rPr>
            </w:pPr>
          </w:p>
        </w:tc>
      </w:tr>
      <w:tr>
        <w:trPr>
          <w:trHeight w:val="253"/>
        </w:trPr>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6"/>
        </w:trPr>
        <w:tc>
          <w:tcPr>
            <w:tcW w:w="4440" w:type="dxa"/>
            <w:vAlign w:val="bottom"/>
            <w:gridSpan w:val="4"/>
            <w:shd w:val="clear" w:color="auto" w:fill="CEFFE7"/>
          </w:tcPr>
          <w:p>
            <w:pPr>
              <w:ind w:left="20"/>
              <w:spacing w:after="0"/>
              <w:rPr>
                <w:sz w:val="20"/>
                <w:szCs w:val="20"/>
                <w:color w:val="auto"/>
              </w:rPr>
            </w:pPr>
            <w:r>
              <w:rPr>
                <w:rFonts w:ascii="Arial" w:cs="Arial" w:eastAsia="Arial" w:hAnsi="Arial"/>
                <w:sz w:val="16"/>
                <w:szCs w:val="16"/>
                <w:color w:val="auto"/>
              </w:rPr>
              <w:t>Operations and maintenance</w:t>
            </w:r>
          </w:p>
        </w:tc>
        <w:tc>
          <w:tcPr>
            <w:tcW w:w="240" w:type="dxa"/>
            <w:vAlign w:val="bottom"/>
            <w:shd w:val="clear" w:color="auto" w:fill="CEFFE7"/>
          </w:tcPr>
          <w:p>
            <w:pPr>
              <w:spacing w:after="0"/>
              <w:rPr>
                <w:sz w:val="18"/>
                <w:szCs w:val="18"/>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48,962</w:t>
            </w:r>
          </w:p>
        </w:tc>
        <w:tc>
          <w:tcPr>
            <w:tcW w:w="280" w:type="dxa"/>
            <w:vAlign w:val="bottom"/>
            <w:shd w:val="clear" w:color="auto" w:fill="CEFFE7"/>
          </w:tcPr>
          <w:p>
            <w:pPr>
              <w:spacing w:after="0"/>
              <w:rPr>
                <w:sz w:val="18"/>
                <w:szCs w:val="18"/>
                <w:color w:val="auto"/>
              </w:rPr>
            </w:pPr>
          </w:p>
        </w:tc>
        <w:tc>
          <w:tcPr>
            <w:tcW w:w="860" w:type="dxa"/>
            <w:vAlign w:val="bottom"/>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47,031</w:t>
            </w:r>
          </w:p>
        </w:tc>
        <w:tc>
          <w:tcPr>
            <w:tcW w:w="200" w:type="dxa"/>
            <w:vAlign w:val="bottom"/>
            <w:shd w:val="clear" w:color="auto" w:fill="CEFFE7"/>
          </w:tcPr>
          <w:p>
            <w:pPr>
              <w:spacing w:after="0"/>
              <w:rPr>
                <w:sz w:val="18"/>
                <w:szCs w:val="18"/>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1,931</w:t>
            </w:r>
          </w:p>
        </w:tc>
        <w:tc>
          <w:tcPr>
            <w:tcW w:w="260" w:type="dxa"/>
            <w:vAlign w:val="bottom"/>
            <w:shd w:val="clear" w:color="auto" w:fill="CEFFE7"/>
          </w:tcPr>
          <w:p>
            <w:pPr>
              <w:spacing w:after="0"/>
              <w:rPr>
                <w:sz w:val="18"/>
                <w:szCs w:val="18"/>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97,539</w:t>
            </w:r>
          </w:p>
        </w:tc>
        <w:tc>
          <w:tcPr>
            <w:tcW w:w="8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97,530</w:t>
            </w:r>
          </w:p>
        </w:tc>
        <w:tc>
          <w:tcPr>
            <w:tcW w:w="200" w:type="dxa"/>
            <w:vAlign w:val="bottom"/>
            <w:shd w:val="clear" w:color="auto" w:fill="CEFFE7"/>
          </w:tcPr>
          <w:p>
            <w:pPr>
              <w:spacing w:after="0"/>
              <w:rPr>
                <w:sz w:val="18"/>
                <w:szCs w:val="18"/>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w:t>
            </w:r>
          </w:p>
        </w:tc>
        <w:tc>
          <w:tcPr>
            <w:tcW w:w="20" w:type="dxa"/>
            <w:vAlign w:val="bottom"/>
            <w:shd w:val="clear" w:color="auto" w:fill="CEFFE7"/>
          </w:tcPr>
          <w:p>
            <w:pPr>
              <w:spacing w:after="0"/>
              <w:rPr>
                <w:sz w:val="18"/>
                <w:szCs w:val="18"/>
                <w:color w:val="auto"/>
              </w:rPr>
            </w:pPr>
          </w:p>
        </w:tc>
      </w:tr>
      <w:tr>
        <w:trPr>
          <w:trHeight w:val="213"/>
        </w:trPr>
        <w:tc>
          <w:tcPr>
            <w:tcW w:w="4440" w:type="dxa"/>
            <w:vAlign w:val="bottom"/>
            <w:tcBorders>
              <w:bottom w:val="single" w:sz="8" w:color="CEFFE7"/>
            </w:tcBorders>
            <w:gridSpan w:val="4"/>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25,165</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23,123</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2,042</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50,114</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46,653</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3,461</w:t>
            </w:r>
          </w:p>
        </w:tc>
        <w:tc>
          <w:tcPr>
            <w:tcW w:w="20" w:type="dxa"/>
            <w:vAlign w:val="bottom"/>
            <w:tcBorders>
              <w:bottom w:val="single" w:sz="8" w:color="auto"/>
            </w:tcBorders>
          </w:tcPr>
          <w:p>
            <w:pPr>
              <w:spacing w:after="0"/>
              <w:rPr>
                <w:sz w:val="18"/>
                <w:szCs w:val="18"/>
                <w:color w:val="auto"/>
              </w:rPr>
            </w:pPr>
          </w:p>
        </w:tc>
      </w:tr>
      <w:tr>
        <w:trPr>
          <w:trHeight w:val="209"/>
        </w:trPr>
        <w:tc>
          <w:tcPr>
            <w:tcW w:w="40" w:type="dxa"/>
            <w:vAlign w:val="bottom"/>
            <w:shd w:val="clear" w:color="auto" w:fill="CEFFE7"/>
          </w:tcPr>
          <w:p>
            <w:pPr>
              <w:spacing w:after="0"/>
              <w:rPr>
                <w:sz w:val="18"/>
                <w:szCs w:val="18"/>
                <w:color w:val="auto"/>
              </w:rPr>
            </w:pPr>
          </w:p>
        </w:tc>
        <w:tc>
          <w:tcPr>
            <w:tcW w:w="4400" w:type="dxa"/>
            <w:vAlign w:val="bottom"/>
            <w:gridSpan w:val="3"/>
            <w:shd w:val="clear" w:color="auto" w:fill="CEFFE7"/>
          </w:tcPr>
          <w:p>
            <w:pPr>
              <w:ind w:left="18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74,127</w:t>
            </w:r>
          </w:p>
        </w:tc>
        <w:tc>
          <w:tcPr>
            <w:tcW w:w="28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70,154</w:t>
            </w:r>
          </w:p>
        </w:tc>
        <w:tc>
          <w:tcPr>
            <w:tcW w:w="20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3,973</w:t>
            </w:r>
          </w:p>
        </w:tc>
        <w:tc>
          <w:tcPr>
            <w:tcW w:w="26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147,653</w:t>
            </w:r>
          </w:p>
        </w:tc>
        <w:tc>
          <w:tcPr>
            <w:tcW w:w="80" w:type="dxa"/>
            <w:vAlign w:val="bottom"/>
            <w:tcBorders>
              <w:bottom w:val="single" w:sz="8" w:color="auto"/>
            </w:tcBorders>
            <w:shd w:val="clear" w:color="auto" w:fill="CEFFE7"/>
          </w:tcPr>
          <w:p>
            <w:pPr>
              <w:spacing w:after="0"/>
              <w:rPr>
                <w:sz w:val="18"/>
                <w:szCs w:val="18"/>
                <w:color w:val="auto"/>
              </w:rPr>
            </w:pPr>
          </w:p>
        </w:tc>
        <w:tc>
          <w:tcPr>
            <w:tcW w:w="22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144,183</w:t>
            </w:r>
          </w:p>
        </w:tc>
        <w:tc>
          <w:tcPr>
            <w:tcW w:w="20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3,470</w:t>
            </w:r>
          </w:p>
        </w:tc>
        <w:tc>
          <w:tcPr>
            <w:tcW w:w="20" w:type="dxa"/>
            <w:vAlign w:val="bottom"/>
            <w:tcBorders>
              <w:bottom w:val="single" w:sz="8" w:color="auto"/>
            </w:tcBorders>
            <w:shd w:val="clear" w:color="auto" w:fill="CEFFE7"/>
          </w:tcPr>
          <w:p>
            <w:pPr>
              <w:spacing w:after="0"/>
              <w:rPr>
                <w:sz w:val="18"/>
                <w:szCs w:val="18"/>
                <w:color w:val="auto"/>
              </w:rPr>
            </w:pPr>
          </w:p>
        </w:tc>
      </w:tr>
      <w:tr>
        <w:trPr>
          <w:trHeight w:val="253"/>
        </w:trPr>
        <w:tc>
          <w:tcPr>
            <w:tcW w:w="40" w:type="dxa"/>
            <w:vAlign w:val="bottom"/>
            <w:tcBorders>
              <w:bottom w:val="single" w:sz="8" w:color="CEFFE7"/>
            </w:tcBorders>
          </w:tcPr>
          <w:p>
            <w:pPr>
              <w:spacing w:after="0"/>
              <w:rPr>
                <w:sz w:val="22"/>
                <w:szCs w:val="22"/>
                <w:color w:val="auto"/>
              </w:rPr>
            </w:pPr>
          </w:p>
        </w:tc>
        <w:tc>
          <w:tcPr>
            <w:tcW w:w="940" w:type="dxa"/>
            <w:vAlign w:val="bottom"/>
            <w:tcBorders>
              <w:bottom w:val="single" w:sz="8" w:color="CEFFE7"/>
            </w:tcBorders>
          </w:tcPr>
          <w:p>
            <w:pPr>
              <w:spacing w:after="0"/>
              <w:rPr>
                <w:sz w:val="22"/>
                <w:szCs w:val="22"/>
                <w:color w:val="auto"/>
              </w:rPr>
            </w:pPr>
          </w:p>
        </w:tc>
        <w:tc>
          <w:tcPr>
            <w:tcW w:w="380" w:type="dxa"/>
            <w:vAlign w:val="bottom"/>
            <w:tcBorders>
              <w:bottom w:val="single" w:sz="8" w:color="CEFFE7"/>
            </w:tcBorders>
          </w:tcPr>
          <w:p>
            <w:pPr>
              <w:spacing w:after="0"/>
              <w:rPr>
                <w:sz w:val="22"/>
                <w:szCs w:val="22"/>
                <w:color w:val="auto"/>
              </w:rPr>
            </w:pPr>
          </w:p>
        </w:tc>
        <w:tc>
          <w:tcPr>
            <w:tcW w:w="3080" w:type="dxa"/>
            <w:vAlign w:val="bottom"/>
            <w:tcBorders>
              <w:bottom w:val="single" w:sz="8" w:color="CEFFE7"/>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35"/>
        </w:trPr>
        <w:tc>
          <w:tcPr>
            <w:tcW w:w="4440" w:type="dxa"/>
            <w:vAlign w:val="bottom"/>
            <w:tcBorders>
              <w:bottom w:val="single" w:sz="8" w:color="CEFFE7"/>
            </w:tcBorders>
            <w:gridSpan w:val="4"/>
            <w:shd w:val="clear" w:color="auto" w:fill="CEFFE7"/>
          </w:tcPr>
          <w:p>
            <w:pPr>
              <w:ind w:left="20"/>
              <w:spacing w:after="0"/>
              <w:rPr>
                <w:sz w:val="20"/>
                <w:szCs w:val="20"/>
                <w:color w:val="auto"/>
              </w:rPr>
            </w:pPr>
            <w:r>
              <w:rPr>
                <w:rFonts w:ascii="Arial" w:cs="Arial" w:eastAsia="Arial" w:hAnsi="Arial"/>
                <w:sz w:val="16"/>
                <w:szCs w:val="16"/>
                <w:color w:val="auto"/>
              </w:rPr>
              <w:t>Adjusted operating income</w:t>
            </w:r>
          </w:p>
        </w:tc>
        <w:tc>
          <w:tcPr>
            <w:tcW w:w="2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35,568</w:t>
            </w:r>
          </w:p>
        </w:tc>
        <w:tc>
          <w:tcPr>
            <w:tcW w:w="28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33,993</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1,575</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57,381</w:t>
            </w:r>
          </w:p>
        </w:tc>
        <w:tc>
          <w:tcPr>
            <w:tcW w:w="300" w:type="dxa"/>
            <w:vAlign w:val="bottom"/>
            <w:tcBorders>
              <w:bottom w:val="single" w:sz="8" w:color="auto"/>
            </w:tcBorders>
            <w:gridSpan w:val="2"/>
            <w:shd w:val="clear" w:color="auto" w:fill="CEFFE7"/>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69,643</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(12,262)</w:t>
            </w:r>
          </w:p>
        </w:tc>
        <w:tc>
          <w:tcPr>
            <w:tcW w:w="20" w:type="dxa"/>
            <w:vAlign w:val="bottom"/>
            <w:tcBorders>
              <w:bottom w:val="single" w:sz="8" w:color="auto"/>
            </w:tcBorders>
            <w:shd w:val="clear" w:color="auto" w:fill="CEFFE7"/>
          </w:tcPr>
          <w:p>
            <w:pPr>
              <w:spacing w:after="0"/>
              <w:rPr>
                <w:sz w:val="19"/>
                <w:szCs w:val="19"/>
                <w:color w:val="auto"/>
              </w:rPr>
            </w:pPr>
          </w:p>
        </w:tc>
      </w:tr>
      <w:tr>
        <w:trPr>
          <w:trHeight w:val="20"/>
        </w:trPr>
        <w:tc>
          <w:tcPr>
            <w:tcW w:w="40" w:type="dxa"/>
            <w:vAlign w:val="bottom"/>
            <w:tcBorders>
              <w:top w:val="single" w:sz="8" w:color="CEFFE7"/>
            </w:tcBorders>
          </w:tcPr>
          <w:p>
            <w:pPr>
              <w:spacing w:after="0" w:line="20" w:lineRule="exact"/>
              <w:rPr>
                <w:sz w:val="1"/>
                <w:szCs w:val="1"/>
                <w:color w:val="auto"/>
              </w:rPr>
            </w:pPr>
          </w:p>
        </w:tc>
        <w:tc>
          <w:tcPr>
            <w:tcW w:w="940" w:type="dxa"/>
            <w:vAlign w:val="bottom"/>
            <w:tcBorders>
              <w:top w:val="single" w:sz="8" w:color="CEFFE7"/>
            </w:tcBorders>
          </w:tcPr>
          <w:p>
            <w:pPr>
              <w:spacing w:after="0" w:line="20" w:lineRule="exact"/>
              <w:rPr>
                <w:sz w:val="1"/>
                <w:szCs w:val="1"/>
                <w:color w:val="auto"/>
              </w:rPr>
            </w:pPr>
          </w:p>
        </w:tc>
        <w:tc>
          <w:tcPr>
            <w:tcW w:w="3460" w:type="dxa"/>
            <w:vAlign w:val="bottom"/>
            <w:tcBorders>
              <w:top w:val="single" w:sz="8" w:color="CEFFE7"/>
            </w:tcBorders>
            <w:gridSpan w:val="2"/>
          </w:tcPr>
          <w:p>
            <w:pPr>
              <w:spacing w:after="0" w:line="20" w:lineRule="exact"/>
              <w:rPr>
                <w:sz w:val="1"/>
                <w:szCs w:val="1"/>
                <w:color w:val="auto"/>
              </w:rPr>
            </w:pPr>
          </w:p>
        </w:tc>
        <w:tc>
          <w:tcPr>
            <w:tcW w:w="2080" w:type="dxa"/>
            <w:vAlign w:val="bottom"/>
            <w:tcBorders>
              <w:top w:val="single" w:sz="8" w:color="CEFFE7"/>
              <w:bottom w:val="single" w:sz="8" w:color="auto"/>
            </w:tcBorders>
            <w:gridSpan w:val="4"/>
          </w:tcPr>
          <w:p>
            <w:pPr>
              <w:spacing w:after="0" w:line="20" w:lineRule="exact"/>
              <w:rPr>
                <w:sz w:val="1"/>
                <w:szCs w:val="1"/>
                <w:color w:val="auto"/>
              </w:rPr>
            </w:pPr>
          </w:p>
        </w:tc>
        <w:tc>
          <w:tcPr>
            <w:tcW w:w="16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94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860" w:type="dxa"/>
            <w:vAlign w:val="bottom"/>
            <w:tcBorders>
              <w:top w:val="single" w:sz="8" w:color="CEFFE7"/>
              <w:bottom w:val="single" w:sz="8" w:color="auto"/>
            </w:tcBorders>
          </w:tcPr>
          <w:p>
            <w:pPr>
              <w:spacing w:after="0" w:line="20" w:lineRule="exact"/>
              <w:rPr>
                <w:sz w:val="1"/>
                <w:szCs w:val="1"/>
                <w:color w:val="auto"/>
              </w:rPr>
            </w:pPr>
          </w:p>
        </w:tc>
        <w:tc>
          <w:tcPr>
            <w:tcW w:w="8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940" w:type="dxa"/>
            <w:vAlign w:val="bottom"/>
            <w:tcBorders>
              <w:top w:val="single" w:sz="8" w:color="CEFFE7"/>
              <w:bottom w:val="single" w:sz="8" w:color="auto"/>
            </w:tcBorders>
          </w:tcPr>
          <w:p>
            <w:pPr>
              <w:spacing w:after="0" w:line="20" w:lineRule="exact"/>
              <w:rPr>
                <w:sz w:val="1"/>
                <w:szCs w:val="1"/>
                <w:color w:val="auto"/>
              </w:rPr>
            </w:pPr>
          </w:p>
        </w:tc>
        <w:tc>
          <w:tcPr>
            <w:tcW w:w="20" w:type="dxa"/>
            <w:vAlign w:val="bottom"/>
            <w:tcBorders>
              <w:top w:val="single" w:sz="8" w:color="CEFFE7"/>
              <w:bottom w:val="single" w:sz="8" w:color="auto"/>
            </w:tcBorders>
          </w:tcPr>
          <w:p>
            <w:pPr>
              <w:spacing w:after="0" w:line="20" w:lineRule="exact"/>
              <w:rPr>
                <w:sz w:val="1"/>
                <w:szCs w:val="1"/>
                <w:color w:val="auto"/>
              </w:rPr>
            </w:pPr>
          </w:p>
        </w:tc>
      </w:tr>
      <w:tr>
        <w:trPr>
          <w:trHeight w:val="460"/>
        </w:trPr>
        <w:tc>
          <w:tcPr>
            <w:tcW w:w="6520" w:type="dxa"/>
            <w:vAlign w:val="bottom"/>
            <w:tcBorders>
              <w:bottom w:val="single" w:sz="8" w:color="auto"/>
            </w:tcBorders>
            <w:gridSpan w:val="8"/>
          </w:tcPr>
          <w:p>
            <w:pPr>
              <w:spacing w:after="0"/>
              <w:rPr>
                <w:sz w:val="20"/>
                <w:szCs w:val="20"/>
                <w:color w:val="auto"/>
              </w:rPr>
            </w:pPr>
            <w:r>
              <w:rPr>
                <w:rFonts w:ascii="Arial" w:cs="Arial" w:eastAsia="Arial" w:hAnsi="Arial"/>
                <w:sz w:val="16"/>
                <w:szCs w:val="16"/>
                <w:color w:val="auto"/>
              </w:rPr>
              <w:t>Three Months Ended June 30, 2021 Compared to the Three Months Ended June 30, 2020: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6880" w:type="dxa"/>
            <w:vAlign w:val="bottom"/>
            <w:gridSpan w:val="10"/>
          </w:tcPr>
          <w:p>
            <w:pPr>
              <w:spacing w:after="0"/>
              <w:rPr>
                <w:sz w:val="20"/>
                <w:szCs w:val="20"/>
                <w:color w:val="auto"/>
              </w:rPr>
            </w:pPr>
            <w:r>
              <w:rPr>
                <w:rFonts w:ascii="Arial" w:cs="Arial" w:eastAsia="Arial" w:hAnsi="Arial"/>
                <w:sz w:val="16"/>
                <w:szCs w:val="16"/>
                <w:color w:val="auto"/>
              </w:rPr>
              <w:t>Gross margin for the three months ended June 30, 2021 increased as a result of the following:</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2"/>
        </w:trPr>
        <w:tc>
          <w:tcPr>
            <w:tcW w:w="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4"/>
          </w:tcPr>
          <w:p>
            <w:pPr>
              <w:jc w:val="right"/>
              <w:ind w:right="720"/>
              <w:spacing w:after="0"/>
              <w:rPr>
                <w:sz w:val="20"/>
                <w:szCs w:val="20"/>
                <w:color w:val="auto"/>
              </w:rPr>
            </w:pPr>
            <w:r>
              <w:rPr>
                <w:rFonts w:ascii="Arial" w:cs="Arial" w:eastAsia="Arial" w:hAnsi="Arial"/>
                <w:sz w:val="16"/>
                <w:szCs w:val="16"/>
                <w:color w:val="auto"/>
              </w:rPr>
              <w:t>(in millions)</w:t>
            </w:r>
          </w:p>
        </w:tc>
      </w:tr>
      <w:tr>
        <w:trPr>
          <w:trHeight w:val="213"/>
        </w:trPr>
        <w:tc>
          <w:tcPr>
            <w:tcW w:w="40" w:type="dxa"/>
            <w:vAlign w:val="bottom"/>
          </w:tcPr>
          <w:p>
            <w:pPr>
              <w:spacing w:after="0"/>
              <w:rPr>
                <w:sz w:val="18"/>
                <w:szCs w:val="18"/>
                <w:color w:val="auto"/>
              </w:rPr>
            </w:pPr>
          </w:p>
        </w:tc>
        <w:tc>
          <w:tcPr>
            <w:tcW w:w="4400" w:type="dxa"/>
            <w:vAlign w:val="bottom"/>
            <w:tcBorders>
              <w:top w:val="single" w:sz="8" w:color="CEFFE7"/>
            </w:tcBorders>
            <w:gridSpan w:val="3"/>
            <w:shd w:val="clear" w:color="auto" w:fill="CEFFE7"/>
          </w:tcPr>
          <w:p>
            <w:pPr>
              <w:spacing w:after="0"/>
              <w:rPr>
                <w:sz w:val="20"/>
                <w:szCs w:val="20"/>
                <w:color w:val="auto"/>
              </w:rPr>
            </w:pPr>
            <w:r>
              <w:rPr>
                <w:rFonts w:ascii="Arial" w:cs="Arial" w:eastAsia="Arial" w:hAnsi="Arial"/>
                <w:sz w:val="16"/>
                <w:szCs w:val="16"/>
                <w:color w:val="auto"/>
              </w:rPr>
              <w:t>Rider recovery</w:t>
            </w:r>
          </w:p>
        </w:tc>
        <w:tc>
          <w:tcPr>
            <w:tcW w:w="240" w:type="dxa"/>
            <w:vAlign w:val="bottom"/>
            <w:tcBorders>
              <w:top w:val="single" w:sz="8" w:color="CEFFE7"/>
            </w:tcBorders>
            <w:shd w:val="clear" w:color="auto" w:fill="CEFFE7"/>
          </w:tcPr>
          <w:p>
            <w:pPr>
              <w:spacing w:after="0"/>
              <w:rPr>
                <w:sz w:val="18"/>
                <w:szCs w:val="18"/>
                <w:color w:val="auto"/>
              </w:rPr>
            </w:pPr>
          </w:p>
        </w:tc>
        <w:tc>
          <w:tcPr>
            <w:tcW w:w="860" w:type="dxa"/>
            <w:vAlign w:val="bottom"/>
            <w:tcBorders>
              <w:top w:val="single" w:sz="8" w:color="CEFFE7"/>
            </w:tcBorders>
            <w:shd w:val="clear" w:color="auto" w:fill="CEFFE7"/>
          </w:tcPr>
          <w:p>
            <w:pPr>
              <w:spacing w:after="0"/>
              <w:rPr>
                <w:sz w:val="18"/>
                <w:szCs w:val="18"/>
                <w:color w:val="auto"/>
              </w:rPr>
            </w:pPr>
          </w:p>
        </w:tc>
        <w:tc>
          <w:tcPr>
            <w:tcW w:w="280" w:type="dxa"/>
            <w:vAlign w:val="bottom"/>
            <w:tcBorders>
              <w:top w:val="single" w:sz="8" w:color="CEFFE7"/>
            </w:tcBorders>
            <w:shd w:val="clear" w:color="auto" w:fill="CEFFE7"/>
          </w:tcPr>
          <w:p>
            <w:pPr>
              <w:spacing w:after="0"/>
              <w:rPr>
                <w:sz w:val="18"/>
                <w:szCs w:val="18"/>
                <w:color w:val="auto"/>
              </w:rPr>
            </w:pPr>
          </w:p>
        </w:tc>
        <w:tc>
          <w:tcPr>
            <w:tcW w:w="700" w:type="dxa"/>
            <w:vAlign w:val="bottom"/>
            <w:tcBorders>
              <w:top w:val="single" w:sz="8" w:color="CEFFE7"/>
            </w:tcBorders>
            <w:shd w:val="clear" w:color="auto" w:fill="CEFFE7"/>
          </w:tcPr>
          <w:p>
            <w:pPr>
              <w:spacing w:after="0"/>
              <w:rPr>
                <w:sz w:val="18"/>
                <w:szCs w:val="18"/>
                <w:color w:val="auto"/>
              </w:rPr>
            </w:pPr>
          </w:p>
        </w:tc>
        <w:tc>
          <w:tcPr>
            <w:tcW w:w="160" w:type="dxa"/>
            <w:vAlign w:val="bottom"/>
            <w:tcBorders>
              <w:top w:val="single" w:sz="8" w:color="CEFFE7"/>
            </w:tcBorders>
            <w:shd w:val="clear" w:color="auto" w:fill="CEFFE7"/>
          </w:tcPr>
          <w:p>
            <w:pPr>
              <w:spacing w:after="0"/>
              <w:rPr>
                <w:sz w:val="18"/>
                <w:szCs w:val="18"/>
                <w:color w:val="auto"/>
              </w:rPr>
            </w:pPr>
          </w:p>
        </w:tc>
        <w:tc>
          <w:tcPr>
            <w:tcW w:w="200" w:type="dxa"/>
            <w:vAlign w:val="bottom"/>
            <w:tcBorders>
              <w:top w:val="single" w:sz="8" w:color="CEFFE7"/>
            </w:tcBorders>
            <w:shd w:val="clear" w:color="auto" w:fill="CEFFE7"/>
          </w:tcPr>
          <w:p>
            <w:pPr>
              <w:spacing w:after="0"/>
              <w:rPr>
                <w:sz w:val="18"/>
                <w:szCs w:val="18"/>
                <w:color w:val="auto"/>
              </w:rPr>
            </w:pPr>
          </w:p>
        </w:tc>
        <w:tc>
          <w:tcPr>
            <w:tcW w:w="940" w:type="dxa"/>
            <w:vAlign w:val="bottom"/>
            <w:tcBorders>
              <w:top w:val="single" w:sz="8" w:color="CEFFE7"/>
            </w:tcBorders>
            <w:shd w:val="clear" w:color="auto" w:fill="CEFFE7"/>
          </w:tcPr>
          <w:p>
            <w:pPr>
              <w:spacing w:after="0"/>
              <w:rPr>
                <w:sz w:val="18"/>
                <w:szCs w:val="18"/>
                <w:color w:val="auto"/>
              </w:rPr>
            </w:pPr>
          </w:p>
        </w:tc>
        <w:tc>
          <w:tcPr>
            <w:tcW w:w="260" w:type="dxa"/>
            <w:vAlign w:val="bottom"/>
            <w:tcBorders>
              <w:top w:val="single" w:sz="8" w:color="CEFFE7"/>
            </w:tcBorders>
            <w:shd w:val="clear" w:color="auto" w:fill="CEFFE7"/>
          </w:tcPr>
          <w:p>
            <w:pPr>
              <w:spacing w:after="0"/>
              <w:rPr>
                <w:sz w:val="18"/>
                <w:szCs w:val="18"/>
                <w:color w:val="auto"/>
              </w:rPr>
            </w:pPr>
          </w:p>
        </w:tc>
        <w:tc>
          <w:tcPr>
            <w:tcW w:w="860" w:type="dxa"/>
            <w:vAlign w:val="bottom"/>
            <w:tcBorders>
              <w:top w:val="single" w:sz="8" w:color="CEFFE7"/>
            </w:tcBorders>
            <w:shd w:val="clear" w:color="auto" w:fill="CEFFE7"/>
          </w:tcPr>
          <w:p>
            <w:pPr>
              <w:spacing w:after="0"/>
              <w:rPr>
                <w:sz w:val="18"/>
                <w:szCs w:val="18"/>
                <w:color w:val="auto"/>
              </w:rPr>
            </w:pPr>
          </w:p>
        </w:tc>
        <w:tc>
          <w:tcPr>
            <w:tcW w:w="80" w:type="dxa"/>
            <w:vAlign w:val="bottom"/>
            <w:tcBorders>
              <w:top w:val="single" w:sz="8" w:color="CEFFE7"/>
            </w:tcBorders>
            <w:shd w:val="clear" w:color="auto" w:fill="CEFFE7"/>
          </w:tcPr>
          <w:p>
            <w:pPr>
              <w:spacing w:after="0"/>
              <w:rPr>
                <w:sz w:val="18"/>
                <w:szCs w:val="18"/>
                <w:color w:val="auto"/>
              </w:rPr>
            </w:pPr>
          </w:p>
        </w:tc>
        <w:tc>
          <w:tcPr>
            <w:tcW w:w="220" w:type="dxa"/>
            <w:vAlign w:val="bottom"/>
            <w:tcBorders>
              <w:top w:val="single" w:sz="8" w:color="auto"/>
            </w:tcBorders>
            <w:shd w:val="clear" w:color="auto" w:fill="CEFFE7"/>
          </w:tcPr>
          <w:p>
            <w:pPr>
              <w:spacing w:after="0"/>
              <w:rPr>
                <w:sz w:val="18"/>
                <w:szCs w:val="18"/>
                <w:color w:val="auto"/>
              </w:rPr>
            </w:pPr>
          </w:p>
        </w:tc>
        <w:tc>
          <w:tcPr>
            <w:tcW w:w="840" w:type="dxa"/>
            <w:vAlign w:val="bottom"/>
            <w:tcBorders>
              <w:top w:val="single" w:sz="8" w:color="auto"/>
            </w:tcBorders>
            <w:shd w:val="clear" w:color="auto" w:fill="CEFFE7"/>
          </w:tcPr>
          <w:p>
            <w:pPr>
              <w:spacing w:after="0"/>
              <w:rPr>
                <w:sz w:val="18"/>
                <w:szCs w:val="18"/>
                <w:color w:val="auto"/>
              </w:rPr>
            </w:pPr>
          </w:p>
        </w:tc>
        <w:tc>
          <w:tcPr>
            <w:tcW w:w="200" w:type="dxa"/>
            <w:vAlign w:val="bottom"/>
            <w:tcBorders>
              <w:top w:val="single" w:sz="8" w:color="auto"/>
            </w:tcBorders>
            <w:shd w:val="clear" w:color="auto" w:fill="CEFFE7"/>
          </w:tcPr>
          <w:p>
            <w:pPr>
              <w:spacing w:after="0"/>
              <w:rPr>
                <w:sz w:val="18"/>
                <w:szCs w:val="18"/>
                <w:color w:val="auto"/>
              </w:rPr>
            </w:pPr>
          </w:p>
        </w:tc>
        <w:tc>
          <w:tcPr>
            <w:tcW w:w="940" w:type="dxa"/>
            <w:vAlign w:val="bottom"/>
            <w:tcBorders>
              <w:top w:val="single" w:sz="8" w:color="auto"/>
            </w:tcBorders>
            <w:shd w:val="clear" w:color="auto" w:fill="CEFFE7"/>
          </w:tcPr>
          <w:p>
            <w:pPr>
              <w:jc w:val="center"/>
              <w:ind w:left="479"/>
              <w:spacing w:after="0"/>
              <w:rPr>
                <w:sz w:val="20"/>
                <w:szCs w:val="20"/>
                <w:color w:val="auto"/>
              </w:rPr>
            </w:pPr>
            <w:r>
              <w:rPr>
                <w:rFonts w:ascii="Arial" w:cs="Arial" w:eastAsia="Arial" w:hAnsi="Arial"/>
                <w:sz w:val="16"/>
                <w:szCs w:val="16"/>
                <w:color w:val="auto"/>
                <w:w w:val="98"/>
              </w:rPr>
              <w:t>2.7</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400" w:type="dxa"/>
            <w:vAlign w:val="bottom"/>
            <w:gridSpan w:val="3"/>
          </w:tcPr>
          <w:p>
            <w:pPr>
              <w:spacing w:after="0" w:line="216" w:lineRule="exact"/>
              <w:rPr>
                <w:sz w:val="20"/>
                <w:szCs w:val="20"/>
                <w:color w:val="auto"/>
              </w:rPr>
            </w:pPr>
            <w:r>
              <w:rPr>
                <w:rFonts w:ascii="Arial" w:cs="Arial" w:eastAsia="Arial" w:hAnsi="Arial"/>
                <w:sz w:val="16"/>
                <w:szCs w:val="16"/>
                <w:color w:val="auto"/>
              </w:rPr>
              <w:t xml:space="preserve">Winter Storm Uri impacts </w:t>
            </w:r>
            <w:r>
              <w:rPr>
                <w:rFonts w:ascii="Arial" w:cs="Arial" w:eastAsia="Arial" w:hAnsi="Arial"/>
                <w:sz w:val="21"/>
                <w:szCs w:val="21"/>
                <w:color w:val="auto"/>
                <w:vertAlign w:val="superscript"/>
              </w:rPr>
              <w:t>(a)</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left="479"/>
              <w:spacing w:after="0"/>
              <w:rPr>
                <w:sz w:val="20"/>
                <w:szCs w:val="20"/>
                <w:color w:val="auto"/>
              </w:rPr>
            </w:pPr>
            <w:r>
              <w:rPr>
                <w:rFonts w:ascii="Arial" w:cs="Arial" w:eastAsia="Arial" w:hAnsi="Arial"/>
                <w:sz w:val="16"/>
                <w:szCs w:val="16"/>
                <w:color w:val="auto"/>
                <w:w w:val="98"/>
              </w:rPr>
              <w:t>2.4</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400" w:type="dxa"/>
            <w:vAlign w:val="bottom"/>
            <w:gridSpan w:val="3"/>
            <w:shd w:val="clear" w:color="auto" w:fill="CEFFE7"/>
          </w:tcPr>
          <w:p>
            <w:pPr>
              <w:spacing w:after="0"/>
              <w:rPr>
                <w:sz w:val="20"/>
                <w:szCs w:val="20"/>
                <w:color w:val="auto"/>
              </w:rPr>
            </w:pPr>
            <w:r>
              <w:rPr>
                <w:rFonts w:ascii="Arial" w:cs="Arial" w:eastAsia="Arial" w:hAnsi="Arial"/>
                <w:sz w:val="16"/>
                <w:szCs w:val="16"/>
                <w:color w:val="auto"/>
              </w:rPr>
              <w:t>Wholesale, Power Marketing and Tech Services</w:t>
            </w:r>
          </w:p>
        </w:tc>
        <w:tc>
          <w:tcPr>
            <w:tcW w:w="24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280" w:type="dxa"/>
            <w:vAlign w:val="bottom"/>
            <w:shd w:val="clear" w:color="auto" w:fill="CEFFE7"/>
          </w:tcPr>
          <w:p>
            <w:pPr>
              <w:spacing w:after="0"/>
              <w:rPr>
                <w:sz w:val="18"/>
                <w:szCs w:val="18"/>
                <w:color w:val="auto"/>
              </w:rPr>
            </w:pPr>
          </w:p>
        </w:tc>
        <w:tc>
          <w:tcPr>
            <w:tcW w:w="70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94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8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940" w:type="dxa"/>
            <w:vAlign w:val="bottom"/>
            <w:shd w:val="clear" w:color="auto" w:fill="CEFFE7"/>
          </w:tcPr>
          <w:p>
            <w:pPr>
              <w:jc w:val="center"/>
              <w:ind w:left="479"/>
              <w:spacing w:after="0"/>
              <w:rPr>
                <w:sz w:val="20"/>
                <w:szCs w:val="20"/>
                <w:color w:val="auto"/>
              </w:rPr>
            </w:pPr>
            <w:r>
              <w:rPr>
                <w:rFonts w:ascii="Arial" w:cs="Arial" w:eastAsia="Arial" w:hAnsi="Arial"/>
                <w:sz w:val="16"/>
                <w:szCs w:val="16"/>
                <w:color w:val="auto"/>
                <w:w w:val="98"/>
              </w:rPr>
              <w:t>2.2</w:t>
            </w: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Arial" w:cs="Arial" w:eastAsia="Arial" w:hAnsi="Arial"/>
                <w:sz w:val="16"/>
                <w:szCs w:val="16"/>
                <w:color w:val="auto"/>
              </w:rPr>
              <w:t>Prior year COVID-19 impacts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left="479"/>
              <w:spacing w:after="0"/>
              <w:rPr>
                <w:sz w:val="20"/>
                <w:szCs w:val="20"/>
                <w:color w:val="auto"/>
              </w:rPr>
            </w:pPr>
            <w:r>
              <w:rPr>
                <w:rFonts w:ascii="Arial" w:cs="Arial" w:eastAsia="Arial" w:hAnsi="Arial"/>
                <w:sz w:val="16"/>
                <w:szCs w:val="16"/>
                <w:color w:val="auto"/>
                <w:w w:val="98"/>
              </w:rPr>
              <w:t>1.5</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400" w:type="dxa"/>
            <w:vAlign w:val="bottom"/>
            <w:gridSpan w:val="3"/>
            <w:shd w:val="clear" w:color="auto" w:fill="CEFFE7"/>
          </w:tcPr>
          <w:p>
            <w:pPr>
              <w:spacing w:after="0"/>
              <w:rPr>
                <w:sz w:val="20"/>
                <w:szCs w:val="20"/>
                <w:color w:val="auto"/>
              </w:rPr>
            </w:pPr>
            <w:r>
              <w:rPr>
                <w:rFonts w:ascii="Arial" w:cs="Arial" w:eastAsia="Arial" w:hAnsi="Arial"/>
                <w:sz w:val="16"/>
                <w:szCs w:val="16"/>
                <w:color w:val="auto"/>
              </w:rPr>
              <w:t>Residential customer growth</w:t>
            </w:r>
          </w:p>
        </w:tc>
        <w:tc>
          <w:tcPr>
            <w:tcW w:w="240" w:type="dxa"/>
            <w:vAlign w:val="bottom"/>
            <w:shd w:val="clear" w:color="auto" w:fill="CEFFE7"/>
          </w:tcPr>
          <w:p>
            <w:pPr>
              <w:spacing w:after="0"/>
              <w:rPr>
                <w:sz w:val="19"/>
                <w:szCs w:val="19"/>
                <w:color w:val="auto"/>
              </w:rPr>
            </w:pPr>
          </w:p>
        </w:tc>
        <w:tc>
          <w:tcPr>
            <w:tcW w:w="860" w:type="dxa"/>
            <w:vAlign w:val="bottom"/>
            <w:shd w:val="clear" w:color="auto" w:fill="CEFFE7"/>
          </w:tcPr>
          <w:p>
            <w:pPr>
              <w:spacing w:after="0"/>
              <w:rPr>
                <w:sz w:val="19"/>
                <w:szCs w:val="19"/>
                <w:color w:val="auto"/>
              </w:rPr>
            </w:pPr>
          </w:p>
        </w:tc>
        <w:tc>
          <w:tcPr>
            <w:tcW w:w="280" w:type="dxa"/>
            <w:vAlign w:val="bottom"/>
            <w:shd w:val="clear" w:color="auto" w:fill="CEFFE7"/>
          </w:tcPr>
          <w:p>
            <w:pPr>
              <w:spacing w:after="0"/>
              <w:rPr>
                <w:sz w:val="19"/>
                <w:szCs w:val="19"/>
                <w:color w:val="auto"/>
              </w:rPr>
            </w:pPr>
          </w:p>
        </w:tc>
        <w:tc>
          <w:tcPr>
            <w:tcW w:w="70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94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860" w:type="dxa"/>
            <w:vAlign w:val="bottom"/>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940" w:type="dxa"/>
            <w:vAlign w:val="bottom"/>
            <w:shd w:val="clear" w:color="auto" w:fill="CEFFE7"/>
          </w:tcPr>
          <w:p>
            <w:pPr>
              <w:jc w:val="center"/>
              <w:ind w:left="479"/>
              <w:spacing w:after="0"/>
              <w:rPr>
                <w:sz w:val="20"/>
                <w:szCs w:val="20"/>
                <w:color w:val="auto"/>
              </w:rPr>
            </w:pPr>
            <w:r>
              <w:rPr>
                <w:rFonts w:ascii="Arial" w:cs="Arial" w:eastAsia="Arial" w:hAnsi="Arial"/>
                <w:sz w:val="16"/>
                <w:szCs w:val="16"/>
                <w:color w:val="auto"/>
                <w:w w:val="98"/>
              </w:rPr>
              <w:t>0.4</w:t>
            </w:r>
          </w:p>
        </w:tc>
        <w:tc>
          <w:tcPr>
            <w:tcW w:w="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4400" w:type="dxa"/>
            <w:vAlign w:val="bottom"/>
            <w:gridSpan w:val="3"/>
          </w:tcPr>
          <w:p>
            <w:pPr>
              <w:spacing w:after="0" w:line="216" w:lineRule="exact"/>
              <w:rPr>
                <w:sz w:val="20"/>
                <w:szCs w:val="20"/>
                <w:color w:val="auto"/>
              </w:rPr>
            </w:pPr>
            <w:r>
              <w:rPr>
                <w:rFonts w:ascii="Arial" w:cs="Arial" w:eastAsia="Arial" w:hAnsi="Arial"/>
                <w:sz w:val="16"/>
                <w:szCs w:val="16"/>
                <w:color w:val="auto"/>
              </w:rPr>
              <w:t xml:space="preserve">Mark-to-market on wholesale energy contracts </w:t>
            </w:r>
            <w:r>
              <w:rPr>
                <w:rFonts w:ascii="Arial" w:cs="Arial" w:eastAsia="Arial" w:hAnsi="Arial"/>
                <w:sz w:val="21"/>
                <w:szCs w:val="21"/>
                <w:color w:val="auto"/>
                <w:vertAlign w:val="superscript"/>
              </w:rPr>
              <w:t>(b)</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left="479"/>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400" w:type="dxa"/>
            <w:vAlign w:val="bottom"/>
            <w:gridSpan w:val="3"/>
            <w:shd w:val="clear" w:color="auto" w:fill="CEFFE7"/>
          </w:tcPr>
          <w:p>
            <w:pPr>
              <w:spacing w:after="0" w:line="216" w:lineRule="exact"/>
              <w:rPr>
                <w:sz w:val="20"/>
                <w:szCs w:val="20"/>
                <w:color w:val="auto"/>
              </w:rPr>
            </w:pPr>
            <w:r>
              <w:rPr>
                <w:rFonts w:ascii="Arial" w:cs="Arial" w:eastAsia="Arial" w:hAnsi="Arial"/>
                <w:sz w:val="16"/>
                <w:szCs w:val="16"/>
                <w:color w:val="auto"/>
              </w:rPr>
              <w:t xml:space="preserve">TCJA-related bill credits </w:t>
            </w:r>
            <w:r>
              <w:rPr>
                <w:rFonts w:ascii="Arial" w:cs="Arial" w:eastAsia="Arial" w:hAnsi="Arial"/>
                <w:sz w:val="21"/>
                <w:szCs w:val="21"/>
                <w:color w:val="auto"/>
                <w:vertAlign w:val="superscript"/>
              </w:rPr>
              <w:t>(c)</w:t>
            </w:r>
          </w:p>
        </w:tc>
        <w:tc>
          <w:tcPr>
            <w:tcW w:w="24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280" w:type="dxa"/>
            <w:vAlign w:val="bottom"/>
            <w:shd w:val="clear" w:color="auto" w:fill="CEFFE7"/>
          </w:tcPr>
          <w:p>
            <w:pPr>
              <w:spacing w:after="0"/>
              <w:rPr>
                <w:sz w:val="18"/>
                <w:szCs w:val="18"/>
                <w:color w:val="auto"/>
              </w:rPr>
            </w:pPr>
          </w:p>
        </w:tc>
        <w:tc>
          <w:tcPr>
            <w:tcW w:w="70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94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8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940" w:type="dxa"/>
            <w:vAlign w:val="bottom"/>
            <w:shd w:val="clear" w:color="auto" w:fill="CEFFE7"/>
          </w:tcPr>
          <w:p>
            <w:pPr>
              <w:jc w:val="center"/>
              <w:ind w:left="479"/>
              <w:spacing w:after="0"/>
              <w:rPr>
                <w:sz w:val="20"/>
                <w:szCs w:val="20"/>
                <w:color w:val="auto"/>
              </w:rPr>
            </w:pPr>
            <w:r>
              <w:rPr>
                <w:rFonts w:ascii="Arial" w:cs="Arial" w:eastAsia="Arial" w:hAnsi="Arial"/>
                <w:sz w:val="16"/>
                <w:szCs w:val="16"/>
                <w:color w:val="auto"/>
              </w:rPr>
              <w:t>(0.9)</w:t>
            </w: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Arial" w:cs="Arial" w:eastAsia="Arial" w:hAnsi="Arial"/>
                <w:sz w:val="16"/>
                <w:szCs w:val="16"/>
                <w:color w:val="auto"/>
              </w:rPr>
              <w:t>Weather</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left="479"/>
              <w:spacing w:after="0"/>
              <w:rPr>
                <w:sz w:val="20"/>
                <w:szCs w:val="20"/>
                <w:color w:val="auto"/>
              </w:rPr>
            </w:pPr>
            <w:r>
              <w:rPr>
                <w:rFonts w:ascii="Arial" w:cs="Arial" w:eastAsia="Arial" w:hAnsi="Arial"/>
                <w:sz w:val="16"/>
                <w:szCs w:val="16"/>
                <w:color w:val="auto"/>
              </w:rPr>
              <w:t>(0.7)</w:t>
            </w: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400" w:type="dxa"/>
            <w:vAlign w:val="bottom"/>
            <w:gridSpan w:val="3"/>
            <w:shd w:val="clear" w:color="auto" w:fill="CEFFE7"/>
          </w:tcPr>
          <w:p>
            <w:pPr>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280" w:type="dxa"/>
            <w:vAlign w:val="bottom"/>
            <w:shd w:val="clear" w:color="auto" w:fill="CEFFE7"/>
          </w:tcPr>
          <w:p>
            <w:pPr>
              <w:spacing w:after="0"/>
              <w:rPr>
                <w:sz w:val="18"/>
                <w:szCs w:val="18"/>
                <w:color w:val="auto"/>
              </w:rPr>
            </w:pPr>
          </w:p>
        </w:tc>
        <w:tc>
          <w:tcPr>
            <w:tcW w:w="70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94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80" w:type="dxa"/>
            <w:vAlign w:val="bottom"/>
            <w:shd w:val="clear" w:color="auto" w:fill="CEFFE7"/>
          </w:tcPr>
          <w:p>
            <w:pPr>
              <w:spacing w:after="0"/>
              <w:rPr>
                <w:sz w:val="18"/>
                <w:szCs w:val="18"/>
                <w:color w:val="auto"/>
              </w:rPr>
            </w:pPr>
          </w:p>
        </w:tc>
        <w:tc>
          <w:tcPr>
            <w:tcW w:w="22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shd w:val="clear" w:color="auto" w:fill="CEFFE7"/>
          </w:tcPr>
          <w:p>
            <w:pPr>
              <w:spacing w:after="0"/>
              <w:rPr>
                <w:sz w:val="18"/>
                <w:szCs w:val="18"/>
                <w:color w:val="auto"/>
              </w:rPr>
            </w:pPr>
          </w:p>
        </w:tc>
        <w:tc>
          <w:tcPr>
            <w:tcW w:w="20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center"/>
              <w:ind w:left="479"/>
              <w:spacing w:after="0"/>
              <w:rPr>
                <w:sz w:val="20"/>
                <w:szCs w:val="20"/>
                <w:color w:val="auto"/>
              </w:rPr>
            </w:pPr>
            <w:r>
              <w:rPr>
                <w:rFonts w:ascii="Arial" w:cs="Arial" w:eastAsia="Arial" w:hAnsi="Arial"/>
                <w:sz w:val="16"/>
                <w:szCs w:val="16"/>
                <w:color w:val="auto"/>
                <w:w w:val="98"/>
              </w:rPr>
              <w:t>1.3</w:t>
            </w: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Arial" w:cs="Arial" w:eastAsia="Arial" w:hAnsi="Arial"/>
                <w:sz w:val="16"/>
                <w:szCs w:val="16"/>
                <w:color w:val="auto"/>
              </w:rPr>
              <w:t>Total change in Gross margin (non-GAAP)</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left="479"/>
              <w:spacing w:after="0"/>
              <w:rPr>
                <w:sz w:val="20"/>
                <w:szCs w:val="20"/>
                <w:color w:val="auto"/>
              </w:rPr>
            </w:pPr>
            <w:r>
              <w:rPr>
                <w:rFonts w:ascii="Arial" w:cs="Arial" w:eastAsia="Arial" w:hAnsi="Arial"/>
                <w:sz w:val="16"/>
                <w:szCs w:val="16"/>
                <w:color w:val="auto"/>
                <w:w w:val="98"/>
              </w:rPr>
              <w:t>5.5</w:t>
            </w:r>
          </w:p>
        </w:tc>
        <w:tc>
          <w:tcPr>
            <w:tcW w:w="2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8" w:lineRule="exact"/>
        <w:rPr>
          <w:sz w:val="20"/>
          <w:szCs w:val="20"/>
          <w:color w:val="auto"/>
        </w:rPr>
      </w:pPr>
    </w:p>
    <w:p>
      <w:pPr>
        <w:ind w:left="340" w:right="40" w:hanging="332"/>
        <w:spacing w:after="0" w:line="241" w:lineRule="auto"/>
        <w:tabs>
          <w:tab w:leader="none" w:pos="352"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the first quarter 2021,our Electric Utilities accrued $3.2 million of negative impacts to our regulated wholesale power margins due to the higher fuel costs associated with Winter Storm Uri. Through regulatory actions in the second quarter of 2021, our Electric Utilities were able to reduce $2.4 million of that negative impact.</w:t>
      </w:r>
    </w:p>
    <w:p>
      <w:pPr>
        <w:ind w:left="340" w:right="60" w:hanging="332"/>
        <w:spacing w:after="0" w:line="241" w:lineRule="auto"/>
        <w:tabs>
          <w:tab w:leader="none" w:pos="352" w:val="left"/>
        </w:tabs>
        <w:numPr>
          <w:ilvl w:val="0"/>
          <w:numId w:val="26"/>
        </w:numPr>
        <w:rPr>
          <w:rFonts w:ascii="Arial" w:cs="Arial" w:eastAsia="Arial" w:hAnsi="Arial"/>
          <w:sz w:val="14"/>
          <w:szCs w:val="14"/>
          <w:color w:val="auto"/>
        </w:rPr>
      </w:pPr>
      <w:r>
        <w:rPr>
          <w:rFonts w:ascii="Arial" w:cs="Arial" w:eastAsia="Arial" w:hAnsi="Arial"/>
          <w:sz w:val="14"/>
          <w:szCs w:val="14"/>
          <w:color w:val="auto"/>
        </w:rPr>
        <w:t>Mark-to-market losses of $3.6 million for the three months ended June 30, 2021 will reverse in the second half of 2021 as these fixed price wholesale energy contracts are settled.</w:t>
      </w:r>
    </w:p>
    <w:p>
      <w:pPr>
        <w:ind w:left="340" w:right="260" w:hanging="332"/>
        <w:spacing w:after="0" w:line="258" w:lineRule="auto"/>
        <w:tabs>
          <w:tab w:leader="none" w:pos="344"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April 2021, Colorado Electric delivered TCJA-related bill credits to its customers. These bill credits were offset by a reduction in income tax expense and resulted in a minimal impact to Net Income.</w:t>
      </w:r>
    </w:p>
    <w:p>
      <w:pPr>
        <w:spacing w:after="0" w:line="218"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higher maintenance costs related to planned and unplanned outages at the Gillette, Wyoming energy complex and higher operating expenses associated with Corriedale which was placed in service November 30, 2020.</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prior and current year capital expenditures.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ind w:left="100"/>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auto"/>
        </w:rPr>
        <w:t>Six Months Ended June 30, 2021 Compared to the Six Months Ended June 30, 2020:</w:t>
      </w:r>
    </w:p>
    <w:p>
      <w:pPr>
        <w:spacing w:after="0" w:line="248"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auto"/>
        </w:rPr>
        <w:t>Gross margin</w:t>
      </w:r>
      <w:r>
        <w:rPr>
          <w:rFonts w:ascii="Arial" w:cs="Arial" w:eastAsia="Arial" w:hAnsi="Arial"/>
          <w:sz w:val="16"/>
          <w:szCs w:val="16"/>
          <w:color w:val="auto"/>
        </w:rPr>
        <w:t xml:space="preserve"> for the six months ended June 30, 2021 decreased as a result of the following:</w:t>
      </w:r>
    </w:p>
    <w:p>
      <w:pPr>
        <w:spacing w:after="0" w:line="194"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90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(in millions)</w:t>
            </w:r>
          </w:p>
        </w:tc>
      </w:tr>
      <w:tr>
        <w:trPr>
          <w:trHeight w:val="213"/>
        </w:trPr>
        <w:tc>
          <w:tcPr>
            <w:tcW w:w="9000" w:type="dxa"/>
            <w:vAlign w:val="bottom"/>
            <w:shd w:val="clear" w:color="auto" w:fill="CEFFE7"/>
          </w:tcPr>
          <w:p>
            <w:pPr>
              <w:ind w:left="20"/>
              <w:spacing w:after="0" w:line="213" w:lineRule="exact"/>
              <w:rPr>
                <w:sz w:val="20"/>
                <w:szCs w:val="20"/>
                <w:color w:val="auto"/>
              </w:rPr>
            </w:pPr>
            <w:r>
              <w:rPr>
                <w:rFonts w:ascii="Arial" w:cs="Arial" w:eastAsia="Arial" w:hAnsi="Arial"/>
                <w:sz w:val="16"/>
                <w:szCs w:val="16"/>
                <w:color w:val="auto"/>
              </w:rPr>
              <w:t xml:space="preserve">TCJA-related bill credits </w:t>
            </w:r>
            <w:r>
              <w:rPr>
                <w:rFonts w:ascii="Arial" w:cs="Arial" w:eastAsia="Arial" w:hAnsi="Arial"/>
                <w:sz w:val="21"/>
                <w:szCs w:val="21"/>
                <w:color w:val="auto"/>
                <w:vertAlign w:val="superscript"/>
              </w:rPr>
              <w:t>(a)</w:t>
            </w:r>
          </w:p>
        </w:tc>
        <w:tc>
          <w:tcPr>
            <w:tcW w:w="40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(10.2)</w:t>
            </w:r>
          </w:p>
        </w:tc>
      </w:tr>
      <w:tr>
        <w:trPr>
          <w:trHeight w:val="216"/>
        </w:trPr>
        <w:tc>
          <w:tcPr>
            <w:tcW w:w="90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Mark-to-market on wholesale energy contracts </w:t>
            </w:r>
            <w:r>
              <w:rPr>
                <w:rFonts w:ascii="Arial" w:cs="Arial" w:eastAsia="Arial" w:hAnsi="Arial"/>
                <w:sz w:val="21"/>
                <w:szCs w:val="21"/>
                <w:color w:val="auto"/>
                <w:vertAlign w:val="superscript"/>
              </w:rPr>
              <w:t>(b)</w:t>
            </w: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6"/>
        </w:trPr>
        <w:tc>
          <w:tcPr>
            <w:tcW w:w="9000" w:type="dxa"/>
            <w:vAlign w:val="bottom"/>
            <w:shd w:val="clear" w:color="auto" w:fill="CEFFE7"/>
          </w:tcPr>
          <w:p>
            <w:pPr>
              <w:ind w:left="20"/>
              <w:spacing w:after="0" w:line="216" w:lineRule="exact"/>
              <w:rPr>
                <w:sz w:val="20"/>
                <w:szCs w:val="20"/>
                <w:color w:val="auto"/>
              </w:rPr>
            </w:pPr>
            <w:r>
              <w:rPr>
                <w:rFonts w:ascii="Arial" w:cs="Arial" w:eastAsia="Arial" w:hAnsi="Arial"/>
                <w:sz w:val="16"/>
                <w:szCs w:val="16"/>
                <w:color w:val="auto"/>
              </w:rPr>
              <w:t xml:space="preserve">Winter Storm Uri impacts </w:t>
            </w:r>
            <w:r>
              <w:rPr>
                <w:rFonts w:ascii="Arial" w:cs="Arial" w:eastAsia="Arial" w:hAnsi="Arial"/>
                <w:sz w:val="21"/>
                <w:szCs w:val="21"/>
                <w:color w:val="auto"/>
                <w:vertAlign w:val="superscript"/>
              </w:rPr>
              <w:t>(c)</w:t>
            </w:r>
          </w:p>
        </w:tc>
        <w:tc>
          <w:tcPr>
            <w:tcW w:w="4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9000" w:type="dxa"/>
            <w:vAlign w:val="bottom"/>
          </w:tcPr>
          <w:p>
            <w:pPr>
              <w:ind w:left="20"/>
              <w:spacing w:after="0"/>
              <w:rPr>
                <w:sz w:val="20"/>
                <w:szCs w:val="20"/>
                <w:color w:val="auto"/>
              </w:rPr>
            </w:pPr>
            <w:r>
              <w:rPr>
                <w:rFonts w:ascii="Arial" w:cs="Arial" w:eastAsia="Arial" w:hAnsi="Arial"/>
                <w:sz w:val="16"/>
                <w:szCs w:val="16"/>
                <w:color w:val="auto"/>
              </w:rPr>
              <w:t>Rider recovery</w:t>
            </w: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9"/>
        </w:trPr>
        <w:tc>
          <w:tcPr>
            <w:tcW w:w="9000" w:type="dxa"/>
            <w:vAlign w:val="bottom"/>
            <w:shd w:val="clear" w:color="auto" w:fill="CEFFE7"/>
          </w:tcPr>
          <w:p>
            <w:pPr>
              <w:ind w:left="20"/>
              <w:spacing w:after="0"/>
              <w:rPr>
                <w:sz w:val="20"/>
                <w:szCs w:val="20"/>
                <w:color w:val="auto"/>
              </w:rPr>
            </w:pPr>
            <w:r>
              <w:rPr>
                <w:rFonts w:ascii="Arial" w:cs="Arial" w:eastAsia="Arial" w:hAnsi="Arial"/>
                <w:sz w:val="16"/>
                <w:szCs w:val="16"/>
                <w:color w:val="auto"/>
              </w:rPr>
              <w:t>Wholesale, Power Marketing and Tech Services</w:t>
            </w:r>
          </w:p>
        </w:tc>
        <w:tc>
          <w:tcPr>
            <w:tcW w:w="400" w:type="dxa"/>
            <w:vAlign w:val="bottom"/>
            <w:shd w:val="clear" w:color="auto" w:fill="CEFFE7"/>
          </w:tcPr>
          <w:p>
            <w:pPr>
              <w:spacing w:after="0"/>
              <w:rPr>
                <w:sz w:val="19"/>
                <w:szCs w:val="19"/>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9000" w:type="dxa"/>
            <w:vAlign w:val="bottom"/>
          </w:tcPr>
          <w:p>
            <w:pPr>
              <w:ind w:left="20"/>
              <w:spacing w:after="0"/>
              <w:rPr>
                <w:sz w:val="20"/>
                <w:szCs w:val="20"/>
                <w:color w:val="auto"/>
              </w:rPr>
            </w:pPr>
            <w:r>
              <w:rPr>
                <w:rFonts w:ascii="Arial" w:cs="Arial" w:eastAsia="Arial" w:hAnsi="Arial"/>
                <w:sz w:val="16"/>
                <w:szCs w:val="16"/>
                <w:color w:val="auto"/>
              </w:rPr>
              <w:t>Prior year COVID-19 impacts</w:t>
            </w: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900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Residential customer growth</w:t>
            </w:r>
          </w:p>
        </w:tc>
        <w:tc>
          <w:tcPr>
            <w:tcW w:w="400" w:type="dxa"/>
            <w:vAlign w:val="bottom"/>
            <w:shd w:val="clear" w:color="auto" w:fill="CEFFE7"/>
          </w:tcPr>
          <w:p>
            <w:pPr>
              <w:spacing w:after="0"/>
              <w:rPr>
                <w:sz w:val="19"/>
                <w:szCs w:val="19"/>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0.7</w:t>
            </w:r>
          </w:p>
        </w:tc>
      </w:tr>
      <w:tr>
        <w:trPr>
          <w:trHeight w:val="213"/>
        </w:trPr>
        <w:tc>
          <w:tcPr>
            <w:tcW w:w="9000" w:type="dxa"/>
            <w:vAlign w:val="bottom"/>
          </w:tcPr>
          <w:p>
            <w:pPr>
              <w:ind w:left="20"/>
              <w:spacing w:after="0"/>
              <w:rPr>
                <w:sz w:val="20"/>
                <w:szCs w:val="20"/>
                <w:color w:val="auto"/>
              </w:rPr>
            </w:pPr>
            <w:r>
              <w:rPr>
                <w:rFonts w:ascii="Arial" w:cs="Arial" w:eastAsia="Arial" w:hAnsi="Arial"/>
                <w:sz w:val="16"/>
                <w:szCs w:val="16"/>
                <w:color w:val="auto"/>
              </w:rPr>
              <w:t>Weather</w:t>
            </w: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6"/>
        </w:trPr>
        <w:tc>
          <w:tcPr>
            <w:tcW w:w="900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shd w:val="clear" w:color="auto" w:fill="CEFFE7"/>
          </w:tcPr>
          <w:p>
            <w:pPr>
              <w:spacing w:after="0"/>
              <w:rPr>
                <w:sz w:val="18"/>
                <w:szCs w:val="18"/>
                <w:color w:val="auto"/>
              </w:rPr>
            </w:pP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9000" w:type="dxa"/>
            <w:vAlign w:val="bottom"/>
          </w:tcPr>
          <w:p>
            <w:pPr>
              <w:ind w:left="20"/>
              <w:spacing w:after="0"/>
              <w:rPr>
                <w:sz w:val="20"/>
                <w:szCs w:val="20"/>
                <w:color w:val="auto"/>
              </w:rPr>
            </w:pPr>
            <w:r>
              <w:rPr>
                <w:rFonts w:ascii="Arial" w:cs="Arial" w:eastAsia="Arial" w:hAnsi="Arial"/>
                <w:sz w:val="16"/>
                <w:szCs w:val="16"/>
                <w:color w:val="auto"/>
              </w:rPr>
              <w:t>Total change in Gross margin (non-GAAP)</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r>
      <w:tr>
        <w:trPr>
          <w:trHeight w:val="20"/>
        </w:trPr>
        <w:tc>
          <w:tcPr>
            <w:tcW w:w="9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________________</w:t>
      </w:r>
    </w:p>
    <w:p>
      <w:pPr>
        <w:spacing w:after="0" w:line="8" w:lineRule="exact"/>
        <w:rPr>
          <w:sz w:val="20"/>
          <w:szCs w:val="20"/>
          <w:color w:val="auto"/>
        </w:rPr>
      </w:pPr>
    </w:p>
    <w:p>
      <w:pPr>
        <w:ind w:left="440" w:right="180" w:hanging="332"/>
        <w:spacing w:after="0" w:line="241" w:lineRule="auto"/>
        <w:tabs>
          <w:tab w:leader="none" w:pos="452"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 February and April 2021, Colorado Electric delivered TCJA-related bill credits to its customers. These bill credits were offset by a reduction in income tax expense and resulted in a minimal impact to Net income.</w:t>
      </w:r>
    </w:p>
    <w:p>
      <w:pPr>
        <w:ind w:left="440" w:right="220" w:hanging="332"/>
        <w:spacing w:after="0" w:line="241" w:lineRule="auto"/>
        <w:tabs>
          <w:tab w:leader="none" w:pos="452"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Mark-to-market losses of $5.1 million for the six months ended June 30, 2021 will reverse in the second half of 2021 as these fixed price wholesale energy contracts are settled.</w:t>
      </w:r>
    </w:p>
    <w:p>
      <w:pPr>
        <w:ind w:left="440" w:right="340" w:hanging="332"/>
        <w:spacing w:after="0" w:line="258" w:lineRule="auto"/>
        <w:tabs>
          <w:tab w:leader="none" w:pos="436" w:val="left"/>
        </w:tabs>
        <w:numPr>
          <w:ilvl w:val="0"/>
          <w:numId w:val="27"/>
        </w:numPr>
        <w:rPr>
          <w:rFonts w:ascii="Arial" w:cs="Arial" w:eastAsia="Arial" w:hAnsi="Arial"/>
          <w:sz w:val="14"/>
          <w:szCs w:val="14"/>
          <w:color w:val="auto"/>
        </w:rPr>
      </w:pPr>
      <w:r>
        <w:rPr>
          <w:rFonts w:ascii="Arial" w:cs="Arial" w:eastAsia="Arial" w:hAnsi="Arial"/>
          <w:sz w:val="14"/>
          <w:szCs w:val="14"/>
          <w:color w:val="auto"/>
        </w:rPr>
        <w:t>As a result of Winter Storm Uri, our Electric Utilities incurred a $0.8 million negative impact to our regulated wholesale power margins due to higher fuel costs and $2.1 million of incremental fuel costs that are not recoverable through our fuel cost recovery mechanisms.</w:t>
      </w:r>
    </w:p>
    <w:p>
      <w:pPr>
        <w:spacing w:after="0" w:line="218" w:lineRule="exact"/>
        <w:rPr>
          <w:sz w:val="20"/>
          <w:szCs w:val="20"/>
          <w:color w:val="auto"/>
        </w:rPr>
      </w:pPr>
    </w:p>
    <w:p>
      <w:pPr>
        <w:ind w:left="100" w:right="340"/>
        <w:spacing w:after="0" w:line="253"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remained constant primarily due to higher maintenance costs related to planned and unplanned outages at the Gillette, Wyoming energy complex and higher operating expenses associated with Corriedale which was placed in service November 30, 2020, offset by prior year expenses related to the municipalization efforts in Pueblo, Colorado.</w:t>
      </w:r>
    </w:p>
    <w:p>
      <w:pPr>
        <w:spacing w:after="0" w:line="228"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a higher asset base driven by prior and current year capital expenditures.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6"/>
                <w:szCs w:val="16"/>
                <w:i w:val="1"/>
                <w:iCs w:val="1"/>
                <w:color w:val="auto"/>
              </w:rPr>
              <w:t>Operating Statistics</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20" w:type="dxa"/>
            <w:vAlign w:val="bottom"/>
            <w:gridSpan w:val="2"/>
          </w:tcPr>
          <w:p>
            <w:pPr>
              <w:jc w:val="right"/>
              <w:ind w:right="279"/>
              <w:spacing w:after="0"/>
              <w:rPr>
                <w:sz w:val="20"/>
                <w:szCs w:val="20"/>
                <w:color w:val="auto"/>
              </w:rPr>
            </w:pPr>
            <w:r>
              <w:rPr>
                <w:rFonts w:ascii="Arial" w:cs="Arial" w:eastAsia="Arial" w:hAnsi="Arial"/>
                <w:sz w:val="16"/>
                <w:szCs w:val="16"/>
                <w:color w:val="auto"/>
              </w:rPr>
              <w:t>Revenue (in thousands)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80" w:type="dxa"/>
            <w:vAlign w:val="bottom"/>
            <w:gridSpan w:val="2"/>
          </w:tcPr>
          <w:p>
            <w:pPr>
              <w:jc w:val="right"/>
              <w:ind w:right="319"/>
              <w:spacing w:after="0"/>
              <w:rPr>
                <w:sz w:val="20"/>
                <w:szCs w:val="20"/>
                <w:color w:val="auto"/>
              </w:rPr>
            </w:pPr>
            <w:r>
              <w:rPr>
                <w:rFonts w:ascii="Arial" w:cs="Arial" w:eastAsia="Arial" w:hAnsi="Arial"/>
                <w:sz w:val="16"/>
                <w:szCs w:val="16"/>
                <w:color w:val="auto"/>
              </w:rPr>
              <w:t>Quantities Sold (MWh)</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gridSpan w:val="2"/>
          </w:tcPr>
          <w:p>
            <w:pPr>
              <w:jc w:val="right"/>
              <w:ind w:right="359"/>
              <w:spacing w:after="0"/>
              <w:rPr>
                <w:sz w:val="20"/>
                <w:szCs w:val="20"/>
                <w:color w:val="auto"/>
              </w:rPr>
            </w:pPr>
            <w:r>
              <w:rPr>
                <w:rFonts w:ascii="Arial" w:cs="Arial" w:eastAsia="Arial" w:hAnsi="Arial"/>
                <w:sz w:val="16"/>
                <w:szCs w:val="16"/>
                <w:color w:val="auto"/>
              </w:rPr>
              <w:t>Three Months Ended</w:t>
            </w:r>
          </w:p>
        </w:tc>
        <w:tc>
          <w:tcPr>
            <w:tcW w:w="1980" w:type="dxa"/>
            <w:vAlign w:val="bottom"/>
            <w:gridSpan w:val="2"/>
          </w:tcPr>
          <w:p>
            <w:pPr>
              <w:jc w:val="right"/>
              <w:ind w:right="439"/>
              <w:spacing w:after="0"/>
              <w:rPr>
                <w:sz w:val="20"/>
                <w:szCs w:val="20"/>
                <w:color w:val="auto"/>
              </w:rPr>
            </w:pPr>
            <w:r>
              <w:rPr>
                <w:rFonts w:ascii="Arial" w:cs="Arial" w:eastAsia="Arial" w:hAnsi="Arial"/>
                <w:sz w:val="16"/>
                <w:szCs w:val="16"/>
                <w:color w:val="auto"/>
              </w:rPr>
              <w:t>Six Months Ended</w:t>
            </w:r>
          </w:p>
        </w:tc>
        <w:tc>
          <w:tcPr>
            <w:tcW w:w="100" w:type="dxa"/>
            <w:vAlign w:val="bottom"/>
          </w:tcPr>
          <w:p>
            <w:pPr>
              <w:spacing w:after="0"/>
              <w:rPr>
                <w:sz w:val="15"/>
                <w:szCs w:val="15"/>
                <w:color w:val="auto"/>
              </w:rPr>
            </w:pPr>
          </w:p>
        </w:tc>
        <w:tc>
          <w:tcPr>
            <w:tcW w:w="2080" w:type="dxa"/>
            <w:vAlign w:val="bottom"/>
            <w:gridSpan w:val="2"/>
          </w:tcPr>
          <w:p>
            <w:pPr>
              <w:jc w:val="right"/>
              <w:ind w:right="379"/>
              <w:spacing w:after="0"/>
              <w:rPr>
                <w:sz w:val="20"/>
                <w:szCs w:val="20"/>
                <w:color w:val="auto"/>
              </w:rPr>
            </w:pPr>
            <w:r>
              <w:rPr>
                <w:rFonts w:ascii="Arial" w:cs="Arial" w:eastAsia="Arial" w:hAnsi="Arial"/>
                <w:sz w:val="16"/>
                <w:szCs w:val="16"/>
                <w:color w:val="auto"/>
              </w:rPr>
              <w:t>Three Months Ended</w:t>
            </w:r>
          </w:p>
        </w:tc>
        <w:tc>
          <w:tcPr>
            <w:tcW w:w="2300" w:type="dxa"/>
            <w:vAlign w:val="bottom"/>
            <w:gridSpan w:val="3"/>
          </w:tcPr>
          <w:p>
            <w:pPr>
              <w:ind w:left="140"/>
              <w:spacing w:after="0"/>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gridSpan w:val="2"/>
          </w:tcPr>
          <w:p>
            <w:pPr>
              <w:jc w:val="right"/>
              <w:ind w:right="639"/>
              <w:spacing w:after="0"/>
              <w:rPr>
                <w:sz w:val="20"/>
                <w:szCs w:val="20"/>
                <w:color w:val="auto"/>
              </w:rPr>
            </w:pPr>
            <w:r>
              <w:rPr>
                <w:rFonts w:ascii="Arial" w:cs="Arial" w:eastAsia="Arial" w:hAnsi="Arial"/>
                <w:sz w:val="16"/>
                <w:szCs w:val="16"/>
                <w:color w:val="auto"/>
              </w:rPr>
              <w:t>June 30,</w:t>
            </w:r>
          </w:p>
        </w:tc>
        <w:tc>
          <w:tcPr>
            <w:tcW w:w="1980" w:type="dxa"/>
            <w:vAlign w:val="bottom"/>
            <w:gridSpan w:val="2"/>
          </w:tcPr>
          <w:p>
            <w:pPr>
              <w:jc w:val="right"/>
              <w:ind w:right="619"/>
              <w:spacing w:after="0"/>
              <w:rPr>
                <w:sz w:val="20"/>
                <w:szCs w:val="20"/>
                <w:color w:val="auto"/>
              </w:rPr>
            </w:pPr>
            <w:r>
              <w:rPr>
                <w:rFonts w:ascii="Arial" w:cs="Arial" w:eastAsia="Arial" w:hAnsi="Arial"/>
                <w:sz w:val="16"/>
                <w:szCs w:val="16"/>
                <w:color w:val="auto"/>
              </w:rPr>
              <w:t>June 30,</w:t>
            </w:r>
          </w:p>
        </w:tc>
        <w:tc>
          <w:tcPr>
            <w:tcW w:w="100" w:type="dxa"/>
            <w:vAlign w:val="bottom"/>
          </w:tcPr>
          <w:p>
            <w:pPr>
              <w:spacing w:after="0"/>
              <w:rPr>
                <w:sz w:val="16"/>
                <w:szCs w:val="16"/>
                <w:color w:val="auto"/>
              </w:rPr>
            </w:pPr>
          </w:p>
        </w:tc>
        <w:tc>
          <w:tcPr>
            <w:tcW w:w="2080" w:type="dxa"/>
            <w:vAlign w:val="bottom"/>
            <w:gridSpan w:val="2"/>
          </w:tcPr>
          <w:p>
            <w:pPr>
              <w:jc w:val="right"/>
              <w:ind w:right="679"/>
              <w:spacing w:after="0"/>
              <w:rPr>
                <w:sz w:val="20"/>
                <w:szCs w:val="20"/>
                <w:color w:val="auto"/>
              </w:rPr>
            </w:pPr>
            <w:r>
              <w:rPr>
                <w:rFonts w:ascii="Arial" w:cs="Arial" w:eastAsia="Arial" w:hAnsi="Arial"/>
                <w:sz w:val="16"/>
                <w:szCs w:val="16"/>
                <w:color w:val="auto"/>
              </w:rPr>
              <w:t>June 30,</w:t>
            </w:r>
          </w:p>
        </w:tc>
        <w:tc>
          <w:tcPr>
            <w:tcW w:w="2300" w:type="dxa"/>
            <w:vAlign w:val="bottom"/>
            <w:gridSpan w:val="3"/>
          </w:tcPr>
          <w:p>
            <w:pPr>
              <w:ind w:left="660"/>
              <w:spacing w:after="0"/>
              <w:rPr>
                <w:sz w:val="20"/>
                <w:szCs w:val="20"/>
                <w:color w:val="auto"/>
              </w:rPr>
            </w:pPr>
            <w:r>
              <w:rPr>
                <w:rFonts w:ascii="Arial" w:cs="Arial" w:eastAsia="Arial" w:hAnsi="Arial"/>
                <w:sz w:val="16"/>
                <w:szCs w:val="16"/>
                <w:color w:val="auto"/>
              </w:rPr>
              <w:t>June 30,</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2021</w:t>
            </w: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2020</w:t>
            </w: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2021</w:t>
            </w: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EFFE7"/>
            </w:tcBorders>
          </w:tcPr>
          <w:p>
            <w:pPr>
              <w:spacing w:after="0"/>
              <w:rPr>
                <w:sz w:val="19"/>
                <w:szCs w:val="19"/>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2021</w:t>
            </w: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2021</w:t>
            </w: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2380" w:type="dxa"/>
            <w:vAlign w:val="bottom"/>
            <w:shd w:val="clear" w:color="auto" w:fill="CEFFE7"/>
          </w:tcPr>
          <w:p>
            <w:pPr>
              <w:spacing w:after="0"/>
              <w:rPr>
                <w:sz w:val="20"/>
                <w:szCs w:val="20"/>
                <w:color w:val="auto"/>
              </w:rPr>
            </w:pPr>
            <w:r>
              <w:rPr>
                <w:rFonts w:ascii="Arial" w:cs="Arial" w:eastAsia="Arial" w:hAnsi="Arial"/>
                <w:sz w:val="16"/>
                <w:szCs w:val="16"/>
                <w:color w:val="auto"/>
              </w:rPr>
              <w:t>sidential</w:t>
            </w:r>
          </w:p>
        </w:tc>
        <w:tc>
          <w:tcPr>
            <w:tcW w:w="36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53,451$</w:t>
            </w:r>
          </w:p>
        </w:tc>
        <w:tc>
          <w:tcPr>
            <w:tcW w:w="108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50,148$</w:t>
            </w:r>
          </w:p>
        </w:tc>
        <w:tc>
          <w:tcPr>
            <w:tcW w:w="104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126,211$</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104,653</w:t>
            </w:r>
          </w:p>
        </w:tc>
        <w:tc>
          <w:tcPr>
            <w:tcW w:w="110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335,063</w:t>
            </w:r>
          </w:p>
        </w:tc>
        <w:tc>
          <w:tcPr>
            <w:tcW w:w="108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334,682</w:t>
            </w:r>
          </w:p>
        </w:tc>
        <w:tc>
          <w:tcPr>
            <w:tcW w:w="10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731,149</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707,832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80" w:type="dxa"/>
            <w:vAlign w:val="bottom"/>
            <w:gridSpan w:val="2"/>
          </w:tcPr>
          <w:p>
            <w:pPr>
              <w:spacing w:after="0"/>
              <w:rPr>
                <w:sz w:val="20"/>
                <w:szCs w:val="20"/>
                <w:color w:val="auto"/>
              </w:rPr>
            </w:pPr>
            <w:r>
              <w:rPr>
                <w:rFonts w:ascii="Arial" w:cs="Arial" w:eastAsia="Arial" w:hAnsi="Arial"/>
                <w:sz w:val="16"/>
                <w:szCs w:val="16"/>
                <w:color w:val="auto"/>
              </w:rPr>
              <w:t>mmercial</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66,809</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56,400</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143,816</w:t>
            </w:r>
          </w:p>
        </w:tc>
        <w:tc>
          <w:tcPr>
            <w:tcW w:w="940" w:type="dxa"/>
            <w:vAlign w:val="bottom"/>
          </w:tcPr>
          <w:p>
            <w:pPr>
              <w:jc w:val="right"/>
              <w:spacing w:after="0"/>
              <w:rPr>
                <w:sz w:val="20"/>
                <w:szCs w:val="20"/>
                <w:color w:val="auto"/>
              </w:rPr>
            </w:pPr>
            <w:r>
              <w:rPr>
                <w:rFonts w:ascii="Arial" w:cs="Arial" w:eastAsia="Arial" w:hAnsi="Arial"/>
                <w:sz w:val="16"/>
                <w:szCs w:val="16"/>
                <w:color w:val="auto"/>
              </w:rPr>
              <w:t>114,223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501,463</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459,632</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994,418</w:t>
            </w:r>
          </w:p>
        </w:tc>
        <w:tc>
          <w:tcPr>
            <w:tcW w:w="980" w:type="dxa"/>
            <w:vAlign w:val="bottom"/>
          </w:tcPr>
          <w:p>
            <w:pPr>
              <w:jc w:val="right"/>
              <w:spacing w:after="0"/>
              <w:rPr>
                <w:sz w:val="20"/>
                <w:szCs w:val="20"/>
                <w:color w:val="auto"/>
              </w:rPr>
            </w:pPr>
            <w:r>
              <w:rPr>
                <w:rFonts w:ascii="Arial" w:cs="Arial" w:eastAsia="Arial" w:hAnsi="Arial"/>
                <w:sz w:val="16"/>
                <w:szCs w:val="16"/>
                <w:color w:val="auto"/>
              </w:rPr>
              <w:t>953,940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2380" w:type="dxa"/>
            <w:vAlign w:val="bottom"/>
            <w:shd w:val="clear" w:color="auto" w:fill="CEFFE7"/>
          </w:tcPr>
          <w:p>
            <w:pPr>
              <w:spacing w:after="0"/>
              <w:rPr>
                <w:sz w:val="20"/>
                <w:szCs w:val="20"/>
                <w:color w:val="auto"/>
              </w:rPr>
            </w:pPr>
            <w:r>
              <w:rPr>
                <w:rFonts w:ascii="Arial" w:cs="Arial" w:eastAsia="Arial" w:hAnsi="Arial"/>
                <w:sz w:val="16"/>
                <w:szCs w:val="16"/>
                <w:color w:val="auto"/>
              </w:rPr>
              <w:t>ustrial</w:t>
            </w:r>
          </w:p>
        </w:tc>
        <w:tc>
          <w:tcPr>
            <w:tcW w:w="360" w:type="dxa"/>
            <w:vAlign w:val="bottom"/>
            <w:shd w:val="clear" w:color="auto" w:fill="CEFFE7"/>
          </w:tcPr>
          <w:p>
            <w:pPr>
              <w:spacing w:after="0"/>
              <w:rPr>
                <w:sz w:val="19"/>
                <w:szCs w:val="19"/>
                <w:color w:val="auto"/>
              </w:rPr>
            </w:pP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35,186</w:t>
            </w:r>
          </w:p>
        </w:tc>
        <w:tc>
          <w:tcPr>
            <w:tcW w:w="108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31,896</w:t>
            </w:r>
          </w:p>
        </w:tc>
        <w:tc>
          <w:tcPr>
            <w:tcW w:w="104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78,195</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64,065</w:t>
            </w:r>
          </w:p>
        </w:tc>
        <w:tc>
          <w:tcPr>
            <w:tcW w:w="110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441,793</w:t>
            </w:r>
          </w:p>
        </w:tc>
        <w:tc>
          <w:tcPr>
            <w:tcW w:w="108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459,533</w:t>
            </w:r>
          </w:p>
        </w:tc>
        <w:tc>
          <w:tcPr>
            <w:tcW w:w="10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856,984</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920,165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80" w:type="dxa"/>
            <w:vAlign w:val="bottom"/>
            <w:gridSpan w:val="2"/>
          </w:tcPr>
          <w:p>
            <w:pPr>
              <w:ind w:left="20"/>
              <w:spacing w:after="0"/>
              <w:rPr>
                <w:sz w:val="20"/>
                <w:szCs w:val="20"/>
                <w:color w:val="auto"/>
              </w:rPr>
            </w:pPr>
            <w:r>
              <w:rPr>
                <w:rFonts w:ascii="Arial" w:cs="Arial" w:eastAsia="Arial" w:hAnsi="Arial"/>
                <w:sz w:val="16"/>
                <w:szCs w:val="16"/>
                <w:color w:val="auto"/>
              </w:rPr>
              <w:t>nicipal</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4,382</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4,020</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9,402</w:t>
            </w:r>
          </w:p>
        </w:tc>
        <w:tc>
          <w:tcPr>
            <w:tcW w:w="940" w:type="dxa"/>
            <w:vAlign w:val="bottom"/>
          </w:tcPr>
          <w:p>
            <w:pPr>
              <w:jc w:val="right"/>
              <w:spacing w:after="0"/>
              <w:rPr>
                <w:sz w:val="20"/>
                <w:szCs w:val="20"/>
                <w:color w:val="auto"/>
              </w:rPr>
            </w:pPr>
            <w:r>
              <w:rPr>
                <w:rFonts w:ascii="Arial" w:cs="Arial" w:eastAsia="Arial" w:hAnsi="Arial"/>
                <w:sz w:val="16"/>
                <w:szCs w:val="16"/>
                <w:color w:val="auto"/>
              </w:rPr>
              <w:t>7,898</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39,863</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38,372</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76,105</w:t>
            </w:r>
          </w:p>
        </w:tc>
        <w:tc>
          <w:tcPr>
            <w:tcW w:w="980" w:type="dxa"/>
            <w:vAlign w:val="bottom"/>
          </w:tcPr>
          <w:p>
            <w:pPr>
              <w:jc w:val="right"/>
              <w:spacing w:after="0"/>
              <w:rPr>
                <w:sz w:val="20"/>
                <w:szCs w:val="20"/>
                <w:color w:val="auto"/>
              </w:rPr>
            </w:pPr>
            <w:r>
              <w:rPr>
                <w:rFonts w:ascii="Arial" w:cs="Arial" w:eastAsia="Arial" w:hAnsi="Arial"/>
                <w:sz w:val="16"/>
                <w:szCs w:val="16"/>
                <w:color w:val="auto"/>
              </w:rPr>
              <w:t>74,771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2380" w:type="dxa"/>
            <w:vAlign w:val="bottom"/>
            <w:tcBorders>
              <w:top w:val="single" w:sz="8" w:color="CEFFE7"/>
            </w:tcBorders>
            <w:shd w:val="clear" w:color="auto" w:fill="CEFFE7"/>
          </w:tcPr>
          <w:p>
            <w:pPr>
              <w:spacing w:after="0"/>
              <w:rPr>
                <w:sz w:val="20"/>
                <w:szCs w:val="20"/>
                <w:color w:val="auto"/>
              </w:rPr>
            </w:pPr>
            <w:r>
              <w:rPr>
                <w:rFonts w:ascii="Arial" w:cs="Arial" w:eastAsia="Arial" w:hAnsi="Arial"/>
                <w:sz w:val="16"/>
                <w:szCs w:val="16"/>
                <w:color w:val="auto"/>
                <w:w w:val="98"/>
              </w:rPr>
              <w:t>Subtotal Retail Revenue - Electric</w:t>
            </w:r>
          </w:p>
        </w:tc>
        <w:tc>
          <w:tcPr>
            <w:tcW w:w="360" w:type="dxa"/>
            <w:vAlign w:val="bottom"/>
            <w:tcBorders>
              <w:top w:val="single" w:sz="8" w:color="CEFFE7"/>
            </w:tcBorders>
            <w:shd w:val="clear" w:color="auto" w:fill="CEFFE7"/>
          </w:tcPr>
          <w:p>
            <w:pPr>
              <w:spacing w:after="0"/>
              <w:rPr>
                <w:sz w:val="18"/>
                <w:szCs w:val="18"/>
                <w:color w:val="auto"/>
              </w:rPr>
            </w:pPr>
          </w:p>
        </w:tc>
        <w:tc>
          <w:tcPr>
            <w:tcW w:w="96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159,828</w:t>
            </w:r>
          </w:p>
        </w:tc>
        <w:tc>
          <w:tcPr>
            <w:tcW w:w="1080" w:type="dxa"/>
            <w:vAlign w:val="bottom"/>
            <w:tcBorders>
              <w:top w:val="single" w:sz="8" w:color="auto"/>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142,464</w:t>
            </w:r>
          </w:p>
        </w:tc>
        <w:tc>
          <w:tcPr>
            <w:tcW w:w="1040" w:type="dxa"/>
            <w:vAlign w:val="bottom"/>
            <w:tcBorders>
              <w:top w:val="single" w:sz="8" w:color="auto"/>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357,624</w:t>
            </w:r>
          </w:p>
        </w:tc>
        <w:tc>
          <w:tcPr>
            <w:tcW w:w="94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290,839</w:t>
            </w:r>
          </w:p>
        </w:tc>
        <w:tc>
          <w:tcPr>
            <w:tcW w:w="100" w:type="dxa"/>
            <w:vAlign w:val="bottom"/>
            <w:tcBorders>
              <w:top w:val="single" w:sz="8" w:color="CEFFE7"/>
            </w:tcBorders>
            <w:shd w:val="clear" w:color="auto" w:fill="CEFFE7"/>
          </w:tcPr>
          <w:p>
            <w:pPr>
              <w:spacing w:after="0"/>
              <w:rPr>
                <w:sz w:val="18"/>
                <w:szCs w:val="18"/>
                <w:color w:val="auto"/>
              </w:rPr>
            </w:pPr>
          </w:p>
        </w:tc>
        <w:tc>
          <w:tcPr>
            <w:tcW w:w="100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1,318,182</w:t>
            </w:r>
          </w:p>
        </w:tc>
        <w:tc>
          <w:tcPr>
            <w:tcW w:w="1080" w:type="dxa"/>
            <w:vAlign w:val="bottom"/>
            <w:tcBorders>
              <w:top w:val="single" w:sz="8" w:color="auto"/>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1,292,219</w:t>
            </w:r>
          </w:p>
        </w:tc>
        <w:tc>
          <w:tcPr>
            <w:tcW w:w="1000" w:type="dxa"/>
            <w:vAlign w:val="bottom"/>
            <w:tcBorders>
              <w:top w:val="single" w:sz="8" w:color="auto"/>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2,658,656</w:t>
            </w:r>
          </w:p>
        </w:tc>
        <w:tc>
          <w:tcPr>
            <w:tcW w:w="98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2,656,708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gridSpan w:val="2"/>
          </w:tcPr>
          <w:p>
            <w:pPr>
              <w:spacing w:after="0"/>
              <w:rPr>
                <w:sz w:val="20"/>
                <w:szCs w:val="20"/>
                <w:color w:val="auto"/>
              </w:rPr>
            </w:pPr>
            <w:r>
              <w:rPr>
                <w:rFonts w:ascii="Arial" w:cs="Arial" w:eastAsia="Arial" w:hAnsi="Arial"/>
                <w:sz w:val="16"/>
                <w:szCs w:val="16"/>
                <w:color w:val="auto"/>
              </w:rPr>
              <w:t>ntract Wholesale</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5,751</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3,470</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14,216</w:t>
            </w:r>
          </w:p>
        </w:tc>
        <w:tc>
          <w:tcPr>
            <w:tcW w:w="940" w:type="dxa"/>
            <w:vAlign w:val="bottom"/>
          </w:tcPr>
          <w:p>
            <w:pPr>
              <w:jc w:val="right"/>
              <w:spacing w:after="0"/>
              <w:rPr>
                <w:sz w:val="20"/>
                <w:szCs w:val="20"/>
                <w:color w:val="auto"/>
              </w:rPr>
            </w:pPr>
            <w:r>
              <w:rPr>
                <w:rFonts w:ascii="Arial" w:cs="Arial" w:eastAsia="Arial" w:hAnsi="Arial"/>
                <w:sz w:val="16"/>
                <w:szCs w:val="16"/>
                <w:color w:val="auto"/>
              </w:rPr>
              <w:t>9,023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129,763</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87,253</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286,758</w:t>
            </w:r>
          </w:p>
        </w:tc>
        <w:tc>
          <w:tcPr>
            <w:tcW w:w="980" w:type="dxa"/>
            <w:vAlign w:val="bottom"/>
          </w:tcPr>
          <w:p>
            <w:pPr>
              <w:jc w:val="right"/>
              <w:spacing w:after="0"/>
              <w:rPr>
                <w:sz w:val="20"/>
                <w:szCs w:val="20"/>
                <w:color w:val="auto"/>
              </w:rPr>
            </w:pPr>
            <w:r>
              <w:rPr>
                <w:rFonts w:ascii="Arial" w:cs="Arial" w:eastAsia="Arial" w:hAnsi="Arial"/>
                <w:sz w:val="16"/>
                <w:szCs w:val="16"/>
                <w:color w:val="auto"/>
              </w:rPr>
              <w:t>219,031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 w:type="dxa"/>
            <w:vAlign w:val="bottom"/>
          </w:tcPr>
          <w:p>
            <w:pPr>
              <w:ind w:left="20"/>
              <w:spacing w:after="0"/>
              <w:rPr>
                <w:sz w:val="20"/>
                <w:szCs w:val="20"/>
                <w:color w:val="auto"/>
              </w:rPr>
            </w:pPr>
            <w:r>
              <w:rPr>
                <w:rFonts w:ascii="Arial" w:cs="Arial" w:eastAsia="Arial" w:hAnsi="Arial"/>
                <w:sz w:val="16"/>
                <w:szCs w:val="16"/>
                <w:color w:val="auto"/>
              </w:rPr>
              <w:t>-</w:t>
            </w:r>
          </w:p>
        </w:tc>
        <w:tc>
          <w:tcPr>
            <w:tcW w:w="274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system/Power Marketing Wholesale</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6,200</w:t>
            </w:r>
          </w:p>
        </w:tc>
        <w:tc>
          <w:tcPr>
            <w:tcW w:w="108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3,537</w:t>
            </w:r>
          </w:p>
        </w:tc>
        <w:tc>
          <w:tcPr>
            <w:tcW w:w="104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11,313</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8,404</w:t>
            </w:r>
          </w:p>
        </w:tc>
        <w:tc>
          <w:tcPr>
            <w:tcW w:w="110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188,607</w:t>
            </w:r>
          </w:p>
        </w:tc>
        <w:tc>
          <w:tcPr>
            <w:tcW w:w="108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136,311</w:t>
            </w:r>
          </w:p>
        </w:tc>
        <w:tc>
          <w:tcPr>
            <w:tcW w:w="10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316,190</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302,096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80" w:type="dxa"/>
            <w:vAlign w:val="bottom"/>
            <w:gridSpan w:val="2"/>
          </w:tcPr>
          <w:p>
            <w:pPr>
              <w:spacing w:after="0"/>
              <w:rPr>
                <w:sz w:val="20"/>
                <w:szCs w:val="20"/>
                <w:color w:val="auto"/>
              </w:rPr>
            </w:pPr>
            <w:r>
              <w:rPr>
                <w:rFonts w:ascii="Arial" w:cs="Arial" w:eastAsia="Arial" w:hAnsi="Arial"/>
                <w:sz w:val="16"/>
                <w:szCs w:val="16"/>
                <w:color w:val="auto"/>
              </w:rPr>
              <w:t>her</w:t>
            </w:r>
          </w:p>
        </w:tc>
        <w:tc>
          <w:tcPr>
            <w:tcW w:w="3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13,154</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13,729</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29,188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29,073</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80" w:type="dxa"/>
            <w:vAlign w:val="bottom"/>
            <w:gridSpan w:val="2"/>
          </w:tcPr>
          <w:p>
            <w:pPr>
              <w:spacing w:after="0"/>
              <w:rPr>
                <w:sz w:val="20"/>
                <w:szCs w:val="20"/>
                <w:color w:val="auto"/>
              </w:rPr>
            </w:pPr>
            <w:r>
              <w:rPr>
                <w:rFonts w:ascii="Arial" w:cs="Arial" w:eastAsia="Arial" w:hAnsi="Arial"/>
                <w:sz w:val="16"/>
                <w:szCs w:val="16"/>
                <w:color w:val="auto"/>
              </w:rPr>
              <w:t>Total Revenue and Energy Sold</w:t>
            </w: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184,933</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163,200</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412,341</w:t>
            </w:r>
          </w:p>
        </w:tc>
        <w:tc>
          <w:tcPr>
            <w:tcW w:w="940" w:type="dxa"/>
            <w:vAlign w:val="bottom"/>
          </w:tcPr>
          <w:p>
            <w:pPr>
              <w:jc w:val="right"/>
              <w:spacing w:after="0"/>
              <w:rPr>
                <w:sz w:val="20"/>
                <w:szCs w:val="20"/>
                <w:color w:val="auto"/>
              </w:rPr>
            </w:pPr>
            <w:r>
              <w:rPr>
                <w:rFonts w:ascii="Arial" w:cs="Arial" w:eastAsia="Arial" w:hAnsi="Arial"/>
                <w:sz w:val="16"/>
                <w:szCs w:val="16"/>
                <w:color w:val="auto"/>
              </w:rPr>
              <w:t>337,339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1,636,552</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1,515,783</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3,261,604</w:t>
            </w:r>
          </w:p>
        </w:tc>
        <w:tc>
          <w:tcPr>
            <w:tcW w:w="980" w:type="dxa"/>
            <w:vAlign w:val="bottom"/>
          </w:tcPr>
          <w:p>
            <w:pPr>
              <w:jc w:val="right"/>
              <w:spacing w:after="0"/>
              <w:rPr>
                <w:sz w:val="20"/>
                <w:szCs w:val="20"/>
                <w:color w:val="auto"/>
              </w:rPr>
            </w:pPr>
            <w:r>
              <w:rPr>
                <w:rFonts w:ascii="Arial" w:cs="Arial" w:eastAsia="Arial" w:hAnsi="Arial"/>
                <w:sz w:val="16"/>
                <w:szCs w:val="16"/>
                <w:color w:val="auto"/>
              </w:rPr>
              <w:t>3,177,835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40" w:type="dxa"/>
            <w:vAlign w:val="bottom"/>
            <w:gridSpan w:val="3"/>
          </w:tcPr>
          <w:p>
            <w:pPr>
              <w:spacing w:after="0"/>
              <w:rPr>
                <w:sz w:val="20"/>
                <w:szCs w:val="20"/>
                <w:color w:val="auto"/>
              </w:rPr>
            </w:pPr>
            <w:r>
              <w:rPr>
                <w:rFonts w:ascii="Arial" w:cs="Arial" w:eastAsia="Arial" w:hAnsi="Arial"/>
                <w:sz w:val="16"/>
                <w:szCs w:val="16"/>
                <w:color w:val="auto"/>
              </w:rPr>
              <w:t>her Uses, Losses or Generation, net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93,747</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85,185</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224,722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176,056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480" w:type="dxa"/>
            <w:vAlign w:val="bottom"/>
            <w:gridSpan w:val="2"/>
          </w:tcPr>
          <w:p>
            <w:pPr>
              <w:spacing w:after="0"/>
              <w:rPr>
                <w:sz w:val="20"/>
                <w:szCs w:val="20"/>
                <w:color w:val="auto"/>
              </w:rPr>
            </w:pPr>
            <w:r>
              <w:rPr>
                <w:rFonts w:ascii="Arial" w:cs="Arial" w:eastAsia="Arial" w:hAnsi="Arial"/>
                <w:sz w:val="16"/>
                <w:szCs w:val="16"/>
                <w:color w:val="auto"/>
              </w:rPr>
              <w:t>Total Revenue and Energy</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184,933</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163,200</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412,341</w:t>
            </w:r>
          </w:p>
        </w:tc>
        <w:tc>
          <w:tcPr>
            <w:tcW w:w="940" w:type="dxa"/>
            <w:vAlign w:val="bottom"/>
          </w:tcPr>
          <w:p>
            <w:pPr>
              <w:jc w:val="right"/>
              <w:spacing w:after="0"/>
              <w:rPr>
                <w:sz w:val="20"/>
                <w:szCs w:val="20"/>
                <w:color w:val="auto"/>
              </w:rPr>
            </w:pPr>
            <w:r>
              <w:rPr>
                <w:rFonts w:ascii="Arial" w:cs="Arial" w:eastAsia="Arial" w:hAnsi="Arial"/>
                <w:sz w:val="16"/>
                <w:szCs w:val="16"/>
                <w:color w:val="auto"/>
              </w:rPr>
              <w:t>337,339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1,730,299</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1,600,968</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3,486,326</w:t>
            </w:r>
          </w:p>
        </w:tc>
        <w:tc>
          <w:tcPr>
            <w:tcW w:w="980" w:type="dxa"/>
            <w:vAlign w:val="bottom"/>
          </w:tcPr>
          <w:p>
            <w:pPr>
              <w:jc w:val="right"/>
              <w:spacing w:after="0"/>
              <w:rPr>
                <w:sz w:val="20"/>
                <w:szCs w:val="20"/>
                <w:color w:val="auto"/>
              </w:rPr>
            </w:pPr>
            <w:r>
              <w:rPr>
                <w:rFonts w:ascii="Arial" w:cs="Arial" w:eastAsia="Arial" w:hAnsi="Arial"/>
                <w:sz w:val="16"/>
                <w:szCs w:val="16"/>
                <w:color w:val="auto"/>
              </w:rPr>
              <w:t>3,353,891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40" w:type="dxa"/>
            <w:vAlign w:val="bottom"/>
            <w:gridSpan w:val="3"/>
            <w:vMerge w:val="restart"/>
          </w:tcPr>
          <w:p>
            <w:pPr>
              <w:spacing w:after="0"/>
              <w:rPr>
                <w:sz w:val="20"/>
                <w:szCs w:val="20"/>
                <w:color w:val="auto"/>
              </w:rPr>
            </w:pPr>
            <w:r>
              <w:rPr>
                <w:rFonts w:ascii="Arial" w:cs="Arial" w:eastAsia="Arial" w:hAnsi="Arial"/>
                <w:sz w:val="16"/>
                <w:szCs w:val="16"/>
                <w:color w:val="auto"/>
              </w:rPr>
              <w:t>ss cost of fuel and purchased power</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75,238</w:t>
            </w:r>
          </w:p>
        </w:tc>
        <w:tc>
          <w:tcPr>
            <w:tcW w:w="1080" w:type="dxa"/>
            <w:vAlign w:val="bottom"/>
            <w:vMerge w:val="restart"/>
          </w:tcPr>
          <w:p>
            <w:pPr>
              <w:jc w:val="right"/>
              <w:ind w:right="19"/>
              <w:spacing w:after="0"/>
              <w:rPr>
                <w:sz w:val="20"/>
                <w:szCs w:val="20"/>
                <w:color w:val="auto"/>
              </w:rPr>
            </w:pPr>
            <w:r>
              <w:rPr>
                <w:rFonts w:ascii="Arial" w:cs="Arial" w:eastAsia="Arial" w:hAnsi="Arial"/>
                <w:sz w:val="16"/>
                <w:szCs w:val="16"/>
                <w:color w:val="auto"/>
              </w:rPr>
              <w:t>59,053</w:t>
            </w:r>
          </w:p>
        </w:tc>
        <w:tc>
          <w:tcPr>
            <w:tcW w:w="1040" w:type="dxa"/>
            <w:vAlign w:val="bottom"/>
            <w:vMerge w:val="restart"/>
          </w:tcPr>
          <w:p>
            <w:pPr>
              <w:jc w:val="right"/>
              <w:ind w:right="59"/>
              <w:spacing w:after="0"/>
              <w:rPr>
                <w:sz w:val="20"/>
                <w:szCs w:val="20"/>
                <w:color w:val="auto"/>
              </w:rPr>
            </w:pPr>
            <w:r>
              <w:rPr>
                <w:rFonts w:ascii="Arial" w:cs="Arial" w:eastAsia="Arial" w:hAnsi="Arial"/>
                <w:sz w:val="16"/>
                <w:szCs w:val="16"/>
                <w:color w:val="auto"/>
              </w:rPr>
              <w:t>207,307</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123,513</w:t>
            </w: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840" w:type="dxa"/>
            <w:vAlign w:val="bottom"/>
            <w:gridSpan w:val="3"/>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380" w:type="dxa"/>
            <w:vAlign w:val="bottom"/>
            <w:tcBorders>
              <w:top w:val="single" w:sz="8" w:color="CEFFE7"/>
              <w:bottom w:val="single" w:sz="8" w:color="CEFFE7"/>
            </w:tcBorders>
            <w:shd w:val="clear" w:color="auto" w:fill="CEFFE7"/>
          </w:tcPr>
          <w:p>
            <w:pPr>
              <w:spacing w:after="0"/>
              <w:rPr>
                <w:sz w:val="20"/>
                <w:szCs w:val="20"/>
                <w:color w:val="auto"/>
              </w:rPr>
            </w:pPr>
            <w:r>
              <w:rPr>
                <w:rFonts w:ascii="Arial" w:cs="Arial" w:eastAsia="Arial" w:hAnsi="Arial"/>
                <w:sz w:val="16"/>
                <w:szCs w:val="16"/>
                <w:color w:val="auto"/>
              </w:rPr>
              <w:t>Gross Margin (non-GAAP)</w:t>
            </w:r>
          </w:p>
        </w:tc>
        <w:tc>
          <w:tcPr>
            <w:tcW w:w="360" w:type="dxa"/>
            <w:vAlign w:val="bottom"/>
            <w:tcBorders>
              <w:top w:val="single" w:sz="8" w:color="CEFFE7"/>
              <w:bottom w:val="single" w:sz="8" w:color="CEFFE7"/>
            </w:tcBorders>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109,695$</w:t>
            </w:r>
          </w:p>
        </w:tc>
        <w:tc>
          <w:tcPr>
            <w:tcW w:w="1080" w:type="dxa"/>
            <w:vAlign w:val="bottom"/>
            <w:tcBorders>
              <w:top w:val="single" w:sz="8" w:color="auto"/>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104,147$</w:t>
            </w:r>
          </w:p>
        </w:tc>
        <w:tc>
          <w:tcPr>
            <w:tcW w:w="1040" w:type="dxa"/>
            <w:vAlign w:val="bottom"/>
            <w:tcBorders>
              <w:top w:val="single" w:sz="8" w:color="auto"/>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205,034$</w:t>
            </w:r>
          </w:p>
        </w:tc>
        <w:tc>
          <w:tcPr>
            <w:tcW w:w="94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213,826</w:t>
            </w:r>
          </w:p>
        </w:tc>
        <w:tc>
          <w:tcPr>
            <w:tcW w:w="100" w:type="dxa"/>
            <w:vAlign w:val="bottom"/>
            <w:tcBorders>
              <w:top w:val="single" w:sz="8" w:color="CEFFE7"/>
              <w:bottom w:val="single" w:sz="8" w:color="CEFFE7"/>
            </w:tcBorders>
            <w:shd w:val="clear" w:color="auto" w:fill="CEFFE7"/>
          </w:tcPr>
          <w:p>
            <w:pPr>
              <w:spacing w:after="0"/>
              <w:rPr>
                <w:sz w:val="20"/>
                <w:szCs w:val="20"/>
                <w:color w:val="auto"/>
              </w:rPr>
            </w:pPr>
          </w:p>
        </w:tc>
        <w:tc>
          <w:tcPr>
            <w:tcW w:w="1000" w:type="dxa"/>
            <w:vAlign w:val="bottom"/>
            <w:tcBorders>
              <w:top w:val="single" w:sz="8" w:color="CEFFE7"/>
              <w:bottom w:val="single" w:sz="8" w:color="CEFFE7"/>
            </w:tcBorders>
            <w:shd w:val="clear" w:color="auto" w:fill="CEFFE7"/>
          </w:tcPr>
          <w:p>
            <w:pPr>
              <w:spacing w:after="0"/>
              <w:rPr>
                <w:sz w:val="20"/>
                <w:szCs w:val="20"/>
                <w:color w:val="auto"/>
              </w:rPr>
            </w:pPr>
          </w:p>
        </w:tc>
        <w:tc>
          <w:tcPr>
            <w:tcW w:w="1080" w:type="dxa"/>
            <w:vAlign w:val="bottom"/>
            <w:tcBorders>
              <w:top w:val="single" w:sz="8" w:color="CEFFE7"/>
              <w:bottom w:val="single" w:sz="8" w:color="CEFFE7"/>
            </w:tcBorders>
            <w:shd w:val="clear" w:color="auto" w:fill="CEFFE7"/>
          </w:tcPr>
          <w:p>
            <w:pPr>
              <w:spacing w:after="0"/>
              <w:rPr>
                <w:sz w:val="20"/>
                <w:szCs w:val="20"/>
                <w:color w:val="auto"/>
              </w:rPr>
            </w:pPr>
          </w:p>
        </w:tc>
        <w:tc>
          <w:tcPr>
            <w:tcW w:w="1000" w:type="dxa"/>
            <w:vAlign w:val="bottom"/>
            <w:tcBorders>
              <w:top w:val="single" w:sz="8" w:color="CEFFE7"/>
              <w:bottom w:val="single" w:sz="8" w:color="CEFFE7"/>
            </w:tcBorders>
            <w:shd w:val="clear" w:color="auto" w:fill="CEFFE7"/>
          </w:tcPr>
          <w:p>
            <w:pPr>
              <w:spacing w:after="0"/>
              <w:rPr>
                <w:sz w:val="20"/>
                <w:szCs w:val="20"/>
                <w:color w:val="auto"/>
              </w:rPr>
            </w:pPr>
          </w:p>
        </w:tc>
        <w:tc>
          <w:tcPr>
            <w:tcW w:w="980" w:type="dxa"/>
            <w:vAlign w:val="bottom"/>
            <w:tcBorders>
              <w:top w:val="single" w:sz="8" w:color="CEFFE7"/>
              <w:bottom w:val="single" w:sz="8" w:color="CEFFE7"/>
            </w:tcBorders>
            <w:shd w:val="clear" w:color="auto" w:fill="CEFFE7"/>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380" w:type="dxa"/>
            <w:vAlign w:val="bottom"/>
            <w:tcBorders>
              <w:top w:val="single" w:sz="8" w:color="CEFFE7"/>
            </w:tcBorders>
          </w:tcPr>
          <w:p>
            <w:pPr>
              <w:spacing w:after="0" w:line="20" w:lineRule="exact"/>
              <w:rPr>
                <w:sz w:val="1"/>
                <w:szCs w:val="1"/>
                <w:color w:val="auto"/>
              </w:rPr>
            </w:pPr>
          </w:p>
        </w:tc>
        <w:tc>
          <w:tcPr>
            <w:tcW w:w="360" w:type="dxa"/>
            <w:vAlign w:val="bottom"/>
            <w:tcBorders>
              <w:top w:val="single" w:sz="8" w:color="CEFFE7"/>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c>
          <w:tcPr>
            <w:tcW w:w="1040" w:type="dxa"/>
            <w:vAlign w:val="bottom"/>
            <w:tcBorders>
              <w:top w:val="single" w:sz="8" w:color="CEFFE7"/>
              <w:bottom w:val="single" w:sz="8" w:color="auto"/>
            </w:tcBorders>
          </w:tcPr>
          <w:p>
            <w:pPr>
              <w:spacing w:after="0" w:line="20" w:lineRule="exact"/>
              <w:rPr>
                <w:sz w:val="1"/>
                <w:szCs w:val="1"/>
                <w:color w:val="auto"/>
              </w:rPr>
            </w:pPr>
          </w:p>
        </w:tc>
        <w:tc>
          <w:tcPr>
            <w:tcW w:w="94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000" w:type="dxa"/>
            <w:vAlign w:val="bottom"/>
            <w:tcBorders>
              <w:top w:val="single" w:sz="8" w:color="CEFFE7"/>
            </w:tcBorders>
          </w:tcPr>
          <w:p>
            <w:pPr>
              <w:spacing w:after="0" w:line="20" w:lineRule="exact"/>
              <w:rPr>
                <w:sz w:val="1"/>
                <w:szCs w:val="1"/>
                <w:color w:val="auto"/>
              </w:rPr>
            </w:pPr>
          </w:p>
        </w:tc>
        <w:tc>
          <w:tcPr>
            <w:tcW w:w="1080" w:type="dxa"/>
            <w:vAlign w:val="bottom"/>
            <w:tcBorders>
              <w:top w:val="single" w:sz="8" w:color="CEFFE7"/>
            </w:tcBorders>
          </w:tcPr>
          <w:p>
            <w:pPr>
              <w:spacing w:after="0" w:line="20" w:lineRule="exact"/>
              <w:rPr>
                <w:sz w:val="1"/>
                <w:szCs w:val="1"/>
                <w:color w:val="auto"/>
              </w:rPr>
            </w:pPr>
          </w:p>
        </w:tc>
        <w:tc>
          <w:tcPr>
            <w:tcW w:w="1000" w:type="dxa"/>
            <w:vAlign w:val="bottom"/>
            <w:tcBorders>
              <w:top w:val="single" w:sz="8" w:color="CEFFE7"/>
            </w:tcBorders>
          </w:tcPr>
          <w:p>
            <w:pPr>
              <w:spacing w:after="0" w:line="20" w:lineRule="exact"/>
              <w:rPr>
                <w:sz w:val="1"/>
                <w:szCs w:val="1"/>
                <w:color w:val="auto"/>
              </w:rPr>
            </w:pPr>
          </w:p>
        </w:tc>
        <w:tc>
          <w:tcPr>
            <w:tcW w:w="980" w:type="dxa"/>
            <w:vAlign w:val="bottom"/>
            <w:tcBorders>
              <w:top w:val="single" w:sz="8" w:color="CEFFE7"/>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7179310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-1550670</wp:posOffset>
            </wp:positionV>
            <wp:extent cx="692658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26580" cy="14541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-1268095</wp:posOffset>
            </wp:positionV>
            <wp:extent cx="6926580" cy="162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26580" cy="162560"/>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3580" w:type="dxa"/>
            <w:vAlign w:val="bottom"/>
            <w:gridSpan w:val="2"/>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3"/>
        </w:trPr>
        <w:tc>
          <w:tcPr>
            <w:tcW w:w="120" w:type="dxa"/>
            <w:vAlign w:val="bottom"/>
          </w:tcPr>
          <w:p>
            <w:pPr>
              <w:spacing w:after="0"/>
              <w:rPr>
                <w:sz w:val="24"/>
                <w:szCs w:val="24"/>
                <w:color w:val="auto"/>
              </w:rPr>
            </w:pPr>
          </w:p>
        </w:tc>
        <w:tc>
          <w:tcPr>
            <w:tcW w:w="1340" w:type="dxa"/>
            <w:vAlign w:val="bottom"/>
            <w:tcBorders>
              <w:top w:val="single" w:sz="8" w:color="0000FF"/>
            </w:tcBorders>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420"/>
              <w:spacing w:after="0"/>
              <w:rPr>
                <w:sz w:val="20"/>
                <w:szCs w:val="20"/>
                <w:color w:val="auto"/>
              </w:rPr>
            </w:pPr>
            <w:r>
              <w:rPr>
                <w:rFonts w:ascii="Arial" w:cs="Arial" w:eastAsia="Arial" w:hAnsi="Arial"/>
                <w:sz w:val="16"/>
                <w:szCs w:val="16"/>
                <w:color w:val="auto"/>
                <w:w w:val="99"/>
              </w:rPr>
              <w:t>Revenue</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20" w:type="dxa"/>
            <w:vAlign w:val="bottom"/>
            <w:gridSpan w:val="10"/>
          </w:tcPr>
          <w:p>
            <w:pPr>
              <w:jc w:val="right"/>
              <w:ind w:right="419"/>
              <w:spacing w:after="0"/>
              <w:rPr>
                <w:sz w:val="20"/>
                <w:szCs w:val="20"/>
                <w:color w:val="auto"/>
              </w:rPr>
            </w:pPr>
            <w:r>
              <w:rPr>
                <w:rFonts w:ascii="Arial" w:cs="Arial" w:eastAsia="Arial" w:hAnsi="Arial"/>
                <w:sz w:val="16"/>
                <w:szCs w:val="16"/>
                <w:color w:val="auto"/>
              </w:rPr>
              <w:t>Gross Margin (non-GAAP) (in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00" w:type="dxa"/>
            <w:vAlign w:val="bottom"/>
            <w:gridSpan w:val="3"/>
          </w:tcPr>
          <w:p>
            <w:pPr>
              <w:spacing w:after="0"/>
              <w:rPr>
                <w:sz w:val="20"/>
                <w:szCs w:val="20"/>
                <w:color w:val="auto"/>
              </w:rPr>
            </w:pPr>
            <w:r>
              <w:rPr>
                <w:rFonts w:ascii="Arial" w:cs="Arial" w:eastAsia="Arial" w:hAnsi="Arial"/>
                <w:sz w:val="16"/>
                <w:szCs w:val="16"/>
                <w:color w:val="auto"/>
              </w:rPr>
              <w:t>ree Months Ended June 30,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gridSpan w:val="4"/>
          </w:tcPr>
          <w:p>
            <w:pPr>
              <w:ind w:left="420"/>
              <w:spacing w:after="0"/>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thousands)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7"/>
          </w:tcPr>
          <w:p>
            <w:pPr>
              <w:ind w:left="40"/>
              <w:spacing w:after="0" w:line="204" w:lineRule="exact"/>
              <w:rPr>
                <w:sz w:val="20"/>
                <w:szCs w:val="20"/>
                <w:color w:val="auto"/>
              </w:rPr>
            </w:pPr>
            <w:r>
              <w:rPr>
                <w:rFonts w:ascii="Arial" w:cs="Arial" w:eastAsia="Arial" w:hAnsi="Arial"/>
                <w:sz w:val="16"/>
                <w:szCs w:val="16"/>
                <w:color w:val="auto"/>
              </w:rPr>
              <w:t>Quantities Sold (MWh)</w:t>
            </w:r>
            <w:r>
              <w:rPr>
                <w:rFonts w:ascii="Arial" w:cs="Arial" w:eastAsia="Arial" w:hAnsi="Arial"/>
                <w:sz w:val="21"/>
                <w:szCs w:val="21"/>
                <w:color w:val="auto"/>
                <w:vertAlign w:val="superscript"/>
              </w:rPr>
              <w:t>(a)</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color w:val="auto"/>
                <w:w w:val="95"/>
              </w:rPr>
              <w:t>2020</w:t>
            </w: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6"/>
                <w:szCs w:val="16"/>
                <w:color w:val="auto"/>
              </w:rPr>
              <w:t>2021</w:t>
            </w:r>
          </w:p>
        </w:tc>
        <w:tc>
          <w:tcPr>
            <w:tcW w:w="6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gridSpan w:val="2"/>
          </w:tcPr>
          <w:p>
            <w:pPr>
              <w:jc w:val="right"/>
              <w:ind w:right="459"/>
              <w:spacing w:after="0"/>
              <w:rPr>
                <w:sz w:val="20"/>
                <w:szCs w:val="20"/>
                <w:color w:val="auto"/>
              </w:rPr>
            </w:pPr>
            <w:r>
              <w:rPr>
                <w:rFonts w:ascii="Arial" w:cs="Arial" w:eastAsia="Arial" w:hAnsi="Arial"/>
                <w:sz w:val="16"/>
                <w:szCs w:val="16"/>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gridSpan w:val="2"/>
          </w:tcPr>
          <w:p>
            <w:pPr>
              <w:jc w:val="right"/>
              <w:ind w:right="539"/>
              <w:spacing w:after="0"/>
              <w:rPr>
                <w:sz w:val="20"/>
                <w:szCs w:val="20"/>
                <w:color w:val="auto"/>
              </w:rPr>
            </w:pPr>
            <w:r>
              <w:rPr>
                <w:rFonts w:ascii="Arial" w:cs="Arial" w:eastAsia="Arial" w:hAnsi="Arial"/>
                <w:sz w:val="16"/>
                <w:szCs w:val="16"/>
                <w:color w:val="auto"/>
              </w:rPr>
              <w:t>2021</w:t>
            </w:r>
          </w:p>
        </w:tc>
        <w:tc>
          <w:tcPr>
            <w:tcW w:w="1000" w:type="dxa"/>
            <w:vAlign w:val="bottom"/>
            <w:tcBorders>
              <w:top w:val="single" w:sz="8" w:color="auto"/>
              <w:bottom w:val="single" w:sz="8" w:color="auto"/>
            </w:tcBorders>
            <w:gridSpan w:val="2"/>
          </w:tcPr>
          <w:p>
            <w:pPr>
              <w:jc w:val="right"/>
              <w:ind w:right="439"/>
              <w:spacing w:after="0"/>
              <w:rPr>
                <w:sz w:val="20"/>
                <w:szCs w:val="20"/>
                <w:color w:val="auto"/>
              </w:rPr>
            </w:pPr>
            <w:r>
              <w:rPr>
                <w:rFonts w:ascii="Arial" w:cs="Arial" w:eastAsia="Arial" w:hAnsi="Arial"/>
                <w:sz w:val="16"/>
                <w:szCs w:val="16"/>
                <w:color w:val="auto"/>
              </w:rPr>
              <w:t>2020</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358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lorado Electric</w:t>
            </w:r>
          </w:p>
        </w:tc>
        <w:tc>
          <w:tcPr>
            <w:tcW w:w="2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shd w:val="clear" w:color="auto" w:fill="CEFFE7"/>
          </w:tcPr>
          <w:p>
            <w:pPr>
              <w:spacing w:after="0"/>
              <w:rPr>
                <w:sz w:val="18"/>
                <w:szCs w:val="18"/>
                <w:color w:val="auto"/>
              </w:rPr>
            </w:pPr>
          </w:p>
        </w:tc>
        <w:tc>
          <w:tcPr>
            <w:tcW w:w="40" w:type="dxa"/>
            <w:vAlign w:val="bottom"/>
            <w:shd w:val="clear" w:color="auto" w:fill="CEFFE7"/>
          </w:tcPr>
          <w:p>
            <w:pPr>
              <w:spacing w:after="0"/>
              <w:rPr>
                <w:sz w:val="18"/>
                <w:szCs w:val="18"/>
                <w:color w:val="auto"/>
              </w:rPr>
            </w:pPr>
          </w:p>
        </w:tc>
        <w:tc>
          <w:tcPr>
            <w:tcW w:w="8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08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64,313$</w:t>
            </w:r>
          </w:p>
        </w:tc>
        <w:tc>
          <w:tcPr>
            <w:tcW w:w="100" w:type="dxa"/>
            <w:vAlign w:val="bottom"/>
            <w:shd w:val="clear" w:color="auto" w:fill="CEFFE7"/>
          </w:tcPr>
          <w:p>
            <w:pPr>
              <w:spacing w:after="0"/>
              <w:rPr>
                <w:sz w:val="18"/>
                <w:szCs w:val="18"/>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57,897$</w:t>
            </w:r>
          </w:p>
        </w:tc>
        <w:tc>
          <w:tcPr>
            <w:tcW w:w="100" w:type="dxa"/>
            <w:vAlign w:val="bottom"/>
            <w:shd w:val="clear" w:color="auto" w:fill="CEFFE7"/>
          </w:tcPr>
          <w:p>
            <w:pPr>
              <w:spacing w:after="0"/>
              <w:rPr>
                <w:sz w:val="18"/>
                <w:szCs w:val="18"/>
                <w:color w:val="auto"/>
              </w:rPr>
            </w:pPr>
          </w:p>
        </w:tc>
        <w:tc>
          <w:tcPr>
            <w:tcW w:w="1300" w:type="dxa"/>
            <w:vAlign w:val="bottom"/>
            <w:gridSpan w:val="5"/>
            <w:shd w:val="clear" w:color="auto" w:fill="CEFFE7"/>
          </w:tcPr>
          <w:p>
            <w:pPr>
              <w:jc w:val="right"/>
              <w:ind w:right="159"/>
              <w:spacing w:after="0"/>
              <w:rPr>
                <w:sz w:val="20"/>
                <w:szCs w:val="20"/>
                <w:color w:val="auto"/>
              </w:rPr>
            </w:pPr>
            <w:r>
              <w:rPr>
                <w:rFonts w:ascii="Arial" w:cs="Arial" w:eastAsia="Arial" w:hAnsi="Arial"/>
                <w:sz w:val="16"/>
                <w:szCs w:val="16"/>
                <w:color w:val="auto"/>
              </w:rPr>
              <w:t>34,409$</w:t>
            </w:r>
          </w:p>
        </w:tc>
        <w:tc>
          <w:tcPr>
            <w:tcW w:w="260" w:type="dxa"/>
            <w:vAlign w:val="bottom"/>
            <w:shd w:val="clear" w:color="auto" w:fill="CEFFE7"/>
          </w:tcPr>
          <w:p>
            <w:pPr>
              <w:spacing w:after="0"/>
              <w:rPr>
                <w:sz w:val="18"/>
                <w:szCs w:val="18"/>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32,455</w:t>
            </w:r>
          </w:p>
        </w:tc>
        <w:tc>
          <w:tcPr>
            <w:tcW w:w="12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1020" w:type="dxa"/>
            <w:vAlign w:val="bottom"/>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618,806</w:t>
            </w:r>
          </w:p>
        </w:tc>
        <w:tc>
          <w:tcPr>
            <w:tcW w:w="140" w:type="dxa"/>
            <w:vAlign w:val="bottom"/>
            <w:shd w:val="clear" w:color="auto" w:fill="CEFFE7"/>
          </w:tcPr>
          <w:p>
            <w:pPr>
              <w:spacing w:after="0"/>
              <w:rPr>
                <w:sz w:val="18"/>
                <w:szCs w:val="18"/>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547,814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gridSpan w:val="3"/>
          </w:tcPr>
          <w:p>
            <w:pPr>
              <w:ind w:left="20"/>
              <w:spacing w:after="0"/>
              <w:rPr>
                <w:sz w:val="20"/>
                <w:szCs w:val="20"/>
                <w:color w:val="auto"/>
              </w:rPr>
            </w:pPr>
            <w:r>
              <w:rPr>
                <w:rFonts w:ascii="Arial" w:cs="Arial" w:eastAsia="Arial" w:hAnsi="Arial"/>
                <w:sz w:val="16"/>
                <w:szCs w:val="16"/>
                <w:color w:val="auto"/>
              </w:rPr>
              <w:t>uth Dakota Electric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73,494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62,587</w:t>
            </w:r>
          </w:p>
        </w:tc>
        <w:tc>
          <w:tcPr>
            <w:tcW w:w="100" w:type="dxa"/>
            <w:vAlign w:val="bottom"/>
          </w:tcPr>
          <w:p>
            <w:pPr>
              <w:spacing w:after="0"/>
              <w:rPr>
                <w:sz w:val="18"/>
                <w:szCs w:val="18"/>
                <w:color w:val="auto"/>
              </w:rPr>
            </w:pPr>
          </w:p>
        </w:tc>
        <w:tc>
          <w:tcPr>
            <w:tcW w:w="1300" w:type="dxa"/>
            <w:vAlign w:val="bottom"/>
            <w:gridSpan w:val="5"/>
          </w:tcPr>
          <w:p>
            <w:pPr>
              <w:jc w:val="right"/>
              <w:ind w:right="159"/>
              <w:spacing w:after="0"/>
              <w:rPr>
                <w:sz w:val="20"/>
                <w:szCs w:val="20"/>
                <w:color w:val="auto"/>
              </w:rPr>
            </w:pPr>
            <w:r>
              <w:rPr>
                <w:rFonts w:ascii="Arial" w:cs="Arial" w:eastAsia="Arial" w:hAnsi="Arial"/>
                <w:sz w:val="16"/>
                <w:szCs w:val="16"/>
                <w:color w:val="auto"/>
              </w:rPr>
              <w:t>51,892</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49,973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79"/>
              <w:spacing w:after="0"/>
              <w:rPr>
                <w:sz w:val="20"/>
                <w:szCs w:val="20"/>
                <w:color w:val="auto"/>
              </w:rPr>
            </w:pPr>
            <w:r>
              <w:rPr>
                <w:rFonts w:ascii="Arial" w:cs="Arial" w:eastAsia="Arial" w:hAnsi="Arial"/>
                <w:sz w:val="16"/>
                <w:szCs w:val="16"/>
                <w:color w:val="auto"/>
              </w:rPr>
              <w:t>630,055</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570,528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358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yoming Electric</w:t>
            </w:r>
          </w:p>
        </w:tc>
        <w:tc>
          <w:tcPr>
            <w:tcW w:w="220" w:type="dxa"/>
            <w:vAlign w:val="bottom"/>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40" w:type="dxa"/>
            <w:vAlign w:val="bottom"/>
            <w:shd w:val="clear" w:color="auto" w:fill="CEFFE7"/>
          </w:tcPr>
          <w:p>
            <w:pPr>
              <w:spacing w:after="0"/>
              <w:rPr>
                <w:sz w:val="19"/>
                <w:szCs w:val="19"/>
                <w:color w:val="auto"/>
              </w:rPr>
            </w:pPr>
          </w:p>
        </w:tc>
        <w:tc>
          <w:tcPr>
            <w:tcW w:w="80" w:type="dxa"/>
            <w:vAlign w:val="bottom"/>
            <w:tcBorders>
              <w:bottom w:val="single" w:sz="8" w:color="auto"/>
            </w:tcBorders>
            <w:shd w:val="clear" w:color="auto" w:fill="CEFFE7"/>
          </w:tcPr>
          <w:p>
            <w:pPr>
              <w:spacing w:after="0"/>
              <w:rPr>
                <w:sz w:val="19"/>
                <w:szCs w:val="19"/>
                <w:color w:val="auto"/>
              </w:rPr>
            </w:pPr>
          </w:p>
        </w:tc>
        <w:tc>
          <w:tcPr>
            <w:tcW w:w="140" w:type="dxa"/>
            <w:vAlign w:val="bottom"/>
            <w:tcBorders>
              <w:bottom w:val="single" w:sz="8" w:color="auto"/>
            </w:tcBorders>
            <w:shd w:val="clear" w:color="auto" w:fill="CEFFE7"/>
          </w:tcPr>
          <w:p>
            <w:pPr>
              <w:spacing w:after="0"/>
              <w:rPr>
                <w:sz w:val="19"/>
                <w:szCs w:val="19"/>
                <w:color w:val="auto"/>
              </w:rPr>
            </w:pPr>
          </w:p>
        </w:tc>
        <w:tc>
          <w:tcPr>
            <w:tcW w:w="108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47,126</w:t>
            </w:r>
          </w:p>
        </w:tc>
        <w:tc>
          <w:tcPr>
            <w:tcW w:w="100" w:type="dxa"/>
            <w:vAlign w:val="bottom"/>
            <w:tcBorders>
              <w:bottom w:val="single" w:sz="8" w:color="auto"/>
            </w:tcBorders>
            <w:shd w:val="clear" w:color="auto" w:fill="CEFFE7"/>
          </w:tcPr>
          <w:p>
            <w:pPr>
              <w:spacing w:after="0"/>
              <w:rPr>
                <w:sz w:val="19"/>
                <w:szCs w:val="19"/>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42,716</w:t>
            </w:r>
          </w:p>
        </w:tc>
        <w:tc>
          <w:tcPr>
            <w:tcW w:w="100" w:type="dxa"/>
            <w:vAlign w:val="bottom"/>
            <w:shd w:val="clear" w:color="auto" w:fill="CEFFE7"/>
          </w:tcPr>
          <w:p>
            <w:pPr>
              <w:spacing w:after="0"/>
              <w:rPr>
                <w:sz w:val="19"/>
                <w:szCs w:val="19"/>
                <w:color w:val="auto"/>
              </w:rPr>
            </w:pPr>
          </w:p>
        </w:tc>
        <w:tc>
          <w:tcPr>
            <w:tcW w:w="1300" w:type="dxa"/>
            <w:vAlign w:val="bottom"/>
            <w:tcBorders>
              <w:bottom w:val="single" w:sz="8" w:color="auto"/>
            </w:tcBorders>
            <w:gridSpan w:val="5"/>
            <w:shd w:val="clear" w:color="auto" w:fill="CEFFE7"/>
          </w:tcPr>
          <w:p>
            <w:pPr>
              <w:jc w:val="right"/>
              <w:ind w:right="159"/>
              <w:spacing w:after="0"/>
              <w:rPr>
                <w:sz w:val="20"/>
                <w:szCs w:val="20"/>
                <w:color w:val="auto"/>
              </w:rPr>
            </w:pPr>
            <w:r>
              <w:rPr>
                <w:rFonts w:ascii="Arial" w:cs="Arial" w:eastAsia="Arial" w:hAnsi="Arial"/>
                <w:sz w:val="16"/>
                <w:szCs w:val="16"/>
                <w:color w:val="auto"/>
              </w:rPr>
              <w:t>23,394</w:t>
            </w:r>
          </w:p>
        </w:tc>
        <w:tc>
          <w:tcPr>
            <w:tcW w:w="260" w:type="dxa"/>
            <w:vAlign w:val="bottom"/>
            <w:tcBorders>
              <w:bottom w:val="single" w:sz="8" w:color="auto"/>
            </w:tcBorders>
            <w:shd w:val="clear" w:color="auto" w:fill="CEFFE7"/>
          </w:tcPr>
          <w:p>
            <w:pPr>
              <w:spacing w:after="0"/>
              <w:rPr>
                <w:sz w:val="19"/>
                <w:szCs w:val="19"/>
                <w:color w:val="auto"/>
              </w:rPr>
            </w:pPr>
          </w:p>
        </w:tc>
        <w:tc>
          <w:tcPr>
            <w:tcW w:w="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21,719</w:t>
            </w:r>
          </w:p>
        </w:tc>
        <w:tc>
          <w:tcPr>
            <w:tcW w:w="120" w:type="dxa"/>
            <w:vAlign w:val="bottom"/>
            <w:shd w:val="clear" w:color="auto" w:fill="CEFFE7"/>
          </w:tcPr>
          <w:p>
            <w:pPr>
              <w:spacing w:after="0"/>
              <w:rPr>
                <w:sz w:val="19"/>
                <w:szCs w:val="19"/>
                <w:color w:val="auto"/>
              </w:rPr>
            </w:pPr>
          </w:p>
        </w:tc>
        <w:tc>
          <w:tcPr>
            <w:tcW w:w="160" w:type="dxa"/>
            <w:vAlign w:val="bottom"/>
            <w:tcBorders>
              <w:bottom w:val="single" w:sz="8" w:color="auto"/>
            </w:tcBorders>
            <w:shd w:val="clear" w:color="auto" w:fill="CEFFE7"/>
          </w:tcPr>
          <w:p>
            <w:pPr>
              <w:spacing w:after="0"/>
              <w:rPr>
                <w:sz w:val="19"/>
                <w:szCs w:val="19"/>
                <w:color w:val="auto"/>
              </w:rPr>
            </w:pPr>
          </w:p>
        </w:tc>
        <w:tc>
          <w:tcPr>
            <w:tcW w:w="1020" w:type="dxa"/>
            <w:vAlign w:val="bottom"/>
            <w:tcBorders>
              <w:bottom w:val="single" w:sz="8" w:color="auto"/>
            </w:tcBorders>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481,438</w:t>
            </w:r>
          </w:p>
        </w:tc>
        <w:tc>
          <w:tcPr>
            <w:tcW w:w="140" w:type="dxa"/>
            <w:vAlign w:val="bottom"/>
            <w:tcBorders>
              <w:bottom w:val="single" w:sz="8" w:color="auto"/>
            </w:tcBorders>
            <w:shd w:val="clear" w:color="auto" w:fill="CEFFE7"/>
          </w:tcPr>
          <w:p>
            <w:pPr>
              <w:spacing w:after="0"/>
              <w:rPr>
                <w:sz w:val="19"/>
                <w:szCs w:val="19"/>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482,626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3700" w:type="dxa"/>
            <w:vAlign w:val="bottom"/>
            <w:gridSpan w:val="3"/>
          </w:tcPr>
          <w:p>
            <w:pPr>
              <w:ind w:left="20"/>
              <w:spacing w:after="0" w:line="158" w:lineRule="exact"/>
              <w:rPr>
                <w:sz w:val="20"/>
                <w:szCs w:val="20"/>
                <w:color w:val="auto"/>
              </w:rPr>
            </w:pPr>
            <w:r>
              <w:rPr>
                <w:rFonts w:ascii="Arial" w:cs="Arial" w:eastAsia="Arial" w:hAnsi="Arial"/>
                <w:sz w:val="16"/>
                <w:szCs w:val="16"/>
                <w:color w:val="auto"/>
              </w:rPr>
              <w:t>Total Electric Revenue, Gross Margin (non-GAAP),</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right"/>
              <w:ind w:right="139"/>
              <w:spacing w:after="0"/>
              <w:rPr>
                <w:sz w:val="20"/>
                <w:szCs w:val="20"/>
                <w:color w:val="auto"/>
              </w:rPr>
            </w:pPr>
            <w:r>
              <w:rPr>
                <w:rFonts w:ascii="Arial" w:cs="Arial" w:eastAsia="Arial" w:hAnsi="Arial"/>
                <w:sz w:val="16"/>
                <w:szCs w:val="16"/>
                <w:color w:val="auto"/>
              </w:rPr>
              <w:t>184,933$</w:t>
            </w: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163,200$</w:t>
            </w:r>
          </w:p>
        </w:tc>
        <w:tc>
          <w:tcPr>
            <w:tcW w:w="100" w:type="dxa"/>
            <w:vAlign w:val="bottom"/>
          </w:tcPr>
          <w:p>
            <w:pPr>
              <w:spacing w:after="0"/>
              <w:rPr>
                <w:sz w:val="13"/>
                <w:szCs w:val="13"/>
                <w:color w:val="auto"/>
              </w:rPr>
            </w:pPr>
          </w:p>
        </w:tc>
        <w:tc>
          <w:tcPr>
            <w:tcW w:w="1300" w:type="dxa"/>
            <w:vAlign w:val="bottom"/>
            <w:gridSpan w:val="5"/>
            <w:vMerge w:val="restart"/>
          </w:tcPr>
          <w:p>
            <w:pPr>
              <w:jc w:val="right"/>
              <w:ind w:right="159"/>
              <w:spacing w:after="0"/>
              <w:rPr>
                <w:sz w:val="20"/>
                <w:szCs w:val="20"/>
                <w:color w:val="auto"/>
              </w:rPr>
            </w:pPr>
            <w:r>
              <w:rPr>
                <w:rFonts w:ascii="Arial" w:cs="Arial" w:eastAsia="Arial" w:hAnsi="Arial"/>
                <w:sz w:val="16"/>
                <w:szCs w:val="16"/>
                <w:color w:val="auto"/>
              </w:rPr>
              <w:t>109,695$</w:t>
            </w:r>
          </w:p>
        </w:tc>
        <w:tc>
          <w:tcPr>
            <w:tcW w:w="2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104,147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jc w:val="right"/>
              <w:ind w:right="79"/>
              <w:spacing w:after="0"/>
              <w:rPr>
                <w:sz w:val="20"/>
                <w:szCs w:val="20"/>
                <w:color w:val="auto"/>
              </w:rPr>
            </w:pPr>
            <w:r>
              <w:rPr>
                <w:rFonts w:ascii="Arial" w:cs="Arial" w:eastAsia="Arial" w:hAnsi="Arial"/>
                <w:sz w:val="16"/>
                <w:szCs w:val="16"/>
                <w:color w:val="auto"/>
              </w:rPr>
              <w:t>1,730,299</w:t>
            </w: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1,600,968</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3580" w:type="dxa"/>
            <w:vAlign w:val="bottom"/>
            <w:gridSpan w:val="2"/>
          </w:tcPr>
          <w:p>
            <w:pPr>
              <w:ind w:left="220"/>
              <w:spacing w:after="0" w:line="174" w:lineRule="exact"/>
              <w:rPr>
                <w:sz w:val="20"/>
                <w:szCs w:val="20"/>
                <w:color w:val="auto"/>
              </w:rPr>
            </w:pPr>
            <w:r>
              <w:rPr>
                <w:rFonts w:ascii="Arial" w:cs="Arial" w:eastAsia="Arial" w:hAnsi="Arial"/>
                <w:sz w:val="16"/>
                <w:szCs w:val="16"/>
                <w:color w:val="auto"/>
              </w:rPr>
              <w:t>and Quantities Sold</w:t>
            </w:r>
          </w:p>
        </w:tc>
        <w:tc>
          <w:tcPr>
            <w:tcW w:w="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auto"/>
            </w:tcBorders>
            <w:gridSpan w:val="5"/>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4"/>
          </w:tcPr>
          <w:p>
            <w:pPr>
              <w:jc w:val="right"/>
              <w:ind w:right="759"/>
              <w:spacing w:after="0"/>
              <w:rPr>
                <w:sz w:val="20"/>
                <w:szCs w:val="20"/>
                <w:color w:val="auto"/>
              </w:rPr>
            </w:pPr>
            <w:r>
              <w:rPr>
                <w:rFonts w:ascii="Arial" w:cs="Arial" w:eastAsia="Arial" w:hAnsi="Arial"/>
                <w:sz w:val="16"/>
                <w:szCs w:val="16"/>
                <w:color w:val="auto"/>
              </w:rPr>
              <w:t>Revenue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7"/>
          </w:tcPr>
          <w:p>
            <w:pPr>
              <w:jc w:val="right"/>
              <w:ind w:right="39"/>
              <w:spacing w:after="0"/>
              <w:rPr>
                <w:sz w:val="20"/>
                <w:szCs w:val="20"/>
                <w:color w:val="auto"/>
              </w:rPr>
            </w:pPr>
            <w:r>
              <w:rPr>
                <w:rFonts w:ascii="Arial" w:cs="Arial" w:eastAsia="Arial" w:hAnsi="Arial"/>
                <w:sz w:val="16"/>
                <w:szCs w:val="16"/>
                <w:color w:val="auto"/>
              </w:rPr>
              <w:t>Gross Margin (non-GAAP) (in</w:t>
            </w:r>
          </w:p>
        </w:tc>
        <w:tc>
          <w:tcPr>
            <w:tcW w:w="100" w:type="dxa"/>
            <w:vAlign w:val="bottom"/>
          </w:tcPr>
          <w:p>
            <w:pPr>
              <w:spacing w:after="0"/>
              <w:rPr>
                <w:sz w:val="24"/>
                <w:szCs w:val="24"/>
                <w:color w:val="auto"/>
              </w:rPr>
            </w:pPr>
          </w:p>
        </w:tc>
        <w:tc>
          <w:tcPr>
            <w:tcW w:w="2260" w:type="dxa"/>
            <w:vAlign w:val="bottom"/>
            <w:gridSpan w:val="5"/>
            <w:vMerge w:val="restart"/>
          </w:tcPr>
          <w:p>
            <w:pPr>
              <w:ind w:left="240"/>
              <w:spacing w:after="0"/>
              <w:rPr>
                <w:sz w:val="20"/>
                <w:szCs w:val="20"/>
                <w:color w:val="auto"/>
              </w:rPr>
            </w:pPr>
            <w:r>
              <w:rPr>
                <w:rFonts w:ascii="Arial" w:cs="Arial" w:eastAsia="Arial" w:hAnsi="Arial"/>
                <w:sz w:val="16"/>
                <w:szCs w:val="16"/>
                <w:color w:val="auto"/>
              </w:rPr>
              <w:t>Quantities Sold (MWh)</w:t>
            </w:r>
            <w:r>
              <w:rPr>
                <w:rFonts w:ascii="Arial" w:cs="Arial" w:eastAsia="Arial" w:hAnsi="Arial"/>
                <w:sz w:val="21"/>
                <w:szCs w:val="21"/>
                <w:color w:val="auto"/>
                <w:vertAlign w:val="superscript"/>
              </w:rPr>
              <w:t>(a)</w:t>
            </w:r>
          </w:p>
        </w:tc>
        <w:tc>
          <w:tcPr>
            <w:tcW w:w="0" w:type="dxa"/>
            <w:vAlign w:val="bottom"/>
          </w:tcPr>
          <w:p>
            <w:pPr>
              <w:spacing w:after="0"/>
              <w:rPr>
                <w:sz w:val="1"/>
                <w:szCs w:val="1"/>
                <w:color w:val="auto"/>
              </w:rPr>
            </w:pPr>
          </w:p>
        </w:tc>
      </w:tr>
      <w:tr>
        <w:trPr>
          <w:trHeight w:val="201"/>
        </w:trPr>
        <w:tc>
          <w:tcPr>
            <w:tcW w:w="120" w:type="dxa"/>
            <w:vAlign w:val="bottom"/>
          </w:tcPr>
          <w:p>
            <w:pPr>
              <w:spacing w:after="0"/>
              <w:rPr>
                <w:sz w:val="17"/>
                <w:szCs w:val="17"/>
                <w:color w:val="auto"/>
              </w:rPr>
            </w:pPr>
          </w:p>
        </w:tc>
        <w:tc>
          <w:tcPr>
            <w:tcW w:w="3580" w:type="dxa"/>
            <w:vAlign w:val="bottom"/>
            <w:gridSpan w:val="2"/>
          </w:tcPr>
          <w:p>
            <w:pPr>
              <w:ind w:left="20"/>
              <w:spacing w:after="0"/>
              <w:rPr>
                <w:sz w:val="20"/>
                <w:szCs w:val="20"/>
                <w:color w:val="auto"/>
              </w:rPr>
            </w:pPr>
            <w:r>
              <w:rPr>
                <w:rFonts w:ascii="Arial" w:cs="Arial" w:eastAsia="Arial" w:hAnsi="Arial"/>
                <w:sz w:val="16"/>
                <w:szCs w:val="16"/>
                <w:color w:val="auto"/>
              </w:rPr>
              <w:t>Six Months Ended June 30,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gridSpan w:val="4"/>
          </w:tcPr>
          <w:p>
            <w:pPr>
              <w:jc w:val="right"/>
              <w:ind w:right="539"/>
              <w:spacing w:after="0"/>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5"/>
          </w:tcPr>
          <w:p>
            <w:pPr>
              <w:jc w:val="right"/>
              <w:ind w:right="699"/>
              <w:spacing w:after="0"/>
              <w:rPr>
                <w:sz w:val="20"/>
                <w:szCs w:val="20"/>
                <w:color w:val="auto"/>
              </w:rPr>
            </w:pPr>
            <w:r>
              <w:rPr>
                <w:rFonts w:ascii="Arial" w:cs="Arial" w:eastAsia="Arial" w:hAnsi="Arial"/>
                <w:sz w:val="16"/>
                <w:szCs w:val="16"/>
                <w:color w:val="auto"/>
              </w:rPr>
              <w:t>thousands)</w:t>
            </w:r>
          </w:p>
        </w:tc>
        <w:tc>
          <w:tcPr>
            <w:tcW w:w="100" w:type="dxa"/>
            <w:vAlign w:val="bottom"/>
          </w:tcPr>
          <w:p>
            <w:pPr>
              <w:spacing w:after="0"/>
              <w:rPr>
                <w:sz w:val="17"/>
                <w:szCs w:val="17"/>
                <w:color w:val="auto"/>
              </w:rPr>
            </w:pPr>
          </w:p>
        </w:tc>
        <w:tc>
          <w:tcPr>
            <w:tcW w:w="22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20" w:type="dxa"/>
            <w:vAlign w:val="bottom"/>
          </w:tcPr>
          <w:p>
            <w:pPr>
              <w:spacing w:after="0"/>
              <w:rPr>
                <w:sz w:val="17"/>
                <w:szCs w:val="17"/>
                <w:color w:val="auto"/>
              </w:rPr>
            </w:pPr>
          </w:p>
        </w:tc>
        <w:tc>
          <w:tcPr>
            <w:tcW w:w="1340" w:type="dxa"/>
            <w:vAlign w:val="bottom"/>
            <w:tcBorders>
              <w:bottom w:val="single" w:sz="8" w:color="CEFFE7"/>
            </w:tcBorders>
          </w:tcPr>
          <w:p>
            <w:pPr>
              <w:spacing w:after="0"/>
              <w:rPr>
                <w:sz w:val="17"/>
                <w:szCs w:val="17"/>
                <w:color w:val="auto"/>
              </w:rPr>
            </w:pPr>
          </w:p>
        </w:tc>
        <w:tc>
          <w:tcPr>
            <w:tcW w:w="2240" w:type="dxa"/>
            <w:vAlign w:val="bottom"/>
            <w:tcBorders>
              <w:bottom w:val="single" w:sz="8" w:color="CEFFE7"/>
            </w:tcBorders>
          </w:tcPr>
          <w:p>
            <w:pPr>
              <w:spacing w:after="0"/>
              <w:rPr>
                <w:sz w:val="17"/>
                <w:szCs w:val="17"/>
                <w:color w:val="auto"/>
              </w:rPr>
            </w:pPr>
          </w:p>
        </w:tc>
        <w:tc>
          <w:tcPr>
            <w:tcW w:w="220" w:type="dxa"/>
            <w:vAlign w:val="bottom"/>
            <w:tcBorders>
              <w:bottom w:val="single" w:sz="8" w:color="CEFFE7"/>
            </w:tcBorders>
          </w:tcPr>
          <w:p>
            <w:pPr>
              <w:spacing w:after="0"/>
              <w:rPr>
                <w:sz w:val="17"/>
                <w:szCs w:val="17"/>
                <w:color w:val="auto"/>
              </w:rPr>
            </w:pPr>
          </w:p>
        </w:tc>
        <w:tc>
          <w:tcPr>
            <w:tcW w:w="80" w:type="dxa"/>
            <w:vAlign w:val="bottom"/>
            <w:tcBorders>
              <w:bottom w:val="single" w:sz="8" w:color="CEFFE7"/>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gridSpan w:val="5"/>
          </w:tcPr>
          <w:p>
            <w:pPr>
              <w:jc w:val="right"/>
              <w:ind w:right="279"/>
              <w:spacing w:after="0"/>
              <w:rPr>
                <w:sz w:val="20"/>
                <w:szCs w:val="20"/>
                <w:color w:val="auto"/>
              </w:rPr>
            </w:pPr>
            <w:r>
              <w:rPr>
                <w:rFonts w:ascii="Arial" w:cs="Arial" w:eastAsia="Arial" w:hAnsi="Arial"/>
                <w:sz w:val="16"/>
                <w:szCs w:val="16"/>
                <w:color w:val="auto"/>
              </w:rPr>
              <w:t>2021</w:t>
            </w:r>
          </w:p>
        </w:tc>
        <w:tc>
          <w:tcPr>
            <w:tcW w:w="2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2021</w:t>
            </w: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32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35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Colorado Electric</w:t>
            </w:r>
          </w:p>
        </w:tc>
        <w:tc>
          <w:tcPr>
            <w:tcW w:w="560" w:type="dxa"/>
            <w:vAlign w:val="bottom"/>
            <w:gridSpan w:val="5"/>
            <w:shd w:val="clear" w:color="auto" w:fill="CEFFE7"/>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144,054</w:t>
            </w:r>
          </w:p>
        </w:tc>
        <w:tc>
          <w:tcPr>
            <w:tcW w:w="100" w:type="dxa"/>
            <w:vAlign w:val="bottom"/>
            <w:shd w:val="clear" w:color="auto" w:fill="CEFFE7"/>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116,455</w:t>
            </w:r>
          </w:p>
        </w:tc>
        <w:tc>
          <w:tcPr>
            <w:tcW w:w="400" w:type="dxa"/>
            <w:vAlign w:val="bottom"/>
            <w:gridSpan w:val="3"/>
            <w:shd w:val="clear" w:color="auto" w:fill="CEFFE7"/>
          </w:tcPr>
          <w:p>
            <w:pPr>
              <w:ind w:lef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EFFE7"/>
          </w:tcPr>
          <w:p>
            <w:pPr>
              <w:spacing w:after="0"/>
              <w:rPr>
                <w:sz w:val="18"/>
                <w:szCs w:val="18"/>
                <w:color w:val="auto"/>
              </w:rPr>
            </w:pPr>
          </w:p>
        </w:tc>
        <w:tc>
          <w:tcPr>
            <w:tcW w:w="6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58,500</w:t>
            </w:r>
          </w:p>
        </w:tc>
        <w:tc>
          <w:tcPr>
            <w:tcW w:w="26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EFFE7"/>
          </w:tcPr>
          <w:p>
            <w:pPr>
              <w:jc w:val="right"/>
              <w:spacing w:after="0"/>
              <w:rPr>
                <w:sz w:val="20"/>
                <w:szCs w:val="20"/>
                <w:color w:val="auto"/>
              </w:rPr>
            </w:pPr>
            <w:r>
              <w:rPr>
                <w:rFonts w:ascii="Arial" w:cs="Arial" w:eastAsia="Arial" w:hAnsi="Arial"/>
                <w:sz w:val="16"/>
                <w:szCs w:val="16"/>
                <w:color w:val="auto"/>
              </w:rPr>
              <w:t>64,725</w:t>
            </w:r>
          </w:p>
        </w:tc>
        <w:tc>
          <w:tcPr>
            <w:tcW w:w="1160" w:type="dxa"/>
            <w:vAlign w:val="bottom"/>
            <w:gridSpan w:val="3"/>
            <w:shd w:val="clear" w:color="auto" w:fill="CEFFE7"/>
          </w:tcPr>
          <w:p>
            <w:pPr>
              <w:jc w:val="right"/>
              <w:spacing w:after="0"/>
              <w:rPr>
                <w:sz w:val="20"/>
                <w:szCs w:val="20"/>
                <w:color w:val="auto"/>
              </w:rPr>
            </w:pPr>
            <w:r>
              <w:rPr>
                <w:rFonts w:ascii="Arial" w:cs="Arial" w:eastAsia="Arial" w:hAnsi="Arial"/>
                <w:sz w:val="16"/>
                <w:szCs w:val="16"/>
                <w:color w:val="auto"/>
              </w:rPr>
              <w:t>1,225,149</w:t>
            </w:r>
          </w:p>
        </w:tc>
        <w:tc>
          <w:tcPr>
            <w:tcW w:w="1180" w:type="dxa"/>
            <w:vAlign w:val="bottom"/>
            <w:gridSpan w:val="2"/>
            <w:shd w:val="clear" w:color="auto" w:fill="CEFFE7"/>
          </w:tcPr>
          <w:p>
            <w:pPr>
              <w:jc w:val="right"/>
              <w:ind w:right="60"/>
              <w:spacing w:after="0"/>
              <w:rPr>
                <w:sz w:val="20"/>
                <w:szCs w:val="20"/>
                <w:color w:val="auto"/>
              </w:rPr>
            </w:pPr>
            <w:r>
              <w:rPr>
                <w:rFonts w:ascii="Arial" w:cs="Arial" w:eastAsia="Arial" w:hAnsi="Arial"/>
                <w:sz w:val="16"/>
                <w:szCs w:val="16"/>
                <w:color w:val="auto"/>
              </w:rPr>
              <w:t>1,098,585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3580" w:type="dxa"/>
            <w:vAlign w:val="bottom"/>
            <w:gridSpan w:val="2"/>
          </w:tcPr>
          <w:p>
            <w:pPr>
              <w:ind w:left="20"/>
              <w:spacing w:after="0"/>
              <w:rPr>
                <w:sz w:val="20"/>
                <w:szCs w:val="20"/>
                <w:color w:val="auto"/>
              </w:rPr>
            </w:pPr>
            <w:r>
              <w:rPr>
                <w:rFonts w:ascii="Arial" w:cs="Arial" w:eastAsia="Arial" w:hAnsi="Arial"/>
                <w:sz w:val="16"/>
                <w:szCs w:val="16"/>
                <w:color w:val="auto"/>
              </w:rPr>
              <w:t>South Dakota Electric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168,830</w:t>
            </w: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134,198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101,442</w:t>
            </w:r>
          </w:p>
        </w:tc>
        <w:tc>
          <w:tcPr>
            <w:tcW w:w="2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105,597</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1,287,834</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1,255,752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58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Wyoming Electric</w:t>
            </w:r>
          </w:p>
        </w:tc>
        <w:tc>
          <w:tcPr>
            <w:tcW w:w="220" w:type="dxa"/>
            <w:vAlign w:val="bottom"/>
            <w:shd w:val="clear" w:color="auto" w:fill="CEFFE7"/>
          </w:tcPr>
          <w:p>
            <w:pPr>
              <w:spacing w:after="0"/>
              <w:rPr>
                <w:sz w:val="18"/>
                <w:szCs w:val="18"/>
                <w:color w:val="auto"/>
              </w:rPr>
            </w:pPr>
          </w:p>
        </w:tc>
        <w:tc>
          <w:tcPr>
            <w:tcW w:w="80" w:type="dxa"/>
            <w:vAlign w:val="bottom"/>
            <w:shd w:val="clear" w:color="auto" w:fill="CEFFE7"/>
          </w:tcPr>
          <w:p>
            <w:pPr>
              <w:spacing w:after="0"/>
              <w:rPr>
                <w:sz w:val="18"/>
                <w:szCs w:val="18"/>
                <w:color w:val="auto"/>
              </w:rPr>
            </w:pPr>
          </w:p>
        </w:tc>
        <w:tc>
          <w:tcPr>
            <w:tcW w:w="40" w:type="dxa"/>
            <w:vAlign w:val="bottom"/>
            <w:shd w:val="clear" w:color="auto" w:fill="CEFFE7"/>
          </w:tcPr>
          <w:p>
            <w:pPr>
              <w:spacing w:after="0"/>
              <w:rPr>
                <w:sz w:val="18"/>
                <w:szCs w:val="18"/>
                <w:color w:val="auto"/>
              </w:rPr>
            </w:pPr>
          </w:p>
        </w:tc>
        <w:tc>
          <w:tcPr>
            <w:tcW w:w="80" w:type="dxa"/>
            <w:vAlign w:val="bottom"/>
            <w:shd w:val="clear" w:color="auto" w:fill="CEFFE7"/>
          </w:tcPr>
          <w:p>
            <w:pPr>
              <w:spacing w:after="0"/>
              <w:rPr>
                <w:sz w:val="18"/>
                <w:szCs w:val="18"/>
                <w:color w:val="auto"/>
              </w:rPr>
            </w:pPr>
          </w:p>
        </w:tc>
        <w:tc>
          <w:tcPr>
            <w:tcW w:w="140" w:type="dxa"/>
            <w:vAlign w:val="bottom"/>
            <w:tcBorders>
              <w:bottom w:val="single" w:sz="8" w:color="auto"/>
            </w:tcBorders>
            <w:shd w:val="clear" w:color="auto" w:fill="CEFFE7"/>
          </w:tcPr>
          <w:p>
            <w:pPr>
              <w:spacing w:after="0"/>
              <w:rPr>
                <w:sz w:val="18"/>
                <w:szCs w:val="18"/>
                <w:color w:val="auto"/>
              </w:rPr>
            </w:pPr>
          </w:p>
        </w:tc>
        <w:tc>
          <w:tcPr>
            <w:tcW w:w="10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99,457</w:t>
            </w:r>
          </w:p>
        </w:tc>
        <w:tc>
          <w:tcPr>
            <w:tcW w:w="100" w:type="dxa"/>
            <w:vAlign w:val="bottom"/>
            <w:tcBorders>
              <w:bottom w:val="single" w:sz="8" w:color="auto"/>
            </w:tcBorders>
            <w:shd w:val="clear" w:color="auto" w:fill="CEFFE7"/>
          </w:tcPr>
          <w:p>
            <w:pPr>
              <w:spacing w:after="0"/>
              <w:rPr>
                <w:sz w:val="18"/>
                <w:szCs w:val="18"/>
                <w:color w:val="auto"/>
              </w:rPr>
            </w:pPr>
          </w:p>
        </w:tc>
        <w:tc>
          <w:tcPr>
            <w:tcW w:w="102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86,686</w:t>
            </w:r>
          </w:p>
        </w:tc>
        <w:tc>
          <w:tcPr>
            <w:tcW w:w="60" w:type="dxa"/>
            <w:vAlign w:val="bottom"/>
            <w:tcBorders>
              <w:bottom w:val="single" w:sz="8" w:color="auto"/>
            </w:tcBorders>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240" w:type="dxa"/>
            <w:vAlign w:val="bottom"/>
            <w:tcBorders>
              <w:bottom w:val="single" w:sz="8" w:color="auto"/>
            </w:tcBorders>
            <w:shd w:val="clear" w:color="auto" w:fill="CEFFE7"/>
          </w:tcPr>
          <w:p>
            <w:pPr>
              <w:spacing w:after="0"/>
              <w:rPr>
                <w:sz w:val="18"/>
                <w:szCs w:val="18"/>
                <w:color w:val="auto"/>
              </w:rPr>
            </w:pPr>
          </w:p>
        </w:tc>
        <w:tc>
          <w:tcPr>
            <w:tcW w:w="220" w:type="dxa"/>
            <w:vAlign w:val="bottom"/>
            <w:tcBorders>
              <w:bottom w:val="single" w:sz="8" w:color="auto"/>
            </w:tcBorders>
            <w:shd w:val="clear" w:color="auto" w:fill="CEFFE7"/>
          </w:tcPr>
          <w:p>
            <w:pPr>
              <w:spacing w:after="0"/>
              <w:rPr>
                <w:sz w:val="18"/>
                <w:szCs w:val="18"/>
                <w:color w:val="auto"/>
              </w:rPr>
            </w:pPr>
          </w:p>
        </w:tc>
        <w:tc>
          <w:tcPr>
            <w:tcW w:w="6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45,092</w:t>
            </w:r>
          </w:p>
        </w:tc>
        <w:tc>
          <w:tcPr>
            <w:tcW w:w="26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gridSpan w:val="3"/>
            <w:shd w:val="clear" w:color="auto" w:fill="CEFFE7"/>
          </w:tcPr>
          <w:p>
            <w:pPr>
              <w:jc w:val="right"/>
              <w:spacing w:after="0"/>
              <w:rPr>
                <w:sz w:val="20"/>
                <w:szCs w:val="20"/>
                <w:color w:val="auto"/>
              </w:rPr>
            </w:pPr>
            <w:r>
              <w:rPr>
                <w:rFonts w:ascii="Arial" w:cs="Arial" w:eastAsia="Arial" w:hAnsi="Arial"/>
                <w:sz w:val="16"/>
                <w:szCs w:val="16"/>
                <w:color w:val="auto"/>
              </w:rPr>
              <w:t>43,504</w:t>
            </w:r>
          </w:p>
        </w:tc>
        <w:tc>
          <w:tcPr>
            <w:tcW w:w="100" w:type="dxa"/>
            <w:vAlign w:val="bottom"/>
            <w:shd w:val="clear" w:color="auto" w:fill="CEFFE7"/>
          </w:tcPr>
          <w:p>
            <w:pPr>
              <w:spacing w:after="0"/>
              <w:rPr>
                <w:sz w:val="18"/>
                <w:szCs w:val="18"/>
                <w:color w:val="auto"/>
              </w:rPr>
            </w:pPr>
          </w:p>
        </w:tc>
        <w:tc>
          <w:tcPr>
            <w:tcW w:w="1060" w:type="dxa"/>
            <w:vAlign w:val="bottom"/>
            <w:tcBorders>
              <w:bottom w:val="single" w:sz="8" w:color="auto"/>
            </w:tcBorders>
            <w:gridSpan w:val="2"/>
            <w:shd w:val="clear" w:color="auto" w:fill="CEFFE7"/>
          </w:tcPr>
          <w:p>
            <w:pPr>
              <w:jc w:val="right"/>
              <w:spacing w:after="0"/>
              <w:rPr>
                <w:sz w:val="20"/>
                <w:szCs w:val="20"/>
                <w:color w:val="auto"/>
              </w:rPr>
            </w:pPr>
            <w:r>
              <w:rPr>
                <w:rFonts w:ascii="Arial" w:cs="Arial" w:eastAsia="Arial" w:hAnsi="Arial"/>
                <w:sz w:val="16"/>
                <w:szCs w:val="16"/>
                <w:color w:val="auto"/>
              </w:rPr>
              <w:t>973,343</w:t>
            </w:r>
          </w:p>
        </w:tc>
        <w:tc>
          <w:tcPr>
            <w:tcW w:w="1180" w:type="dxa"/>
            <w:vAlign w:val="bottom"/>
            <w:tcBorders>
              <w:bottom w:val="single" w:sz="8" w:color="auto"/>
            </w:tcBorders>
            <w:gridSpan w:val="2"/>
            <w:shd w:val="clear" w:color="auto" w:fill="CEFFE7"/>
          </w:tcPr>
          <w:p>
            <w:pPr>
              <w:jc w:val="right"/>
              <w:ind w:right="60"/>
              <w:spacing w:after="0"/>
              <w:rPr>
                <w:sz w:val="20"/>
                <w:szCs w:val="20"/>
                <w:color w:val="auto"/>
              </w:rPr>
            </w:pPr>
            <w:r>
              <w:rPr>
                <w:rFonts w:ascii="Arial" w:cs="Arial" w:eastAsia="Arial" w:hAnsi="Arial"/>
                <w:sz w:val="16"/>
                <w:szCs w:val="16"/>
                <w:color w:val="auto"/>
              </w:rPr>
              <w:t>999,554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20" w:type="dxa"/>
            <w:vAlign w:val="bottom"/>
          </w:tcPr>
          <w:p>
            <w:pPr>
              <w:spacing w:after="0"/>
              <w:rPr>
                <w:sz w:val="12"/>
                <w:szCs w:val="12"/>
                <w:color w:val="auto"/>
              </w:rPr>
            </w:pPr>
          </w:p>
        </w:tc>
        <w:tc>
          <w:tcPr>
            <w:tcW w:w="4140" w:type="dxa"/>
            <w:vAlign w:val="bottom"/>
            <w:gridSpan w:val="7"/>
          </w:tcPr>
          <w:p>
            <w:pPr>
              <w:ind w:left="220"/>
              <w:spacing w:after="0" w:line="145" w:lineRule="exact"/>
              <w:rPr>
                <w:sz w:val="20"/>
                <w:szCs w:val="20"/>
                <w:color w:val="auto"/>
              </w:rPr>
            </w:pPr>
            <w:r>
              <w:rPr>
                <w:rFonts w:ascii="Arial" w:cs="Arial" w:eastAsia="Arial" w:hAnsi="Arial"/>
                <w:sz w:val="16"/>
                <w:szCs w:val="16"/>
                <w:color w:val="auto"/>
              </w:rPr>
              <w:t>Total Electric Revenue, Gross Margin (non-GAAP),</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3580" w:type="dxa"/>
            <w:vAlign w:val="bottom"/>
            <w:gridSpan w:val="2"/>
          </w:tcPr>
          <w:p>
            <w:pPr>
              <w:ind w:left="220"/>
              <w:spacing w:after="0"/>
              <w:rPr>
                <w:sz w:val="20"/>
                <w:szCs w:val="20"/>
                <w:color w:val="auto"/>
              </w:rPr>
            </w:pPr>
            <w:r>
              <w:rPr>
                <w:rFonts w:ascii="Arial" w:cs="Arial" w:eastAsia="Arial" w:hAnsi="Arial"/>
                <w:sz w:val="16"/>
                <w:szCs w:val="16"/>
                <w:color w:val="auto"/>
              </w:rPr>
              <w:t>and Quantities Sold</w:t>
            </w:r>
          </w:p>
        </w:tc>
        <w:tc>
          <w:tcPr>
            <w:tcW w:w="560" w:type="dxa"/>
            <w:vAlign w:val="bottom"/>
            <w:gridSpan w:val="5"/>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412,341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337,339</w:t>
            </w:r>
          </w:p>
        </w:tc>
        <w:tc>
          <w:tcPr>
            <w:tcW w:w="400" w:type="dxa"/>
            <w:vAlign w:val="bottom"/>
            <w:gridSpan w:val="3"/>
          </w:tcPr>
          <w:p>
            <w:pPr>
              <w:ind w:lef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205,034</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213,826</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3,486,326</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3,353,891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700" w:type="dxa"/>
            <w:vAlign w:val="bottom"/>
            <w:gridSpan w:val="3"/>
            <w:vMerge w:val="restart"/>
          </w:tcPr>
          <w:p>
            <w:pPr>
              <w:ind w:left="100"/>
              <w:spacing w:after="0"/>
              <w:rPr>
                <w:sz w:val="20"/>
                <w:szCs w:val="20"/>
                <w:color w:val="auto"/>
              </w:rPr>
            </w:pPr>
            <w:r>
              <w:rPr>
                <w:rFonts w:ascii="Arial" w:cs="Arial" w:eastAsia="Arial" w:hAnsi="Arial"/>
                <w:sz w:val="16"/>
                <w:szCs w:val="16"/>
                <w:color w:val="auto"/>
              </w:rPr>
              <w:t>________________</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370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5220" w:type="dxa"/>
            <w:vAlign w:val="bottom"/>
            <w:gridSpan w:val="8"/>
          </w:tcPr>
          <w:p>
            <w:pPr>
              <w:spacing w:after="0"/>
              <w:rPr>
                <w:sz w:val="20"/>
                <w:szCs w:val="20"/>
                <w:color w:val="auto"/>
              </w:rPr>
            </w:pPr>
            <w:r>
              <w:rPr>
                <w:rFonts w:ascii="Arial" w:cs="Arial" w:eastAsia="Arial" w:hAnsi="Arial"/>
                <w:sz w:val="14"/>
                <w:szCs w:val="14"/>
                <w:color w:val="auto"/>
              </w:rPr>
              <w:t>(a)  Includes company uses, line losses, and excess exchange production.</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0"/>
        </w:trPr>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gridSpan w:val="13"/>
          </w:tcPr>
          <w:p>
            <w:pPr>
              <w:ind w:left="20"/>
              <w:spacing w:after="0"/>
              <w:rPr>
                <w:sz w:val="20"/>
                <w:szCs w:val="20"/>
                <w:color w:val="auto"/>
              </w:rPr>
            </w:pPr>
            <w:r>
              <w:rPr>
                <w:rFonts w:ascii="Arial" w:cs="Arial" w:eastAsia="Arial" w:hAnsi="Arial"/>
                <w:sz w:val="16"/>
                <w:szCs w:val="16"/>
                <w:color w:val="auto"/>
              </w:rPr>
              <w:t>Three Months Ended June 30,Six Months Ended June 30,</w:t>
            </w:r>
          </w:p>
        </w:tc>
        <w:tc>
          <w:tcPr>
            <w:tcW w:w="0" w:type="dxa"/>
            <w:vAlign w:val="bottom"/>
          </w:tcPr>
          <w:p>
            <w:pPr>
              <w:spacing w:after="0"/>
              <w:rPr>
                <w:sz w:val="1"/>
                <w:szCs w:val="1"/>
                <w:color w:val="auto"/>
              </w:rPr>
            </w:pPr>
          </w:p>
        </w:tc>
      </w:tr>
      <w:tr>
        <w:trPr>
          <w:trHeight w:val="219"/>
        </w:trPr>
        <w:tc>
          <w:tcPr>
            <w:tcW w:w="3700" w:type="dxa"/>
            <w:vAlign w:val="bottom"/>
            <w:gridSpan w:val="3"/>
          </w:tcPr>
          <w:p>
            <w:pPr>
              <w:ind w:left="20"/>
              <w:spacing w:after="0"/>
              <w:rPr>
                <w:sz w:val="20"/>
                <w:szCs w:val="20"/>
                <w:color w:val="auto"/>
              </w:rPr>
            </w:pPr>
            <w:r>
              <w:rPr>
                <w:rFonts w:ascii="Arial" w:cs="Arial" w:eastAsia="Arial" w:hAnsi="Arial"/>
                <w:sz w:val="16"/>
                <w:szCs w:val="16"/>
                <w:color w:val="auto"/>
              </w:rPr>
              <w:t>antities Generated and Purchased (MWh)</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5"/>
          </w:tcPr>
          <w:p>
            <w:pPr>
              <w:jc w:val="right"/>
              <w:ind w:right="279"/>
              <w:spacing w:after="0"/>
              <w:rPr>
                <w:sz w:val="20"/>
                <w:szCs w:val="20"/>
                <w:color w:val="auto"/>
              </w:rPr>
            </w:pPr>
            <w:r>
              <w:rPr>
                <w:rFonts w:ascii="Arial" w:cs="Arial" w:eastAsia="Arial" w:hAnsi="Arial"/>
                <w:sz w:val="16"/>
                <w:szCs w:val="16"/>
                <w:color w:val="auto"/>
              </w:rPr>
              <w:t>2021</w:t>
            </w:r>
          </w:p>
        </w:tc>
        <w:tc>
          <w:tcPr>
            <w:tcW w:w="260" w:type="dxa"/>
            <w:vAlign w:val="bottom"/>
          </w:tcPr>
          <w:p>
            <w:pPr>
              <w:spacing w:after="0"/>
              <w:rPr>
                <w:sz w:val="19"/>
                <w:szCs w:val="19"/>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439"/>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19"/>
                <w:szCs w:val="19"/>
                <w:color w:val="auto"/>
              </w:rPr>
            </w:pPr>
          </w:p>
        </w:tc>
        <w:tc>
          <w:tcPr>
            <w:tcW w:w="860" w:type="dxa"/>
            <w:vAlign w:val="bottom"/>
          </w:tcPr>
          <w:p>
            <w:pPr>
              <w:jc w:val="right"/>
              <w:ind w:right="399"/>
              <w:spacing w:after="0"/>
              <w:rPr>
                <w:sz w:val="20"/>
                <w:szCs w:val="20"/>
                <w:color w:val="auto"/>
              </w:rPr>
            </w:pPr>
            <w:r>
              <w:rPr>
                <w:rFonts w:ascii="Arial" w:cs="Arial" w:eastAsia="Arial" w:hAnsi="Arial"/>
                <w:sz w:val="16"/>
                <w:szCs w:val="16"/>
                <w:color w:val="auto"/>
              </w:rPr>
              <w:t>2020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12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0" w:type="dxa"/>
            <w:vAlign w:val="bottom"/>
            <w:tcBorders>
              <w:right w:val="single" w:sz="8" w:color="CEFFE7"/>
            </w:tcBorders>
          </w:tcPr>
          <w:p>
            <w:pPr>
              <w:spacing w:after="0"/>
              <w:rPr>
                <w:sz w:val="18"/>
                <w:szCs w:val="18"/>
                <w:color w:val="auto"/>
              </w:rPr>
            </w:pPr>
          </w:p>
        </w:tc>
        <w:tc>
          <w:tcPr>
            <w:tcW w:w="358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nerated:</w:t>
            </w:r>
          </w:p>
        </w:tc>
        <w:tc>
          <w:tcPr>
            <w:tcW w:w="220" w:type="dxa"/>
            <w:vAlign w:val="bottom"/>
            <w:shd w:val="clear" w:color="auto" w:fill="CEFFE7"/>
          </w:tcPr>
          <w:p>
            <w:pPr>
              <w:spacing w:after="0"/>
              <w:rPr>
                <w:sz w:val="18"/>
                <w:szCs w:val="18"/>
                <w:color w:val="auto"/>
              </w:rPr>
            </w:pPr>
          </w:p>
        </w:tc>
        <w:tc>
          <w:tcPr>
            <w:tcW w:w="80" w:type="dxa"/>
            <w:vAlign w:val="bottom"/>
            <w:shd w:val="clear" w:color="auto" w:fill="CEFFE7"/>
          </w:tcPr>
          <w:p>
            <w:pPr>
              <w:spacing w:after="0"/>
              <w:rPr>
                <w:sz w:val="18"/>
                <w:szCs w:val="18"/>
                <w:color w:val="auto"/>
              </w:rPr>
            </w:pPr>
          </w:p>
        </w:tc>
        <w:tc>
          <w:tcPr>
            <w:tcW w:w="40" w:type="dxa"/>
            <w:vAlign w:val="bottom"/>
            <w:shd w:val="clear" w:color="auto" w:fill="CEFFE7"/>
          </w:tcPr>
          <w:p>
            <w:pPr>
              <w:spacing w:after="0"/>
              <w:rPr>
                <w:sz w:val="18"/>
                <w:szCs w:val="18"/>
                <w:color w:val="auto"/>
              </w:rPr>
            </w:pPr>
          </w:p>
        </w:tc>
        <w:tc>
          <w:tcPr>
            <w:tcW w:w="8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08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92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6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680" w:type="dxa"/>
            <w:vAlign w:val="bottom"/>
            <w:shd w:val="clear" w:color="auto" w:fill="CEFFE7"/>
          </w:tcPr>
          <w:p>
            <w:pPr>
              <w:spacing w:after="0"/>
              <w:rPr>
                <w:sz w:val="18"/>
                <w:szCs w:val="18"/>
                <w:color w:val="auto"/>
              </w:rPr>
            </w:pPr>
          </w:p>
        </w:tc>
        <w:tc>
          <w:tcPr>
            <w:tcW w:w="260" w:type="dxa"/>
            <w:vAlign w:val="bottom"/>
            <w:shd w:val="clear" w:color="auto" w:fill="CEFFE7"/>
          </w:tcPr>
          <w:p>
            <w:pPr>
              <w:spacing w:after="0"/>
              <w:rPr>
                <w:sz w:val="18"/>
                <w:szCs w:val="18"/>
                <w:color w:val="auto"/>
              </w:rPr>
            </w:pPr>
          </w:p>
        </w:tc>
        <w:tc>
          <w:tcPr>
            <w:tcW w:w="68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92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320" w:type="dxa"/>
            <w:vAlign w:val="bottom"/>
            <w:tcBorders>
              <w:left w:val="single" w:sz="8" w:color="CEFFE7"/>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gridSpan w:val="3"/>
          </w:tcPr>
          <w:p>
            <w:pPr>
              <w:ind w:left="20"/>
              <w:spacing w:after="0"/>
              <w:rPr>
                <w:sz w:val="20"/>
                <w:szCs w:val="20"/>
                <w:color w:val="auto"/>
              </w:rPr>
            </w:pPr>
            <w:r>
              <w:rPr>
                <w:rFonts w:ascii="Arial" w:cs="Arial" w:eastAsia="Arial" w:hAnsi="Arial"/>
                <w:sz w:val="16"/>
                <w:szCs w:val="16"/>
                <w:color w:val="auto"/>
              </w:rPr>
              <w:t>Coal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9"/>
              <w:spacing w:after="0"/>
              <w:rPr>
                <w:sz w:val="20"/>
                <w:szCs w:val="20"/>
                <w:color w:val="auto"/>
              </w:rPr>
            </w:pPr>
            <w:r>
              <w:rPr>
                <w:rFonts w:ascii="Arial" w:cs="Arial" w:eastAsia="Arial" w:hAnsi="Arial"/>
                <w:sz w:val="16"/>
                <w:szCs w:val="16"/>
                <w:color w:val="auto"/>
              </w:rPr>
              <w:t>497,238</w:t>
            </w:r>
          </w:p>
        </w:tc>
        <w:tc>
          <w:tcPr>
            <w:tcW w:w="960" w:type="dxa"/>
            <w:vAlign w:val="bottom"/>
            <w:gridSpan w:val="3"/>
          </w:tcPr>
          <w:p>
            <w:pPr>
              <w:jc w:val="right"/>
              <w:ind w:right="39"/>
              <w:spacing w:after="0"/>
              <w:rPr>
                <w:sz w:val="20"/>
                <w:szCs w:val="20"/>
                <w:color w:val="auto"/>
              </w:rPr>
            </w:pPr>
            <w:r>
              <w:rPr>
                <w:rFonts w:ascii="Arial" w:cs="Arial" w:eastAsia="Arial" w:hAnsi="Arial"/>
                <w:sz w:val="16"/>
                <w:szCs w:val="16"/>
                <w:color w:val="auto"/>
              </w:rPr>
              <w:t>572,030</w:t>
            </w:r>
          </w:p>
        </w:tc>
        <w:tc>
          <w:tcPr>
            <w:tcW w:w="1020" w:type="dxa"/>
            <w:vAlign w:val="bottom"/>
            <w:gridSpan w:val="2"/>
          </w:tcPr>
          <w:p>
            <w:pPr>
              <w:jc w:val="right"/>
              <w:ind w:right="19"/>
              <w:spacing w:after="0"/>
              <w:rPr>
                <w:sz w:val="20"/>
                <w:szCs w:val="20"/>
                <w:color w:val="auto"/>
              </w:rPr>
            </w:pPr>
            <w:r>
              <w:rPr>
                <w:rFonts w:ascii="Arial" w:cs="Arial" w:eastAsia="Arial" w:hAnsi="Arial"/>
                <w:sz w:val="16"/>
                <w:szCs w:val="16"/>
                <w:color w:val="auto"/>
              </w:rPr>
              <w:t>980,216</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1,119,859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20" w:type="dxa"/>
            <w:vAlign w:val="bottom"/>
            <w:tcBorders>
              <w:right w:val="single" w:sz="8" w:color="CEFFE7"/>
            </w:tcBorders>
          </w:tcPr>
          <w:p>
            <w:pPr>
              <w:spacing w:after="0"/>
              <w:rPr>
                <w:sz w:val="19"/>
                <w:szCs w:val="19"/>
                <w:color w:val="auto"/>
              </w:rPr>
            </w:pPr>
          </w:p>
        </w:tc>
        <w:tc>
          <w:tcPr>
            <w:tcW w:w="358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Natural Gas and Oil</w:t>
            </w:r>
          </w:p>
        </w:tc>
        <w:tc>
          <w:tcPr>
            <w:tcW w:w="220" w:type="dxa"/>
            <w:vAlign w:val="bottom"/>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40" w:type="dxa"/>
            <w:vAlign w:val="bottom"/>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08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92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6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940" w:type="dxa"/>
            <w:vAlign w:val="bottom"/>
            <w:gridSpan w:val="2"/>
            <w:shd w:val="clear" w:color="auto" w:fill="CEFFE7"/>
          </w:tcPr>
          <w:p>
            <w:pPr>
              <w:jc w:val="right"/>
              <w:ind w:right="119"/>
              <w:spacing w:after="0"/>
              <w:rPr>
                <w:sz w:val="20"/>
                <w:szCs w:val="20"/>
                <w:color w:val="auto"/>
              </w:rPr>
            </w:pPr>
            <w:r>
              <w:rPr>
                <w:rFonts w:ascii="Arial" w:cs="Arial" w:eastAsia="Arial" w:hAnsi="Arial"/>
                <w:sz w:val="16"/>
                <w:szCs w:val="16"/>
                <w:color w:val="auto"/>
              </w:rPr>
              <w:t>171,610</w:t>
            </w:r>
          </w:p>
        </w:tc>
        <w:tc>
          <w:tcPr>
            <w:tcW w:w="960" w:type="dxa"/>
            <w:vAlign w:val="bottom"/>
            <w:gridSpan w:val="3"/>
            <w:shd w:val="clear" w:color="auto" w:fill="CEFFE7"/>
          </w:tcPr>
          <w:p>
            <w:pPr>
              <w:jc w:val="right"/>
              <w:ind w:right="39"/>
              <w:spacing w:after="0"/>
              <w:rPr>
                <w:sz w:val="20"/>
                <w:szCs w:val="20"/>
                <w:color w:val="auto"/>
              </w:rPr>
            </w:pPr>
            <w:r>
              <w:rPr>
                <w:rFonts w:ascii="Arial" w:cs="Arial" w:eastAsia="Arial" w:hAnsi="Arial"/>
                <w:sz w:val="16"/>
                <w:szCs w:val="16"/>
                <w:color w:val="auto"/>
              </w:rPr>
              <w:t>86,798</w:t>
            </w:r>
          </w:p>
        </w:tc>
        <w:tc>
          <w:tcPr>
            <w:tcW w:w="1020" w:type="dxa"/>
            <w:vAlign w:val="bottom"/>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303,715</w:t>
            </w:r>
          </w:p>
        </w:tc>
        <w:tc>
          <w:tcPr>
            <w:tcW w:w="140" w:type="dxa"/>
            <w:vAlign w:val="bottom"/>
            <w:shd w:val="clear" w:color="auto" w:fill="CEFFE7"/>
          </w:tcPr>
          <w:p>
            <w:pPr>
              <w:spacing w:after="0"/>
              <w:rPr>
                <w:sz w:val="19"/>
                <w:szCs w:val="19"/>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254,542</w:t>
            </w:r>
          </w:p>
        </w:tc>
        <w:tc>
          <w:tcPr>
            <w:tcW w:w="320" w:type="dxa"/>
            <w:vAlign w:val="bottom"/>
            <w:tcBorders>
              <w:left w:val="single" w:sz="8" w:color="CEFFE7"/>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gridSpan w:val="3"/>
          </w:tcPr>
          <w:p>
            <w:pPr>
              <w:ind w:left="20"/>
              <w:spacing w:after="0"/>
              <w:rPr>
                <w:sz w:val="20"/>
                <w:szCs w:val="20"/>
                <w:color w:val="auto"/>
              </w:rPr>
            </w:pPr>
            <w:r>
              <w:rPr>
                <w:rFonts w:ascii="Arial" w:cs="Arial" w:eastAsia="Arial" w:hAnsi="Arial"/>
                <w:sz w:val="16"/>
                <w:szCs w:val="16"/>
                <w:color w:val="auto"/>
              </w:rPr>
              <w:t>Wind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9"/>
              <w:spacing w:after="0"/>
              <w:rPr>
                <w:sz w:val="20"/>
                <w:szCs w:val="20"/>
                <w:color w:val="auto"/>
              </w:rPr>
            </w:pPr>
            <w:r>
              <w:rPr>
                <w:rFonts w:ascii="Arial" w:cs="Arial" w:eastAsia="Arial" w:hAnsi="Arial"/>
                <w:sz w:val="16"/>
                <w:szCs w:val="16"/>
                <w:color w:val="auto"/>
              </w:rPr>
              <w:t>107,178</w:t>
            </w:r>
          </w:p>
        </w:tc>
        <w:tc>
          <w:tcPr>
            <w:tcW w:w="960" w:type="dxa"/>
            <w:vAlign w:val="bottom"/>
            <w:gridSpan w:val="3"/>
          </w:tcPr>
          <w:p>
            <w:pPr>
              <w:jc w:val="right"/>
              <w:ind w:right="39"/>
              <w:spacing w:after="0"/>
              <w:rPr>
                <w:sz w:val="20"/>
                <w:szCs w:val="20"/>
                <w:color w:val="auto"/>
              </w:rPr>
            </w:pPr>
            <w:r>
              <w:rPr>
                <w:rFonts w:ascii="Arial" w:cs="Arial" w:eastAsia="Arial" w:hAnsi="Arial"/>
                <w:sz w:val="16"/>
                <w:szCs w:val="16"/>
                <w:color w:val="auto"/>
              </w:rPr>
              <w:t>63,628</w:t>
            </w:r>
          </w:p>
        </w:tc>
        <w:tc>
          <w:tcPr>
            <w:tcW w:w="1020" w:type="dxa"/>
            <w:vAlign w:val="bottom"/>
            <w:gridSpan w:val="2"/>
          </w:tcPr>
          <w:p>
            <w:pPr>
              <w:jc w:val="right"/>
              <w:ind w:right="19"/>
              <w:spacing w:after="0"/>
              <w:rPr>
                <w:sz w:val="20"/>
                <w:szCs w:val="20"/>
                <w:color w:val="auto"/>
              </w:rPr>
            </w:pPr>
            <w:r>
              <w:rPr>
                <w:rFonts w:ascii="Arial" w:cs="Arial" w:eastAsia="Arial" w:hAnsi="Arial"/>
                <w:sz w:val="16"/>
                <w:szCs w:val="16"/>
                <w:color w:val="auto"/>
              </w:rPr>
              <w:t>225,157</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137,178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Borders>
              <w:right w:val="single" w:sz="8" w:color="CEFFE7"/>
            </w:tcBorders>
          </w:tcPr>
          <w:p>
            <w:pPr>
              <w:spacing w:after="0"/>
              <w:rPr>
                <w:sz w:val="18"/>
                <w:szCs w:val="18"/>
                <w:color w:val="auto"/>
              </w:rPr>
            </w:pPr>
          </w:p>
        </w:tc>
        <w:tc>
          <w:tcPr>
            <w:tcW w:w="3580" w:type="dxa"/>
            <w:vAlign w:val="bottom"/>
            <w:tcBorders>
              <w:top w:val="single" w:sz="8" w:color="CEFFE7"/>
            </w:tcBorders>
            <w:gridSpan w:val="2"/>
            <w:shd w:val="clear" w:color="auto" w:fill="CEFFE7"/>
          </w:tcPr>
          <w:p>
            <w:pPr>
              <w:ind w:left="100"/>
              <w:spacing w:after="0"/>
              <w:rPr>
                <w:sz w:val="20"/>
                <w:szCs w:val="20"/>
                <w:color w:val="auto"/>
              </w:rPr>
            </w:pPr>
            <w:r>
              <w:rPr>
                <w:rFonts w:ascii="Arial" w:cs="Arial" w:eastAsia="Arial" w:hAnsi="Arial"/>
                <w:sz w:val="16"/>
                <w:szCs w:val="16"/>
                <w:color w:val="auto"/>
              </w:rPr>
              <w:t>Total Generated</w:t>
            </w:r>
          </w:p>
        </w:tc>
        <w:tc>
          <w:tcPr>
            <w:tcW w:w="220" w:type="dxa"/>
            <w:vAlign w:val="bottom"/>
            <w:tcBorders>
              <w:top w:val="single" w:sz="8" w:color="CEFFE7"/>
            </w:tcBorders>
            <w:shd w:val="clear" w:color="auto" w:fill="CEFFE7"/>
          </w:tcPr>
          <w:p>
            <w:pPr>
              <w:spacing w:after="0"/>
              <w:rPr>
                <w:sz w:val="18"/>
                <w:szCs w:val="18"/>
                <w:color w:val="auto"/>
              </w:rPr>
            </w:pPr>
          </w:p>
        </w:tc>
        <w:tc>
          <w:tcPr>
            <w:tcW w:w="80" w:type="dxa"/>
            <w:vAlign w:val="bottom"/>
            <w:tcBorders>
              <w:top w:val="single" w:sz="8" w:color="CEFFE7"/>
            </w:tcBorders>
            <w:shd w:val="clear" w:color="auto" w:fill="CEFFE7"/>
          </w:tcPr>
          <w:p>
            <w:pPr>
              <w:spacing w:after="0"/>
              <w:rPr>
                <w:sz w:val="18"/>
                <w:szCs w:val="18"/>
                <w:color w:val="auto"/>
              </w:rPr>
            </w:pPr>
          </w:p>
        </w:tc>
        <w:tc>
          <w:tcPr>
            <w:tcW w:w="40" w:type="dxa"/>
            <w:vAlign w:val="bottom"/>
            <w:tcBorders>
              <w:top w:val="single" w:sz="8" w:color="CEFFE7"/>
            </w:tcBorders>
            <w:shd w:val="clear" w:color="auto" w:fill="CEFFE7"/>
          </w:tcPr>
          <w:p>
            <w:pPr>
              <w:spacing w:after="0"/>
              <w:rPr>
                <w:sz w:val="18"/>
                <w:szCs w:val="18"/>
                <w:color w:val="auto"/>
              </w:rPr>
            </w:pPr>
          </w:p>
        </w:tc>
        <w:tc>
          <w:tcPr>
            <w:tcW w:w="80" w:type="dxa"/>
            <w:vAlign w:val="bottom"/>
            <w:tcBorders>
              <w:top w:val="single" w:sz="8" w:color="CEFFE7"/>
            </w:tcBorders>
            <w:shd w:val="clear" w:color="auto" w:fill="CEFFE7"/>
          </w:tcPr>
          <w:p>
            <w:pPr>
              <w:spacing w:after="0"/>
              <w:rPr>
                <w:sz w:val="18"/>
                <w:szCs w:val="18"/>
                <w:color w:val="auto"/>
              </w:rPr>
            </w:pPr>
          </w:p>
        </w:tc>
        <w:tc>
          <w:tcPr>
            <w:tcW w:w="140" w:type="dxa"/>
            <w:vAlign w:val="bottom"/>
            <w:tcBorders>
              <w:top w:val="single" w:sz="8" w:color="CEFFE7"/>
            </w:tcBorders>
            <w:shd w:val="clear" w:color="auto" w:fill="CEFFE7"/>
          </w:tcPr>
          <w:p>
            <w:pPr>
              <w:spacing w:after="0"/>
              <w:rPr>
                <w:sz w:val="18"/>
                <w:szCs w:val="18"/>
                <w:color w:val="auto"/>
              </w:rPr>
            </w:pPr>
          </w:p>
        </w:tc>
        <w:tc>
          <w:tcPr>
            <w:tcW w:w="1080" w:type="dxa"/>
            <w:vAlign w:val="bottom"/>
            <w:tcBorders>
              <w:top w:val="single" w:sz="8" w:color="CEFFE7"/>
            </w:tcBorders>
            <w:shd w:val="clear" w:color="auto" w:fill="CEFFE7"/>
          </w:tcPr>
          <w:p>
            <w:pPr>
              <w:spacing w:after="0"/>
              <w:rPr>
                <w:sz w:val="18"/>
                <w:szCs w:val="18"/>
                <w:color w:val="auto"/>
              </w:rPr>
            </w:pPr>
          </w:p>
        </w:tc>
        <w:tc>
          <w:tcPr>
            <w:tcW w:w="100" w:type="dxa"/>
            <w:vAlign w:val="bottom"/>
            <w:tcBorders>
              <w:top w:val="single" w:sz="8" w:color="CEFFE7"/>
            </w:tcBorders>
            <w:shd w:val="clear" w:color="auto" w:fill="CEFFE7"/>
          </w:tcPr>
          <w:p>
            <w:pPr>
              <w:spacing w:after="0"/>
              <w:rPr>
                <w:sz w:val="18"/>
                <w:szCs w:val="18"/>
                <w:color w:val="auto"/>
              </w:rPr>
            </w:pPr>
          </w:p>
        </w:tc>
        <w:tc>
          <w:tcPr>
            <w:tcW w:w="920" w:type="dxa"/>
            <w:vAlign w:val="bottom"/>
            <w:tcBorders>
              <w:top w:val="single" w:sz="8" w:color="CEFFE7"/>
            </w:tcBorders>
            <w:shd w:val="clear" w:color="auto" w:fill="CEFFE7"/>
          </w:tcPr>
          <w:p>
            <w:pPr>
              <w:spacing w:after="0"/>
              <w:rPr>
                <w:sz w:val="18"/>
                <w:szCs w:val="18"/>
                <w:color w:val="auto"/>
              </w:rPr>
            </w:pPr>
          </w:p>
        </w:tc>
        <w:tc>
          <w:tcPr>
            <w:tcW w:w="100" w:type="dxa"/>
            <w:vAlign w:val="bottom"/>
            <w:tcBorders>
              <w:top w:val="single" w:sz="8" w:color="CEFFE7"/>
            </w:tcBorders>
            <w:shd w:val="clear" w:color="auto" w:fill="CEFFE7"/>
          </w:tcPr>
          <w:p>
            <w:pPr>
              <w:spacing w:after="0"/>
              <w:rPr>
                <w:sz w:val="18"/>
                <w:szCs w:val="18"/>
                <w:color w:val="auto"/>
              </w:rPr>
            </w:pPr>
          </w:p>
        </w:tc>
        <w:tc>
          <w:tcPr>
            <w:tcW w:w="60" w:type="dxa"/>
            <w:vAlign w:val="bottom"/>
            <w:tcBorders>
              <w:top w:val="single" w:sz="8" w:color="CEFFE7"/>
            </w:tcBorders>
            <w:shd w:val="clear" w:color="auto" w:fill="CEFFE7"/>
          </w:tcPr>
          <w:p>
            <w:pPr>
              <w:spacing w:after="0"/>
              <w:rPr>
                <w:sz w:val="18"/>
                <w:szCs w:val="18"/>
                <w:color w:val="auto"/>
              </w:rPr>
            </w:pPr>
          </w:p>
        </w:tc>
        <w:tc>
          <w:tcPr>
            <w:tcW w:w="100" w:type="dxa"/>
            <w:vAlign w:val="bottom"/>
            <w:tcBorders>
              <w:top w:val="single" w:sz="8" w:color="CEFFE7"/>
            </w:tcBorders>
            <w:shd w:val="clear" w:color="auto" w:fill="CEFFE7"/>
          </w:tcPr>
          <w:p>
            <w:pPr>
              <w:spacing w:after="0"/>
              <w:rPr>
                <w:sz w:val="18"/>
                <w:szCs w:val="18"/>
                <w:color w:val="auto"/>
              </w:rPr>
            </w:pPr>
          </w:p>
        </w:tc>
        <w:tc>
          <w:tcPr>
            <w:tcW w:w="240" w:type="dxa"/>
            <w:vAlign w:val="bottom"/>
            <w:tcBorders>
              <w:top w:val="single" w:sz="8" w:color="CEFFE7"/>
            </w:tcBorders>
            <w:shd w:val="clear" w:color="auto" w:fill="CEFFE7"/>
          </w:tcPr>
          <w:p>
            <w:pPr>
              <w:spacing w:after="0"/>
              <w:rPr>
                <w:sz w:val="18"/>
                <w:szCs w:val="18"/>
                <w:color w:val="auto"/>
              </w:rPr>
            </w:pPr>
          </w:p>
        </w:tc>
        <w:tc>
          <w:tcPr>
            <w:tcW w:w="220" w:type="dxa"/>
            <w:vAlign w:val="bottom"/>
            <w:tcBorders>
              <w:top w:val="single" w:sz="8" w:color="auto"/>
              <w:bottom w:val="single" w:sz="8" w:color="auto"/>
            </w:tcBorders>
            <w:shd w:val="clear" w:color="auto" w:fill="CEFFE7"/>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EFFE7"/>
          </w:tcPr>
          <w:p>
            <w:pPr>
              <w:jc w:val="right"/>
              <w:ind w:right="119"/>
              <w:spacing w:after="0"/>
              <w:rPr>
                <w:sz w:val="20"/>
                <w:szCs w:val="20"/>
                <w:color w:val="auto"/>
              </w:rPr>
            </w:pPr>
            <w:r>
              <w:rPr>
                <w:rFonts w:ascii="Arial" w:cs="Arial" w:eastAsia="Arial" w:hAnsi="Arial"/>
                <w:sz w:val="16"/>
                <w:szCs w:val="16"/>
                <w:color w:val="auto"/>
              </w:rPr>
              <w:t>776,026</w:t>
            </w:r>
          </w:p>
        </w:tc>
        <w:tc>
          <w:tcPr>
            <w:tcW w:w="960" w:type="dxa"/>
            <w:vAlign w:val="bottom"/>
            <w:tcBorders>
              <w:top w:val="single" w:sz="8" w:color="auto"/>
              <w:bottom w:val="single" w:sz="8" w:color="auto"/>
            </w:tcBorders>
            <w:gridSpan w:val="3"/>
            <w:shd w:val="clear" w:color="auto" w:fill="CEFFE7"/>
          </w:tcPr>
          <w:p>
            <w:pPr>
              <w:jc w:val="right"/>
              <w:ind w:right="39"/>
              <w:spacing w:after="0"/>
              <w:rPr>
                <w:sz w:val="20"/>
                <w:szCs w:val="20"/>
                <w:color w:val="auto"/>
              </w:rPr>
            </w:pPr>
            <w:r>
              <w:rPr>
                <w:rFonts w:ascii="Arial" w:cs="Arial" w:eastAsia="Arial" w:hAnsi="Arial"/>
                <w:sz w:val="16"/>
                <w:szCs w:val="16"/>
                <w:color w:val="auto"/>
              </w:rPr>
              <w:t>722,456</w:t>
            </w:r>
          </w:p>
        </w:tc>
        <w:tc>
          <w:tcPr>
            <w:tcW w:w="1020" w:type="dxa"/>
            <w:vAlign w:val="bottom"/>
            <w:tcBorders>
              <w:top w:val="single" w:sz="8" w:color="auto"/>
              <w:bottom w:val="single" w:sz="8" w:color="auto"/>
            </w:tcBorders>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1,509,088</w:t>
            </w:r>
          </w:p>
        </w:tc>
        <w:tc>
          <w:tcPr>
            <w:tcW w:w="140" w:type="dxa"/>
            <w:vAlign w:val="bottom"/>
            <w:tcBorders>
              <w:top w:val="single" w:sz="8" w:color="auto"/>
              <w:bottom w:val="single" w:sz="8" w:color="auto"/>
            </w:tcBorders>
            <w:shd w:val="clear" w:color="auto" w:fill="CEFFE7"/>
          </w:tcPr>
          <w:p>
            <w:pPr>
              <w:spacing w:after="0"/>
              <w:rPr>
                <w:sz w:val="18"/>
                <w:szCs w:val="18"/>
                <w:color w:val="auto"/>
              </w:rPr>
            </w:pPr>
          </w:p>
        </w:tc>
        <w:tc>
          <w:tcPr>
            <w:tcW w:w="86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1,511,579</w:t>
            </w:r>
          </w:p>
        </w:tc>
        <w:tc>
          <w:tcPr>
            <w:tcW w:w="320" w:type="dxa"/>
            <w:vAlign w:val="bottom"/>
            <w:tcBorders>
              <w:left w:val="single" w:sz="8" w:color="CEFFE7"/>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gridSpan w:val="3"/>
          </w:tcPr>
          <w:p>
            <w:pPr>
              <w:spacing w:after="0"/>
              <w:rPr>
                <w:sz w:val="20"/>
                <w:szCs w:val="20"/>
                <w:color w:val="auto"/>
              </w:rPr>
            </w:pPr>
            <w:r>
              <w:rPr>
                <w:rFonts w:ascii="Arial" w:cs="Arial" w:eastAsia="Arial" w:hAnsi="Arial"/>
                <w:sz w:val="16"/>
                <w:szCs w:val="16"/>
                <w:color w:val="auto"/>
              </w:rPr>
              <w:t>rchased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954,273</w:t>
            </w:r>
          </w:p>
        </w:tc>
        <w:tc>
          <w:tcPr>
            <w:tcW w:w="9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color w:val="auto"/>
              </w:rPr>
              <w:t>878,512</w:t>
            </w:r>
          </w:p>
        </w:tc>
        <w:tc>
          <w:tcPr>
            <w:tcW w:w="10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1,977,238</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1,842,312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00" w:type="dxa"/>
            <w:vAlign w:val="bottom"/>
            <w:gridSpan w:val="3"/>
          </w:tcPr>
          <w:p>
            <w:pPr>
              <w:ind w:left="20"/>
              <w:spacing w:after="0"/>
              <w:rPr>
                <w:sz w:val="20"/>
                <w:szCs w:val="20"/>
                <w:color w:val="auto"/>
              </w:rPr>
            </w:pPr>
            <w:r>
              <w:rPr>
                <w:rFonts w:ascii="Arial" w:cs="Arial" w:eastAsia="Arial" w:hAnsi="Arial"/>
                <w:sz w:val="16"/>
                <w:szCs w:val="16"/>
                <w:color w:val="auto"/>
              </w:rPr>
              <w:t>al Generated and Purchased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1,730,299</w:t>
            </w:r>
          </w:p>
        </w:tc>
        <w:tc>
          <w:tcPr>
            <w:tcW w:w="9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color w:val="auto"/>
              </w:rPr>
              <w:t>1,600,968</w:t>
            </w:r>
          </w:p>
        </w:tc>
        <w:tc>
          <w:tcPr>
            <w:tcW w:w="10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3,486,326</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3,353,891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40" w:type="dxa"/>
            <w:vAlign w:val="bottom"/>
            <w:tcBorders>
              <w:bottom w:val="single" w:sz="8" w:color="auto"/>
            </w:tcBorders>
            <w:gridSpan w:val="1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8"/>
        </w:trPr>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gridSpan w:val="13"/>
          </w:tcPr>
          <w:p>
            <w:pPr>
              <w:ind w:left="20"/>
              <w:spacing w:after="0"/>
              <w:rPr>
                <w:sz w:val="20"/>
                <w:szCs w:val="20"/>
                <w:color w:val="auto"/>
              </w:rPr>
            </w:pPr>
            <w:r>
              <w:rPr>
                <w:rFonts w:ascii="Arial" w:cs="Arial" w:eastAsia="Arial" w:hAnsi="Arial"/>
                <w:sz w:val="16"/>
                <w:szCs w:val="16"/>
                <w:color w:val="auto"/>
              </w:rPr>
              <w:t>Three Months Ended June 30,Six Months Ended June 30,</w:t>
            </w:r>
          </w:p>
        </w:tc>
        <w:tc>
          <w:tcPr>
            <w:tcW w:w="0" w:type="dxa"/>
            <w:vAlign w:val="bottom"/>
          </w:tcPr>
          <w:p>
            <w:pPr>
              <w:spacing w:after="0"/>
              <w:rPr>
                <w:sz w:val="1"/>
                <w:szCs w:val="1"/>
                <w:color w:val="auto"/>
              </w:rPr>
            </w:pPr>
          </w:p>
        </w:tc>
      </w:tr>
      <w:tr>
        <w:trPr>
          <w:trHeight w:val="219"/>
        </w:trPr>
        <w:tc>
          <w:tcPr>
            <w:tcW w:w="3700" w:type="dxa"/>
            <w:vAlign w:val="bottom"/>
            <w:gridSpan w:val="3"/>
          </w:tcPr>
          <w:p>
            <w:pPr>
              <w:ind w:left="20"/>
              <w:spacing w:after="0"/>
              <w:rPr>
                <w:sz w:val="20"/>
                <w:szCs w:val="20"/>
                <w:color w:val="auto"/>
              </w:rPr>
            </w:pPr>
            <w:r>
              <w:rPr>
                <w:rFonts w:ascii="Arial" w:cs="Arial" w:eastAsia="Arial" w:hAnsi="Arial"/>
                <w:sz w:val="16"/>
                <w:szCs w:val="16"/>
                <w:color w:val="auto"/>
              </w:rPr>
              <w:t>antities Generated and Purchased (MWh)</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5"/>
          </w:tcPr>
          <w:p>
            <w:pPr>
              <w:jc w:val="right"/>
              <w:ind w:right="279"/>
              <w:spacing w:after="0"/>
              <w:rPr>
                <w:sz w:val="20"/>
                <w:szCs w:val="20"/>
                <w:color w:val="auto"/>
              </w:rPr>
            </w:pPr>
            <w:r>
              <w:rPr>
                <w:rFonts w:ascii="Arial" w:cs="Arial" w:eastAsia="Arial" w:hAnsi="Arial"/>
                <w:sz w:val="16"/>
                <w:szCs w:val="16"/>
                <w:color w:val="auto"/>
              </w:rPr>
              <w:t>2021</w:t>
            </w:r>
          </w:p>
        </w:tc>
        <w:tc>
          <w:tcPr>
            <w:tcW w:w="260" w:type="dxa"/>
            <w:vAlign w:val="bottom"/>
          </w:tcPr>
          <w:p>
            <w:pPr>
              <w:spacing w:after="0"/>
              <w:rPr>
                <w:sz w:val="19"/>
                <w:szCs w:val="19"/>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439"/>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19"/>
                <w:szCs w:val="19"/>
                <w:color w:val="auto"/>
              </w:rPr>
            </w:pPr>
          </w:p>
        </w:tc>
        <w:tc>
          <w:tcPr>
            <w:tcW w:w="860" w:type="dxa"/>
            <w:vAlign w:val="bottom"/>
          </w:tcPr>
          <w:p>
            <w:pPr>
              <w:jc w:val="right"/>
              <w:ind w:right="399"/>
              <w:spacing w:after="0"/>
              <w:rPr>
                <w:sz w:val="20"/>
                <w:szCs w:val="20"/>
                <w:color w:val="auto"/>
              </w:rPr>
            </w:pPr>
            <w:r>
              <w:rPr>
                <w:rFonts w:ascii="Arial" w:cs="Arial" w:eastAsia="Arial" w:hAnsi="Arial"/>
                <w:sz w:val="16"/>
                <w:szCs w:val="16"/>
                <w:color w:val="auto"/>
              </w:rPr>
              <w:t>2020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right w:val="single" w:sz="8" w:color="auto"/>
            </w:tcBorders>
          </w:tcPr>
          <w:p>
            <w:pPr>
              <w:spacing w:after="0" w:line="20" w:lineRule="exact"/>
              <w:rPr>
                <w:sz w:val="1"/>
                <w:szCs w:val="1"/>
                <w:color w:val="auto"/>
              </w:rPr>
            </w:pPr>
          </w:p>
        </w:tc>
        <w:tc>
          <w:tcPr>
            <w:tcW w:w="35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00" w:type="dxa"/>
            <w:vAlign w:val="bottom"/>
            <w:gridSpan w:val="3"/>
          </w:tcPr>
          <w:p>
            <w:pPr>
              <w:ind w:left="20"/>
              <w:spacing w:after="0"/>
              <w:rPr>
                <w:sz w:val="20"/>
                <w:szCs w:val="20"/>
                <w:color w:val="auto"/>
              </w:rPr>
            </w:pPr>
            <w:r>
              <w:rPr>
                <w:rFonts w:ascii="Arial" w:cs="Arial" w:eastAsia="Arial" w:hAnsi="Arial"/>
                <w:sz w:val="16"/>
                <w:szCs w:val="16"/>
                <w:color w:val="auto"/>
              </w:rPr>
              <w:t>nerated: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20" w:type="dxa"/>
            <w:vAlign w:val="bottom"/>
            <w:tcBorders>
              <w:right w:val="single" w:sz="8" w:color="CEFFE7"/>
            </w:tcBorders>
          </w:tcPr>
          <w:p>
            <w:pPr>
              <w:spacing w:after="0"/>
              <w:rPr>
                <w:sz w:val="19"/>
                <w:szCs w:val="19"/>
                <w:color w:val="auto"/>
              </w:rPr>
            </w:pPr>
          </w:p>
        </w:tc>
        <w:tc>
          <w:tcPr>
            <w:tcW w:w="358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Colorado Electric</w:t>
            </w:r>
          </w:p>
        </w:tc>
        <w:tc>
          <w:tcPr>
            <w:tcW w:w="220" w:type="dxa"/>
            <w:vAlign w:val="bottom"/>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40" w:type="dxa"/>
            <w:vAlign w:val="bottom"/>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08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92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6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940" w:type="dxa"/>
            <w:vAlign w:val="bottom"/>
            <w:gridSpan w:val="2"/>
            <w:shd w:val="clear" w:color="auto" w:fill="CEFFE7"/>
          </w:tcPr>
          <w:p>
            <w:pPr>
              <w:jc w:val="right"/>
              <w:ind w:right="119"/>
              <w:spacing w:after="0"/>
              <w:rPr>
                <w:sz w:val="20"/>
                <w:szCs w:val="20"/>
                <w:color w:val="auto"/>
              </w:rPr>
            </w:pPr>
            <w:r>
              <w:rPr>
                <w:rFonts w:ascii="Arial" w:cs="Arial" w:eastAsia="Arial" w:hAnsi="Arial"/>
                <w:sz w:val="16"/>
                <w:szCs w:val="16"/>
                <w:color w:val="auto"/>
              </w:rPr>
              <w:t>110,821</w:t>
            </w:r>
          </w:p>
        </w:tc>
        <w:tc>
          <w:tcPr>
            <w:tcW w:w="960" w:type="dxa"/>
            <w:vAlign w:val="bottom"/>
            <w:gridSpan w:val="3"/>
            <w:shd w:val="clear" w:color="auto" w:fill="CEFFE7"/>
          </w:tcPr>
          <w:p>
            <w:pPr>
              <w:jc w:val="right"/>
              <w:ind w:right="39"/>
              <w:spacing w:after="0"/>
              <w:rPr>
                <w:sz w:val="20"/>
                <w:szCs w:val="20"/>
                <w:color w:val="auto"/>
              </w:rPr>
            </w:pPr>
            <w:r>
              <w:rPr>
                <w:rFonts w:ascii="Arial" w:cs="Arial" w:eastAsia="Arial" w:hAnsi="Arial"/>
                <w:sz w:val="16"/>
                <w:szCs w:val="16"/>
                <w:color w:val="auto"/>
              </w:rPr>
              <w:t>80,456</w:t>
            </w:r>
          </w:p>
        </w:tc>
        <w:tc>
          <w:tcPr>
            <w:tcW w:w="1020" w:type="dxa"/>
            <w:vAlign w:val="bottom"/>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201,077</w:t>
            </w:r>
          </w:p>
        </w:tc>
        <w:tc>
          <w:tcPr>
            <w:tcW w:w="140" w:type="dxa"/>
            <w:vAlign w:val="bottom"/>
            <w:shd w:val="clear" w:color="auto" w:fill="CEFFE7"/>
          </w:tcPr>
          <w:p>
            <w:pPr>
              <w:spacing w:after="0"/>
              <w:rPr>
                <w:sz w:val="19"/>
                <w:szCs w:val="19"/>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174,507</w:t>
            </w:r>
          </w:p>
        </w:tc>
        <w:tc>
          <w:tcPr>
            <w:tcW w:w="320" w:type="dxa"/>
            <w:vAlign w:val="bottom"/>
            <w:tcBorders>
              <w:left w:val="single" w:sz="8" w:color="CEFFE7"/>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gridSpan w:val="3"/>
          </w:tcPr>
          <w:p>
            <w:pPr>
              <w:spacing w:after="0"/>
              <w:rPr>
                <w:sz w:val="20"/>
                <w:szCs w:val="20"/>
                <w:color w:val="auto"/>
              </w:rPr>
            </w:pPr>
            <w:r>
              <w:rPr>
                <w:rFonts w:ascii="Arial" w:cs="Arial" w:eastAsia="Arial" w:hAnsi="Arial"/>
                <w:sz w:val="16"/>
                <w:szCs w:val="16"/>
                <w:color w:val="auto"/>
              </w:rPr>
              <w:t>South Dakota Electric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9"/>
              <w:spacing w:after="0"/>
              <w:rPr>
                <w:sz w:val="20"/>
                <w:szCs w:val="20"/>
                <w:color w:val="auto"/>
              </w:rPr>
            </w:pPr>
            <w:r>
              <w:rPr>
                <w:rFonts w:ascii="Arial" w:cs="Arial" w:eastAsia="Arial" w:hAnsi="Arial"/>
                <w:sz w:val="16"/>
                <w:szCs w:val="16"/>
                <w:color w:val="auto"/>
              </w:rPr>
              <w:t>442,665</w:t>
            </w:r>
          </w:p>
        </w:tc>
        <w:tc>
          <w:tcPr>
            <w:tcW w:w="960" w:type="dxa"/>
            <w:vAlign w:val="bottom"/>
            <w:gridSpan w:val="3"/>
          </w:tcPr>
          <w:p>
            <w:pPr>
              <w:jc w:val="right"/>
              <w:ind w:right="39"/>
              <w:spacing w:after="0"/>
              <w:rPr>
                <w:sz w:val="20"/>
                <w:szCs w:val="20"/>
                <w:color w:val="auto"/>
              </w:rPr>
            </w:pPr>
            <w:r>
              <w:rPr>
                <w:rFonts w:ascii="Arial" w:cs="Arial" w:eastAsia="Arial" w:hAnsi="Arial"/>
                <w:sz w:val="16"/>
                <w:szCs w:val="16"/>
                <w:color w:val="auto"/>
              </w:rPr>
              <w:t>442,566</w:t>
            </w:r>
          </w:p>
        </w:tc>
        <w:tc>
          <w:tcPr>
            <w:tcW w:w="1020" w:type="dxa"/>
            <w:vAlign w:val="bottom"/>
            <w:gridSpan w:val="2"/>
          </w:tcPr>
          <w:p>
            <w:pPr>
              <w:jc w:val="right"/>
              <w:ind w:right="19"/>
              <w:spacing w:after="0"/>
              <w:rPr>
                <w:sz w:val="20"/>
                <w:szCs w:val="20"/>
                <w:color w:val="auto"/>
              </w:rPr>
            </w:pPr>
            <w:r>
              <w:rPr>
                <w:rFonts w:ascii="Arial" w:cs="Arial" w:eastAsia="Arial" w:hAnsi="Arial"/>
                <w:sz w:val="16"/>
                <w:szCs w:val="16"/>
                <w:color w:val="auto"/>
              </w:rPr>
              <w:t>911,481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915,532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Borders>
              <w:right w:val="single" w:sz="8" w:color="CEFFE7"/>
            </w:tcBorders>
          </w:tcPr>
          <w:p>
            <w:pPr>
              <w:spacing w:after="0"/>
              <w:rPr>
                <w:sz w:val="18"/>
                <w:szCs w:val="18"/>
                <w:color w:val="auto"/>
              </w:rPr>
            </w:pPr>
          </w:p>
        </w:tc>
        <w:tc>
          <w:tcPr>
            <w:tcW w:w="358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Wyoming Electric</w:t>
            </w:r>
          </w:p>
        </w:tc>
        <w:tc>
          <w:tcPr>
            <w:tcW w:w="220" w:type="dxa"/>
            <w:vAlign w:val="bottom"/>
            <w:shd w:val="clear" w:color="auto" w:fill="CEFFE7"/>
          </w:tcPr>
          <w:p>
            <w:pPr>
              <w:spacing w:after="0"/>
              <w:rPr>
                <w:sz w:val="18"/>
                <w:szCs w:val="18"/>
                <w:color w:val="auto"/>
              </w:rPr>
            </w:pPr>
          </w:p>
        </w:tc>
        <w:tc>
          <w:tcPr>
            <w:tcW w:w="80" w:type="dxa"/>
            <w:vAlign w:val="bottom"/>
            <w:shd w:val="clear" w:color="auto" w:fill="CEFFE7"/>
          </w:tcPr>
          <w:p>
            <w:pPr>
              <w:spacing w:after="0"/>
              <w:rPr>
                <w:sz w:val="18"/>
                <w:szCs w:val="18"/>
                <w:color w:val="auto"/>
              </w:rPr>
            </w:pPr>
          </w:p>
        </w:tc>
        <w:tc>
          <w:tcPr>
            <w:tcW w:w="40" w:type="dxa"/>
            <w:vAlign w:val="bottom"/>
            <w:shd w:val="clear" w:color="auto" w:fill="CEFFE7"/>
          </w:tcPr>
          <w:p>
            <w:pPr>
              <w:spacing w:after="0"/>
              <w:rPr>
                <w:sz w:val="18"/>
                <w:szCs w:val="18"/>
                <w:color w:val="auto"/>
              </w:rPr>
            </w:pPr>
          </w:p>
        </w:tc>
        <w:tc>
          <w:tcPr>
            <w:tcW w:w="8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08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92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60" w:type="dxa"/>
            <w:vAlign w:val="bottom"/>
            <w:shd w:val="clear" w:color="auto" w:fill="CEFFE7"/>
          </w:tcPr>
          <w:p>
            <w:pPr>
              <w:spacing w:after="0"/>
              <w:rPr>
                <w:sz w:val="18"/>
                <w:szCs w:val="18"/>
                <w:color w:val="auto"/>
              </w:rPr>
            </w:pPr>
          </w:p>
        </w:tc>
        <w:tc>
          <w:tcPr>
            <w:tcW w:w="10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22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gridSpan w:val="2"/>
            <w:shd w:val="clear" w:color="auto" w:fill="CEFFE7"/>
          </w:tcPr>
          <w:p>
            <w:pPr>
              <w:jc w:val="right"/>
              <w:ind w:right="119"/>
              <w:spacing w:after="0"/>
              <w:rPr>
                <w:sz w:val="20"/>
                <w:szCs w:val="20"/>
                <w:color w:val="auto"/>
              </w:rPr>
            </w:pPr>
            <w:r>
              <w:rPr>
                <w:rFonts w:ascii="Arial" w:cs="Arial" w:eastAsia="Arial" w:hAnsi="Arial"/>
                <w:sz w:val="16"/>
                <w:szCs w:val="16"/>
                <w:color w:val="auto"/>
              </w:rPr>
              <w:t>222,540</w:t>
            </w:r>
          </w:p>
        </w:tc>
        <w:tc>
          <w:tcPr>
            <w:tcW w:w="960" w:type="dxa"/>
            <w:vAlign w:val="bottom"/>
            <w:tcBorders>
              <w:bottom w:val="single" w:sz="8" w:color="auto"/>
            </w:tcBorders>
            <w:gridSpan w:val="3"/>
            <w:shd w:val="clear" w:color="auto" w:fill="CEFFE7"/>
          </w:tcPr>
          <w:p>
            <w:pPr>
              <w:jc w:val="right"/>
              <w:ind w:right="39"/>
              <w:spacing w:after="0"/>
              <w:rPr>
                <w:sz w:val="20"/>
                <w:szCs w:val="20"/>
                <w:color w:val="auto"/>
              </w:rPr>
            </w:pPr>
            <w:r>
              <w:rPr>
                <w:rFonts w:ascii="Arial" w:cs="Arial" w:eastAsia="Arial" w:hAnsi="Arial"/>
                <w:sz w:val="16"/>
                <w:szCs w:val="16"/>
                <w:color w:val="auto"/>
              </w:rPr>
              <w:t>199,434</w:t>
            </w:r>
          </w:p>
        </w:tc>
        <w:tc>
          <w:tcPr>
            <w:tcW w:w="1020" w:type="dxa"/>
            <w:vAlign w:val="bottom"/>
            <w:tcBorders>
              <w:bottom w:val="single" w:sz="8" w:color="auto"/>
            </w:tcBorders>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396,530</w:t>
            </w:r>
          </w:p>
        </w:tc>
        <w:tc>
          <w:tcPr>
            <w:tcW w:w="14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421,540</w:t>
            </w:r>
          </w:p>
        </w:tc>
        <w:tc>
          <w:tcPr>
            <w:tcW w:w="320" w:type="dxa"/>
            <w:vAlign w:val="bottom"/>
            <w:tcBorders>
              <w:left w:val="single" w:sz="8" w:color="CEFFE7"/>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580" w:type="dxa"/>
            <w:vAlign w:val="bottom"/>
            <w:gridSpan w:val="2"/>
          </w:tcPr>
          <w:p>
            <w:pPr>
              <w:ind w:left="120"/>
              <w:spacing w:after="0"/>
              <w:rPr>
                <w:sz w:val="20"/>
                <w:szCs w:val="20"/>
                <w:color w:val="auto"/>
              </w:rPr>
            </w:pPr>
            <w:r>
              <w:rPr>
                <w:rFonts w:ascii="Arial" w:cs="Arial" w:eastAsia="Arial" w:hAnsi="Arial"/>
                <w:sz w:val="16"/>
                <w:szCs w:val="16"/>
                <w:color w:val="auto"/>
              </w:rPr>
              <w:t>Total Generated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9"/>
              <w:spacing w:after="0"/>
              <w:rPr>
                <w:sz w:val="20"/>
                <w:szCs w:val="20"/>
                <w:color w:val="auto"/>
              </w:rPr>
            </w:pPr>
            <w:r>
              <w:rPr>
                <w:rFonts w:ascii="Arial" w:cs="Arial" w:eastAsia="Arial" w:hAnsi="Arial"/>
                <w:sz w:val="16"/>
                <w:szCs w:val="16"/>
                <w:color w:val="auto"/>
              </w:rPr>
              <w:t>776,026</w:t>
            </w:r>
          </w:p>
        </w:tc>
        <w:tc>
          <w:tcPr>
            <w:tcW w:w="960" w:type="dxa"/>
            <w:vAlign w:val="bottom"/>
            <w:gridSpan w:val="3"/>
          </w:tcPr>
          <w:p>
            <w:pPr>
              <w:jc w:val="right"/>
              <w:ind w:right="39"/>
              <w:spacing w:after="0"/>
              <w:rPr>
                <w:sz w:val="20"/>
                <w:szCs w:val="20"/>
                <w:color w:val="auto"/>
              </w:rPr>
            </w:pPr>
            <w:r>
              <w:rPr>
                <w:rFonts w:ascii="Arial" w:cs="Arial" w:eastAsia="Arial" w:hAnsi="Arial"/>
                <w:sz w:val="16"/>
                <w:szCs w:val="16"/>
                <w:color w:val="auto"/>
              </w:rPr>
              <w:t>722,456</w:t>
            </w:r>
          </w:p>
        </w:tc>
        <w:tc>
          <w:tcPr>
            <w:tcW w:w="1020" w:type="dxa"/>
            <w:vAlign w:val="bottom"/>
            <w:gridSpan w:val="2"/>
          </w:tcPr>
          <w:p>
            <w:pPr>
              <w:jc w:val="right"/>
              <w:ind w:right="19"/>
              <w:spacing w:after="0"/>
              <w:rPr>
                <w:sz w:val="20"/>
                <w:szCs w:val="20"/>
                <w:color w:val="auto"/>
              </w:rPr>
            </w:pPr>
            <w:r>
              <w:rPr>
                <w:rFonts w:ascii="Arial" w:cs="Arial" w:eastAsia="Arial" w:hAnsi="Arial"/>
                <w:sz w:val="16"/>
                <w:szCs w:val="16"/>
                <w:color w:val="auto"/>
              </w:rPr>
              <w:t>1,509,088</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1,511,579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20" w:type="dxa"/>
            <w:vAlign w:val="bottom"/>
            <w:tcBorders>
              <w:right w:val="single" w:sz="8" w:color="CEFFE7"/>
            </w:tcBorders>
          </w:tcPr>
          <w:p>
            <w:pPr>
              <w:spacing w:after="0"/>
              <w:rPr>
                <w:sz w:val="19"/>
                <w:szCs w:val="19"/>
                <w:color w:val="auto"/>
              </w:rPr>
            </w:pPr>
          </w:p>
        </w:tc>
        <w:tc>
          <w:tcPr>
            <w:tcW w:w="358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rchased:</w:t>
            </w:r>
          </w:p>
        </w:tc>
        <w:tc>
          <w:tcPr>
            <w:tcW w:w="220" w:type="dxa"/>
            <w:vAlign w:val="bottom"/>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40" w:type="dxa"/>
            <w:vAlign w:val="bottom"/>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08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92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6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68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92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860" w:type="dxa"/>
            <w:vAlign w:val="bottom"/>
            <w:shd w:val="clear" w:color="auto" w:fill="CEFFE7"/>
          </w:tcPr>
          <w:p>
            <w:pPr>
              <w:spacing w:after="0"/>
              <w:rPr>
                <w:sz w:val="19"/>
                <w:szCs w:val="19"/>
                <w:color w:val="auto"/>
              </w:rPr>
            </w:pPr>
          </w:p>
        </w:tc>
        <w:tc>
          <w:tcPr>
            <w:tcW w:w="320" w:type="dxa"/>
            <w:vAlign w:val="bottom"/>
            <w:tcBorders>
              <w:left w:val="single" w:sz="8" w:color="CEFFE7"/>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gridSpan w:val="3"/>
          </w:tcPr>
          <w:p>
            <w:pPr>
              <w:spacing w:after="0"/>
              <w:rPr>
                <w:sz w:val="20"/>
                <w:szCs w:val="20"/>
                <w:color w:val="auto"/>
              </w:rPr>
            </w:pPr>
            <w:r>
              <w:rPr>
                <w:rFonts w:ascii="Arial" w:cs="Arial" w:eastAsia="Arial" w:hAnsi="Arial"/>
                <w:sz w:val="16"/>
                <w:szCs w:val="16"/>
                <w:color w:val="auto"/>
              </w:rPr>
              <w:t>Colorado Electric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9"/>
              <w:spacing w:after="0"/>
              <w:rPr>
                <w:sz w:val="20"/>
                <w:szCs w:val="20"/>
                <w:color w:val="auto"/>
              </w:rPr>
            </w:pPr>
            <w:r>
              <w:rPr>
                <w:rFonts w:ascii="Arial" w:cs="Arial" w:eastAsia="Arial" w:hAnsi="Arial"/>
                <w:sz w:val="16"/>
                <w:szCs w:val="16"/>
                <w:color w:val="auto"/>
              </w:rPr>
              <w:t>507,985</w:t>
            </w:r>
          </w:p>
        </w:tc>
        <w:tc>
          <w:tcPr>
            <w:tcW w:w="960" w:type="dxa"/>
            <w:vAlign w:val="bottom"/>
            <w:gridSpan w:val="3"/>
          </w:tcPr>
          <w:p>
            <w:pPr>
              <w:jc w:val="right"/>
              <w:ind w:right="39"/>
              <w:spacing w:after="0"/>
              <w:rPr>
                <w:sz w:val="20"/>
                <w:szCs w:val="20"/>
                <w:color w:val="auto"/>
              </w:rPr>
            </w:pPr>
            <w:r>
              <w:rPr>
                <w:rFonts w:ascii="Arial" w:cs="Arial" w:eastAsia="Arial" w:hAnsi="Arial"/>
                <w:sz w:val="16"/>
                <w:szCs w:val="16"/>
                <w:color w:val="auto"/>
              </w:rPr>
              <w:t>467,358</w:t>
            </w:r>
          </w:p>
        </w:tc>
        <w:tc>
          <w:tcPr>
            <w:tcW w:w="1020" w:type="dxa"/>
            <w:vAlign w:val="bottom"/>
            <w:gridSpan w:val="2"/>
          </w:tcPr>
          <w:p>
            <w:pPr>
              <w:jc w:val="right"/>
              <w:ind w:right="19"/>
              <w:spacing w:after="0"/>
              <w:rPr>
                <w:sz w:val="20"/>
                <w:szCs w:val="20"/>
                <w:color w:val="auto"/>
              </w:rPr>
            </w:pPr>
            <w:r>
              <w:rPr>
                <w:rFonts w:ascii="Arial" w:cs="Arial" w:eastAsia="Arial" w:hAnsi="Arial"/>
                <w:sz w:val="16"/>
                <w:szCs w:val="16"/>
                <w:color w:val="auto"/>
              </w:rPr>
              <w:t>1,024,072</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924,078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20" w:type="dxa"/>
            <w:vAlign w:val="bottom"/>
            <w:tcBorders>
              <w:right w:val="single" w:sz="8" w:color="CEFFE7"/>
            </w:tcBorders>
          </w:tcPr>
          <w:p>
            <w:pPr>
              <w:spacing w:after="0"/>
              <w:rPr>
                <w:sz w:val="19"/>
                <w:szCs w:val="19"/>
                <w:color w:val="auto"/>
              </w:rPr>
            </w:pPr>
          </w:p>
        </w:tc>
        <w:tc>
          <w:tcPr>
            <w:tcW w:w="358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South Dakota Electric</w:t>
            </w:r>
          </w:p>
        </w:tc>
        <w:tc>
          <w:tcPr>
            <w:tcW w:w="220" w:type="dxa"/>
            <w:vAlign w:val="bottom"/>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40" w:type="dxa"/>
            <w:vAlign w:val="bottom"/>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08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92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6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940" w:type="dxa"/>
            <w:vAlign w:val="bottom"/>
            <w:gridSpan w:val="2"/>
            <w:shd w:val="clear" w:color="auto" w:fill="CEFFE7"/>
          </w:tcPr>
          <w:p>
            <w:pPr>
              <w:jc w:val="right"/>
              <w:ind w:right="119"/>
              <w:spacing w:after="0"/>
              <w:rPr>
                <w:sz w:val="20"/>
                <w:szCs w:val="20"/>
                <w:color w:val="auto"/>
              </w:rPr>
            </w:pPr>
            <w:r>
              <w:rPr>
                <w:rFonts w:ascii="Arial" w:cs="Arial" w:eastAsia="Arial" w:hAnsi="Arial"/>
                <w:sz w:val="16"/>
                <w:szCs w:val="16"/>
                <w:color w:val="auto"/>
              </w:rPr>
              <w:t>187,389</w:t>
            </w:r>
          </w:p>
        </w:tc>
        <w:tc>
          <w:tcPr>
            <w:tcW w:w="960" w:type="dxa"/>
            <w:vAlign w:val="bottom"/>
            <w:gridSpan w:val="3"/>
            <w:shd w:val="clear" w:color="auto" w:fill="CEFFE7"/>
          </w:tcPr>
          <w:p>
            <w:pPr>
              <w:jc w:val="right"/>
              <w:ind w:right="39"/>
              <w:spacing w:after="0"/>
              <w:rPr>
                <w:sz w:val="20"/>
                <w:szCs w:val="20"/>
                <w:color w:val="auto"/>
              </w:rPr>
            </w:pPr>
            <w:r>
              <w:rPr>
                <w:rFonts w:ascii="Arial" w:cs="Arial" w:eastAsia="Arial" w:hAnsi="Arial"/>
                <w:sz w:val="16"/>
                <w:szCs w:val="16"/>
                <w:color w:val="auto"/>
              </w:rPr>
              <w:t>127,962</w:t>
            </w:r>
          </w:p>
        </w:tc>
        <w:tc>
          <w:tcPr>
            <w:tcW w:w="1020" w:type="dxa"/>
            <w:vAlign w:val="bottom"/>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376,353</w:t>
            </w:r>
          </w:p>
        </w:tc>
        <w:tc>
          <w:tcPr>
            <w:tcW w:w="140" w:type="dxa"/>
            <w:vAlign w:val="bottom"/>
            <w:shd w:val="clear" w:color="auto" w:fill="CEFFE7"/>
          </w:tcPr>
          <w:p>
            <w:pPr>
              <w:spacing w:after="0"/>
              <w:rPr>
                <w:sz w:val="19"/>
                <w:szCs w:val="19"/>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340,220</w:t>
            </w:r>
          </w:p>
        </w:tc>
        <w:tc>
          <w:tcPr>
            <w:tcW w:w="320" w:type="dxa"/>
            <w:vAlign w:val="bottom"/>
            <w:tcBorders>
              <w:left w:val="single" w:sz="8" w:color="CEFFE7"/>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gridSpan w:val="3"/>
          </w:tcPr>
          <w:p>
            <w:pPr>
              <w:spacing w:after="0"/>
              <w:rPr>
                <w:sz w:val="20"/>
                <w:szCs w:val="20"/>
                <w:color w:val="auto"/>
              </w:rPr>
            </w:pPr>
            <w:r>
              <w:rPr>
                <w:rFonts w:ascii="Arial" w:cs="Arial" w:eastAsia="Arial" w:hAnsi="Arial"/>
                <w:sz w:val="16"/>
                <w:szCs w:val="16"/>
                <w:color w:val="auto"/>
              </w:rPr>
              <w:t>Wyoming Electric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19"/>
              <w:spacing w:after="0"/>
              <w:rPr>
                <w:sz w:val="20"/>
                <w:szCs w:val="20"/>
                <w:color w:val="auto"/>
              </w:rPr>
            </w:pPr>
            <w:r>
              <w:rPr>
                <w:rFonts w:ascii="Arial" w:cs="Arial" w:eastAsia="Arial" w:hAnsi="Arial"/>
                <w:sz w:val="16"/>
                <w:szCs w:val="16"/>
                <w:color w:val="auto"/>
              </w:rPr>
              <w:t>258,899</w:t>
            </w:r>
          </w:p>
        </w:tc>
        <w:tc>
          <w:tcPr>
            <w:tcW w:w="960" w:type="dxa"/>
            <w:vAlign w:val="bottom"/>
            <w:gridSpan w:val="3"/>
          </w:tcPr>
          <w:p>
            <w:pPr>
              <w:jc w:val="right"/>
              <w:ind w:right="39"/>
              <w:spacing w:after="0"/>
              <w:rPr>
                <w:sz w:val="20"/>
                <w:szCs w:val="20"/>
                <w:color w:val="auto"/>
              </w:rPr>
            </w:pPr>
            <w:r>
              <w:rPr>
                <w:rFonts w:ascii="Arial" w:cs="Arial" w:eastAsia="Arial" w:hAnsi="Arial"/>
                <w:sz w:val="16"/>
                <w:szCs w:val="16"/>
                <w:color w:val="auto"/>
              </w:rPr>
              <w:t>283,192</w:t>
            </w:r>
          </w:p>
        </w:tc>
        <w:tc>
          <w:tcPr>
            <w:tcW w:w="1020" w:type="dxa"/>
            <w:vAlign w:val="bottom"/>
            <w:gridSpan w:val="2"/>
          </w:tcPr>
          <w:p>
            <w:pPr>
              <w:jc w:val="right"/>
              <w:ind w:right="19"/>
              <w:spacing w:after="0"/>
              <w:rPr>
                <w:sz w:val="20"/>
                <w:szCs w:val="20"/>
                <w:color w:val="auto"/>
              </w:rPr>
            </w:pPr>
            <w:r>
              <w:rPr>
                <w:rFonts w:ascii="Arial" w:cs="Arial" w:eastAsia="Arial" w:hAnsi="Arial"/>
                <w:sz w:val="16"/>
                <w:szCs w:val="16"/>
                <w:color w:val="auto"/>
              </w:rPr>
              <w:t>576,813</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578,014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 w:type="dxa"/>
            <w:vAlign w:val="bottom"/>
            <w:tcBorders>
              <w:right w:val="single" w:sz="8" w:color="CEFFE7"/>
            </w:tcBorders>
          </w:tcPr>
          <w:p>
            <w:pPr>
              <w:spacing w:after="0"/>
              <w:rPr>
                <w:sz w:val="18"/>
                <w:szCs w:val="18"/>
                <w:color w:val="auto"/>
              </w:rPr>
            </w:pPr>
          </w:p>
        </w:tc>
        <w:tc>
          <w:tcPr>
            <w:tcW w:w="3580" w:type="dxa"/>
            <w:vAlign w:val="bottom"/>
            <w:tcBorders>
              <w:top w:val="single" w:sz="8" w:color="CEFFE7"/>
            </w:tcBorders>
            <w:gridSpan w:val="2"/>
            <w:shd w:val="clear" w:color="auto" w:fill="CEFFE7"/>
          </w:tcPr>
          <w:p>
            <w:pPr>
              <w:ind w:left="120"/>
              <w:spacing w:after="0"/>
              <w:rPr>
                <w:sz w:val="20"/>
                <w:szCs w:val="20"/>
                <w:color w:val="auto"/>
              </w:rPr>
            </w:pPr>
            <w:r>
              <w:rPr>
                <w:rFonts w:ascii="Arial" w:cs="Arial" w:eastAsia="Arial" w:hAnsi="Arial"/>
                <w:sz w:val="16"/>
                <w:szCs w:val="16"/>
                <w:color w:val="auto"/>
              </w:rPr>
              <w:t>Total Purchased</w:t>
            </w:r>
          </w:p>
        </w:tc>
        <w:tc>
          <w:tcPr>
            <w:tcW w:w="220" w:type="dxa"/>
            <w:vAlign w:val="bottom"/>
            <w:tcBorders>
              <w:top w:val="single" w:sz="8" w:color="CEFFE7"/>
            </w:tcBorders>
            <w:shd w:val="clear" w:color="auto" w:fill="CEFFE7"/>
          </w:tcPr>
          <w:p>
            <w:pPr>
              <w:spacing w:after="0"/>
              <w:rPr>
                <w:sz w:val="18"/>
                <w:szCs w:val="18"/>
                <w:color w:val="auto"/>
              </w:rPr>
            </w:pPr>
          </w:p>
        </w:tc>
        <w:tc>
          <w:tcPr>
            <w:tcW w:w="80" w:type="dxa"/>
            <w:vAlign w:val="bottom"/>
            <w:tcBorders>
              <w:top w:val="single" w:sz="8" w:color="CEFFE7"/>
            </w:tcBorders>
            <w:shd w:val="clear" w:color="auto" w:fill="CEFFE7"/>
          </w:tcPr>
          <w:p>
            <w:pPr>
              <w:spacing w:after="0"/>
              <w:rPr>
                <w:sz w:val="18"/>
                <w:szCs w:val="18"/>
                <w:color w:val="auto"/>
              </w:rPr>
            </w:pPr>
          </w:p>
        </w:tc>
        <w:tc>
          <w:tcPr>
            <w:tcW w:w="40" w:type="dxa"/>
            <w:vAlign w:val="bottom"/>
            <w:tcBorders>
              <w:top w:val="single" w:sz="8" w:color="CEFFE7"/>
            </w:tcBorders>
            <w:shd w:val="clear" w:color="auto" w:fill="CEFFE7"/>
          </w:tcPr>
          <w:p>
            <w:pPr>
              <w:spacing w:after="0"/>
              <w:rPr>
                <w:sz w:val="18"/>
                <w:szCs w:val="18"/>
                <w:color w:val="auto"/>
              </w:rPr>
            </w:pPr>
          </w:p>
        </w:tc>
        <w:tc>
          <w:tcPr>
            <w:tcW w:w="80" w:type="dxa"/>
            <w:vAlign w:val="bottom"/>
            <w:tcBorders>
              <w:top w:val="single" w:sz="8" w:color="CEFFE7"/>
            </w:tcBorders>
            <w:shd w:val="clear" w:color="auto" w:fill="CEFFE7"/>
          </w:tcPr>
          <w:p>
            <w:pPr>
              <w:spacing w:after="0"/>
              <w:rPr>
                <w:sz w:val="18"/>
                <w:szCs w:val="18"/>
                <w:color w:val="auto"/>
              </w:rPr>
            </w:pPr>
          </w:p>
        </w:tc>
        <w:tc>
          <w:tcPr>
            <w:tcW w:w="140" w:type="dxa"/>
            <w:vAlign w:val="bottom"/>
            <w:tcBorders>
              <w:top w:val="single" w:sz="8" w:color="CEFFE7"/>
            </w:tcBorders>
            <w:shd w:val="clear" w:color="auto" w:fill="CEFFE7"/>
          </w:tcPr>
          <w:p>
            <w:pPr>
              <w:spacing w:after="0"/>
              <w:rPr>
                <w:sz w:val="18"/>
                <w:szCs w:val="18"/>
                <w:color w:val="auto"/>
              </w:rPr>
            </w:pPr>
          </w:p>
        </w:tc>
        <w:tc>
          <w:tcPr>
            <w:tcW w:w="1080" w:type="dxa"/>
            <w:vAlign w:val="bottom"/>
            <w:tcBorders>
              <w:top w:val="single" w:sz="8" w:color="CEFFE7"/>
            </w:tcBorders>
            <w:shd w:val="clear" w:color="auto" w:fill="CEFFE7"/>
          </w:tcPr>
          <w:p>
            <w:pPr>
              <w:spacing w:after="0"/>
              <w:rPr>
                <w:sz w:val="18"/>
                <w:szCs w:val="18"/>
                <w:color w:val="auto"/>
              </w:rPr>
            </w:pPr>
          </w:p>
        </w:tc>
        <w:tc>
          <w:tcPr>
            <w:tcW w:w="100" w:type="dxa"/>
            <w:vAlign w:val="bottom"/>
            <w:tcBorders>
              <w:top w:val="single" w:sz="8" w:color="CEFFE7"/>
            </w:tcBorders>
            <w:shd w:val="clear" w:color="auto" w:fill="CEFFE7"/>
          </w:tcPr>
          <w:p>
            <w:pPr>
              <w:spacing w:after="0"/>
              <w:rPr>
                <w:sz w:val="18"/>
                <w:szCs w:val="18"/>
                <w:color w:val="auto"/>
              </w:rPr>
            </w:pPr>
          </w:p>
        </w:tc>
        <w:tc>
          <w:tcPr>
            <w:tcW w:w="920" w:type="dxa"/>
            <w:vAlign w:val="bottom"/>
            <w:tcBorders>
              <w:top w:val="single" w:sz="8" w:color="CEFFE7"/>
            </w:tcBorders>
            <w:shd w:val="clear" w:color="auto" w:fill="CEFFE7"/>
          </w:tcPr>
          <w:p>
            <w:pPr>
              <w:spacing w:after="0"/>
              <w:rPr>
                <w:sz w:val="18"/>
                <w:szCs w:val="18"/>
                <w:color w:val="auto"/>
              </w:rPr>
            </w:pPr>
          </w:p>
        </w:tc>
        <w:tc>
          <w:tcPr>
            <w:tcW w:w="100" w:type="dxa"/>
            <w:vAlign w:val="bottom"/>
            <w:tcBorders>
              <w:top w:val="single" w:sz="8" w:color="CEFFE7"/>
            </w:tcBorders>
            <w:shd w:val="clear" w:color="auto" w:fill="CEFFE7"/>
          </w:tcPr>
          <w:p>
            <w:pPr>
              <w:spacing w:after="0"/>
              <w:rPr>
                <w:sz w:val="18"/>
                <w:szCs w:val="18"/>
                <w:color w:val="auto"/>
              </w:rPr>
            </w:pPr>
          </w:p>
        </w:tc>
        <w:tc>
          <w:tcPr>
            <w:tcW w:w="60" w:type="dxa"/>
            <w:vAlign w:val="bottom"/>
            <w:tcBorders>
              <w:top w:val="single" w:sz="8" w:color="CEFFE7"/>
            </w:tcBorders>
            <w:shd w:val="clear" w:color="auto" w:fill="CEFFE7"/>
          </w:tcPr>
          <w:p>
            <w:pPr>
              <w:spacing w:after="0"/>
              <w:rPr>
                <w:sz w:val="18"/>
                <w:szCs w:val="18"/>
                <w:color w:val="auto"/>
              </w:rPr>
            </w:pPr>
          </w:p>
        </w:tc>
        <w:tc>
          <w:tcPr>
            <w:tcW w:w="100" w:type="dxa"/>
            <w:vAlign w:val="bottom"/>
            <w:tcBorders>
              <w:top w:val="single" w:sz="8" w:color="CEFFE7"/>
            </w:tcBorders>
            <w:shd w:val="clear" w:color="auto" w:fill="CEFFE7"/>
          </w:tcPr>
          <w:p>
            <w:pPr>
              <w:spacing w:after="0"/>
              <w:rPr>
                <w:sz w:val="18"/>
                <w:szCs w:val="18"/>
                <w:color w:val="auto"/>
              </w:rPr>
            </w:pPr>
          </w:p>
        </w:tc>
        <w:tc>
          <w:tcPr>
            <w:tcW w:w="240" w:type="dxa"/>
            <w:vAlign w:val="bottom"/>
            <w:tcBorders>
              <w:top w:val="single" w:sz="8" w:color="CEFFE7"/>
            </w:tcBorders>
            <w:shd w:val="clear" w:color="auto" w:fill="CEFFE7"/>
          </w:tcPr>
          <w:p>
            <w:pPr>
              <w:spacing w:after="0"/>
              <w:rPr>
                <w:sz w:val="18"/>
                <w:szCs w:val="18"/>
                <w:color w:val="auto"/>
              </w:rPr>
            </w:pPr>
          </w:p>
        </w:tc>
        <w:tc>
          <w:tcPr>
            <w:tcW w:w="220" w:type="dxa"/>
            <w:vAlign w:val="bottom"/>
            <w:tcBorders>
              <w:top w:val="single" w:sz="8" w:color="auto"/>
              <w:bottom w:val="single" w:sz="8" w:color="auto"/>
            </w:tcBorders>
            <w:shd w:val="clear" w:color="auto" w:fill="CEFFE7"/>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EFFE7"/>
          </w:tcPr>
          <w:p>
            <w:pPr>
              <w:jc w:val="right"/>
              <w:ind w:right="119"/>
              <w:spacing w:after="0"/>
              <w:rPr>
                <w:sz w:val="20"/>
                <w:szCs w:val="20"/>
                <w:color w:val="auto"/>
              </w:rPr>
            </w:pPr>
            <w:r>
              <w:rPr>
                <w:rFonts w:ascii="Arial" w:cs="Arial" w:eastAsia="Arial" w:hAnsi="Arial"/>
                <w:sz w:val="16"/>
                <w:szCs w:val="16"/>
                <w:color w:val="auto"/>
              </w:rPr>
              <w:t>954,273</w:t>
            </w:r>
          </w:p>
        </w:tc>
        <w:tc>
          <w:tcPr>
            <w:tcW w:w="960" w:type="dxa"/>
            <w:vAlign w:val="bottom"/>
            <w:tcBorders>
              <w:top w:val="single" w:sz="8" w:color="auto"/>
              <w:bottom w:val="single" w:sz="8" w:color="auto"/>
            </w:tcBorders>
            <w:gridSpan w:val="3"/>
            <w:shd w:val="clear" w:color="auto" w:fill="CEFFE7"/>
          </w:tcPr>
          <w:p>
            <w:pPr>
              <w:jc w:val="right"/>
              <w:ind w:right="39"/>
              <w:spacing w:after="0"/>
              <w:rPr>
                <w:sz w:val="20"/>
                <w:szCs w:val="20"/>
                <w:color w:val="auto"/>
              </w:rPr>
            </w:pPr>
            <w:r>
              <w:rPr>
                <w:rFonts w:ascii="Arial" w:cs="Arial" w:eastAsia="Arial" w:hAnsi="Arial"/>
                <w:sz w:val="16"/>
                <w:szCs w:val="16"/>
                <w:color w:val="auto"/>
              </w:rPr>
              <w:t>878,512</w:t>
            </w:r>
          </w:p>
        </w:tc>
        <w:tc>
          <w:tcPr>
            <w:tcW w:w="1020" w:type="dxa"/>
            <w:vAlign w:val="bottom"/>
            <w:tcBorders>
              <w:top w:val="single" w:sz="8" w:color="auto"/>
              <w:bottom w:val="single" w:sz="8" w:color="auto"/>
            </w:tcBorders>
            <w:gridSpan w:val="2"/>
            <w:shd w:val="clear" w:color="auto" w:fill="CEFFE7"/>
          </w:tcPr>
          <w:p>
            <w:pPr>
              <w:jc w:val="right"/>
              <w:ind w:right="19"/>
              <w:spacing w:after="0"/>
              <w:rPr>
                <w:sz w:val="20"/>
                <w:szCs w:val="20"/>
                <w:color w:val="auto"/>
              </w:rPr>
            </w:pPr>
            <w:r>
              <w:rPr>
                <w:rFonts w:ascii="Arial" w:cs="Arial" w:eastAsia="Arial" w:hAnsi="Arial"/>
                <w:sz w:val="16"/>
                <w:szCs w:val="16"/>
                <w:color w:val="auto"/>
              </w:rPr>
              <w:t>1,977,238</w:t>
            </w:r>
          </w:p>
        </w:tc>
        <w:tc>
          <w:tcPr>
            <w:tcW w:w="140" w:type="dxa"/>
            <w:vAlign w:val="bottom"/>
            <w:tcBorders>
              <w:top w:val="single" w:sz="8" w:color="auto"/>
              <w:bottom w:val="single" w:sz="8" w:color="auto"/>
            </w:tcBorders>
            <w:shd w:val="clear" w:color="auto" w:fill="CEFFE7"/>
          </w:tcPr>
          <w:p>
            <w:pPr>
              <w:spacing w:after="0"/>
              <w:rPr>
                <w:sz w:val="18"/>
                <w:szCs w:val="18"/>
                <w:color w:val="auto"/>
              </w:rPr>
            </w:pPr>
          </w:p>
        </w:tc>
        <w:tc>
          <w:tcPr>
            <w:tcW w:w="860" w:type="dxa"/>
            <w:vAlign w:val="bottom"/>
            <w:tcBorders>
              <w:top w:val="single" w:sz="8" w:color="auto"/>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1,842,312</w:t>
            </w:r>
          </w:p>
        </w:tc>
        <w:tc>
          <w:tcPr>
            <w:tcW w:w="320" w:type="dxa"/>
            <w:vAlign w:val="bottom"/>
            <w:tcBorders>
              <w:left w:val="single" w:sz="8" w:color="CEFFE7"/>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3700" w:type="dxa"/>
            <w:vAlign w:val="bottom"/>
            <w:gridSpan w:val="3"/>
          </w:tcPr>
          <w:p>
            <w:pPr>
              <w:ind w:left="20"/>
              <w:spacing w:after="0"/>
              <w:rPr>
                <w:sz w:val="20"/>
                <w:szCs w:val="20"/>
                <w:color w:val="auto"/>
              </w:rPr>
            </w:pPr>
            <w:r>
              <w:rPr>
                <w:rFonts w:ascii="Arial" w:cs="Arial" w:eastAsia="Arial" w:hAnsi="Arial"/>
                <w:sz w:val="16"/>
                <w:szCs w:val="16"/>
                <w:color w:val="auto"/>
              </w:rPr>
              <w:t>al Generated and Purchased</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1,730,299</w:t>
            </w:r>
          </w:p>
        </w:tc>
        <w:tc>
          <w:tcPr>
            <w:tcW w:w="9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color w:val="auto"/>
              </w:rPr>
              <w:t>1,600,968</w:t>
            </w:r>
          </w:p>
        </w:tc>
        <w:tc>
          <w:tcPr>
            <w:tcW w:w="10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3,486,326</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3,353,891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vMerge w:val="restart"/>
          </w:tcPr>
          <w:p>
            <w:pPr>
              <w:jc w:val="right"/>
              <w:ind w:right="45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1"/>
        </w:trPr>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7179310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-3136900</wp:posOffset>
            </wp:positionV>
            <wp:extent cx="6926580"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26580" cy="1625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-951230</wp:posOffset>
            </wp:positionV>
            <wp:extent cx="692658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26580" cy="154305"/>
                    </a:xfrm>
                    <a:prstGeom prst="rect">
                      <a:avLst/>
                    </a:prstGeom>
                    <a:noFill/>
                  </pic:spPr>
                </pic:pic>
              </a:graphicData>
            </a:graphic>
          </wp:anchor>
        </w:drawing>
      </w:r>
    </w:p>
    <w:p>
      <w:pPr>
        <w:sectPr>
          <w:pgSz w:w="11900" w:h="16838" w:orient="portrait"/>
          <w:cols w:equalWidth="0" w:num="1">
            <w:col w:w="11340"/>
          </w:cols>
          <w:pgMar w:left="220" w:top="117"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84"/>
        </w:trPr>
        <w:tc>
          <w:tcPr>
            <w:tcW w:w="4240" w:type="dxa"/>
            <w:vAlign w:val="bottom"/>
            <w:gridSpan w:val="2"/>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15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824"/>
        </w:trPr>
        <w:tc>
          <w:tcPr>
            <w:tcW w:w="1360" w:type="dxa"/>
            <w:vAlign w:val="bottom"/>
            <w:tcBorders>
              <w:top w:val="single" w:sz="8" w:color="0000FF"/>
            </w:tcBorders>
          </w:tcPr>
          <w:p>
            <w:pPr>
              <w:spacing w:after="0"/>
              <w:rPr>
                <w:sz w:val="24"/>
                <w:szCs w:val="24"/>
                <w:color w:val="auto"/>
              </w:rPr>
            </w:pPr>
          </w:p>
        </w:tc>
        <w:tc>
          <w:tcPr>
            <w:tcW w:w="2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540" w:type="dxa"/>
            <w:vAlign w:val="bottom"/>
            <w:gridSpan w:val="3"/>
          </w:tcPr>
          <w:p>
            <w:pPr>
              <w:jc w:val="right"/>
              <w:ind w:right="399"/>
              <w:spacing w:after="0"/>
              <w:rPr>
                <w:sz w:val="20"/>
                <w:szCs w:val="20"/>
                <w:color w:val="auto"/>
              </w:rPr>
            </w:pPr>
            <w:r>
              <w:rPr>
                <w:rFonts w:ascii="Arial" w:cs="Arial" w:eastAsia="Arial" w:hAnsi="Arial"/>
                <w:sz w:val="16"/>
                <w:szCs w:val="16"/>
                <w:color w:val="auto"/>
              </w:rPr>
              <w:t>Three Months Ended June 30,</w:t>
            </w:r>
          </w:p>
        </w:tc>
        <w:tc>
          <w:tcPr>
            <w:tcW w:w="1920" w:type="dxa"/>
            <w:vAlign w:val="bottom"/>
          </w:tcPr>
          <w:p>
            <w:pPr>
              <w:spacing w:after="0"/>
              <w:rPr>
                <w:sz w:val="24"/>
                <w:szCs w:val="24"/>
                <w:color w:val="auto"/>
              </w:rPr>
            </w:pPr>
          </w:p>
        </w:tc>
      </w:tr>
      <w:tr>
        <w:trPr>
          <w:trHeight w:val="219"/>
        </w:trPr>
        <w:tc>
          <w:tcPr>
            <w:tcW w:w="13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459"/>
              <w:spacing w:after="0"/>
              <w:rPr>
                <w:sz w:val="20"/>
                <w:szCs w:val="20"/>
                <w:color w:val="auto"/>
              </w:rPr>
            </w:pPr>
            <w:r>
              <w:rPr>
                <w:rFonts w:ascii="Arial" w:cs="Arial" w:eastAsia="Arial" w:hAnsi="Arial"/>
                <w:sz w:val="16"/>
                <w:szCs w:val="16"/>
                <w:color w:val="auto"/>
                <w:w w:val="95"/>
              </w:rPr>
              <w:t>2021</w:t>
            </w:r>
          </w:p>
        </w:tc>
        <w:tc>
          <w:tcPr>
            <w:tcW w:w="12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459"/>
              <w:spacing w:after="0"/>
              <w:rPr>
                <w:sz w:val="20"/>
                <w:szCs w:val="20"/>
                <w:color w:val="auto"/>
              </w:rPr>
            </w:pPr>
            <w:r>
              <w:rPr>
                <w:rFonts w:ascii="Arial" w:cs="Arial" w:eastAsia="Arial" w:hAnsi="Arial"/>
                <w:sz w:val="16"/>
                <w:szCs w:val="16"/>
                <w:color w:val="auto"/>
              </w:rPr>
              <w:t>2020</w:t>
            </w:r>
          </w:p>
        </w:tc>
      </w:tr>
      <w:tr>
        <w:trPr>
          <w:trHeight w:val="174"/>
        </w:trPr>
        <w:tc>
          <w:tcPr>
            <w:tcW w:w="13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20" w:type="dxa"/>
            <w:vAlign w:val="bottom"/>
            <w:gridSpan w:val="2"/>
          </w:tcPr>
          <w:p>
            <w:pPr>
              <w:jc w:val="center"/>
              <w:spacing w:after="0" w:line="174" w:lineRule="exact"/>
              <w:rPr>
                <w:sz w:val="20"/>
                <w:szCs w:val="20"/>
                <w:color w:val="auto"/>
              </w:rPr>
            </w:pPr>
            <w:r>
              <w:rPr>
                <w:rFonts w:ascii="Arial" w:cs="Arial" w:eastAsia="Arial" w:hAnsi="Arial"/>
                <w:sz w:val="16"/>
                <w:szCs w:val="16"/>
                <w:color w:val="auto"/>
              </w:rPr>
              <w:t>Variance from</w:t>
            </w:r>
          </w:p>
        </w:tc>
        <w:tc>
          <w:tcPr>
            <w:tcW w:w="1520" w:type="dxa"/>
            <w:vAlign w:val="bottom"/>
          </w:tcPr>
          <w:p>
            <w:pPr>
              <w:spacing w:after="0"/>
              <w:rPr>
                <w:sz w:val="15"/>
                <w:szCs w:val="15"/>
                <w:color w:val="auto"/>
              </w:rPr>
            </w:pPr>
          </w:p>
        </w:tc>
        <w:tc>
          <w:tcPr>
            <w:tcW w:w="1920" w:type="dxa"/>
            <w:vAlign w:val="bottom"/>
          </w:tcPr>
          <w:p>
            <w:pPr>
              <w:jc w:val="center"/>
              <w:ind w:left="39"/>
              <w:spacing w:after="0" w:line="174" w:lineRule="exact"/>
              <w:rPr>
                <w:sz w:val="20"/>
                <w:szCs w:val="20"/>
                <w:color w:val="auto"/>
              </w:rPr>
            </w:pPr>
            <w:r>
              <w:rPr>
                <w:rFonts w:ascii="Arial" w:cs="Arial" w:eastAsia="Arial" w:hAnsi="Arial"/>
                <w:sz w:val="16"/>
                <w:szCs w:val="16"/>
                <w:color w:val="auto"/>
              </w:rPr>
              <w:t>Variance from</w:t>
            </w:r>
          </w:p>
        </w:tc>
      </w:tr>
      <w:tr>
        <w:trPr>
          <w:trHeight w:val="198"/>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Degree Days</w:t>
            </w:r>
          </w:p>
        </w:tc>
        <w:tc>
          <w:tcPr>
            <w:tcW w:w="1540" w:type="dxa"/>
            <w:vAlign w:val="bottom"/>
          </w:tcPr>
          <w:p>
            <w:pPr>
              <w:jc w:val="right"/>
              <w:ind w:right="439"/>
              <w:spacing w:after="0"/>
              <w:rPr>
                <w:sz w:val="20"/>
                <w:szCs w:val="20"/>
                <w:color w:val="auto"/>
              </w:rPr>
            </w:pPr>
            <w:r>
              <w:rPr>
                <w:rFonts w:ascii="Arial" w:cs="Arial" w:eastAsia="Arial" w:hAnsi="Arial"/>
                <w:sz w:val="16"/>
                <w:szCs w:val="16"/>
                <w:color w:val="auto"/>
              </w:rPr>
              <w:t>Actual</w:t>
            </w:r>
          </w:p>
        </w:tc>
        <w:tc>
          <w:tcPr>
            <w:tcW w:w="2020" w:type="dxa"/>
            <w:vAlign w:val="bottom"/>
            <w:gridSpan w:val="2"/>
          </w:tcPr>
          <w:p>
            <w:pPr>
              <w:jc w:val="center"/>
              <w:spacing w:after="0"/>
              <w:rPr>
                <w:sz w:val="20"/>
                <w:szCs w:val="20"/>
                <w:color w:val="auto"/>
              </w:rPr>
            </w:pPr>
            <w:r>
              <w:rPr>
                <w:rFonts w:ascii="Arial" w:cs="Arial" w:eastAsia="Arial" w:hAnsi="Arial"/>
                <w:sz w:val="16"/>
                <w:szCs w:val="16"/>
                <w:color w:val="auto"/>
              </w:rPr>
              <w:t>Normal</w:t>
            </w:r>
          </w:p>
        </w:tc>
        <w:tc>
          <w:tcPr>
            <w:tcW w:w="1520" w:type="dxa"/>
            <w:vAlign w:val="bottom"/>
          </w:tcPr>
          <w:p>
            <w:pPr>
              <w:jc w:val="right"/>
              <w:ind w:right="419"/>
              <w:spacing w:after="0"/>
              <w:rPr>
                <w:sz w:val="20"/>
                <w:szCs w:val="20"/>
                <w:color w:val="auto"/>
              </w:rPr>
            </w:pPr>
            <w:r>
              <w:rPr>
                <w:rFonts w:ascii="Arial" w:cs="Arial" w:eastAsia="Arial" w:hAnsi="Arial"/>
                <w:sz w:val="16"/>
                <w:szCs w:val="16"/>
                <w:color w:val="auto"/>
              </w:rPr>
              <w:t>Actual</w:t>
            </w:r>
          </w:p>
        </w:tc>
        <w:tc>
          <w:tcPr>
            <w:tcW w:w="1920" w:type="dxa"/>
            <w:vAlign w:val="bottom"/>
          </w:tcPr>
          <w:p>
            <w:pPr>
              <w:jc w:val="center"/>
              <w:ind w:left="99"/>
              <w:spacing w:after="0"/>
              <w:rPr>
                <w:sz w:val="20"/>
                <w:szCs w:val="20"/>
                <w:color w:val="auto"/>
              </w:rPr>
            </w:pPr>
            <w:r>
              <w:rPr>
                <w:rFonts w:ascii="Arial" w:cs="Arial" w:eastAsia="Arial" w:hAnsi="Arial"/>
                <w:sz w:val="16"/>
                <w:szCs w:val="16"/>
                <w:color w:val="auto"/>
              </w:rPr>
              <w:t>Normal</w:t>
            </w:r>
          </w:p>
        </w:tc>
      </w:tr>
      <w:tr>
        <w:trPr>
          <w:trHeight w:val="210"/>
        </w:trPr>
        <w:tc>
          <w:tcPr>
            <w:tcW w:w="424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Heating Degree Days:</w:t>
            </w:r>
          </w:p>
        </w:tc>
        <w:tc>
          <w:tcPr>
            <w:tcW w:w="15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4240" w:type="dxa"/>
            <w:vAlign w:val="bottom"/>
            <w:gridSpan w:val="2"/>
            <w:shd w:val="clear" w:color="auto" w:fill="CEFFE7"/>
          </w:tcPr>
          <w:p>
            <w:pPr>
              <w:ind w:left="400"/>
              <w:spacing w:after="0"/>
              <w:rPr>
                <w:sz w:val="20"/>
                <w:szCs w:val="20"/>
                <w:color w:val="auto"/>
              </w:rPr>
            </w:pPr>
            <w:r>
              <w:rPr>
                <w:rFonts w:ascii="Arial" w:cs="Arial" w:eastAsia="Arial" w:hAnsi="Arial"/>
                <w:sz w:val="16"/>
                <w:szCs w:val="16"/>
                <w:color w:val="auto"/>
              </w:rPr>
              <w:t>Colorado Electric</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595</w:t>
            </w:r>
          </w:p>
        </w:tc>
        <w:tc>
          <w:tcPr>
            <w:tcW w:w="1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EFFE7"/>
          </w:tcPr>
          <w:p>
            <w:pPr>
              <w:spacing w:after="0"/>
              <w:rPr>
                <w:sz w:val="19"/>
                <w:szCs w:val="19"/>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518</w:t>
            </w:r>
          </w:p>
        </w:tc>
        <w:tc>
          <w:tcPr>
            <w:tcW w:w="1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4240" w:type="dxa"/>
            <w:vAlign w:val="bottom"/>
            <w:gridSpan w:val="2"/>
          </w:tcPr>
          <w:p>
            <w:pPr>
              <w:ind w:left="400"/>
              <w:spacing w:after="0"/>
              <w:rPr>
                <w:sz w:val="20"/>
                <w:szCs w:val="20"/>
                <w:color w:val="auto"/>
              </w:rPr>
            </w:pPr>
            <w:r>
              <w:rPr>
                <w:rFonts w:ascii="Arial" w:cs="Arial" w:eastAsia="Arial" w:hAnsi="Arial"/>
                <w:sz w:val="16"/>
                <w:szCs w:val="16"/>
                <w:color w:val="auto"/>
              </w:rPr>
              <w:t>South Dakota Electric</w:t>
            </w:r>
          </w:p>
        </w:tc>
        <w:tc>
          <w:tcPr>
            <w:tcW w:w="1540" w:type="dxa"/>
            <w:vAlign w:val="bottom"/>
          </w:tcPr>
          <w:p>
            <w:pPr>
              <w:jc w:val="right"/>
              <w:spacing w:after="0"/>
              <w:rPr>
                <w:sz w:val="20"/>
                <w:szCs w:val="20"/>
                <w:color w:val="auto"/>
              </w:rPr>
            </w:pPr>
            <w:r>
              <w:rPr>
                <w:rFonts w:ascii="Arial" w:cs="Arial" w:eastAsia="Arial" w:hAnsi="Arial"/>
                <w:sz w:val="16"/>
                <w:szCs w:val="16"/>
                <w:color w:val="auto"/>
              </w:rPr>
              <w:t>1,048</w:t>
            </w:r>
          </w:p>
        </w:tc>
        <w:tc>
          <w:tcPr>
            <w:tcW w:w="1900" w:type="dxa"/>
            <w:vAlign w:val="bottom"/>
          </w:tcPr>
          <w:p>
            <w:pPr>
              <w:jc w:val="right"/>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1,127</w:t>
            </w:r>
          </w:p>
        </w:tc>
        <w:tc>
          <w:tcPr>
            <w:tcW w:w="192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19"/>
        </w:trPr>
        <w:tc>
          <w:tcPr>
            <w:tcW w:w="4240" w:type="dxa"/>
            <w:vAlign w:val="bottom"/>
            <w:gridSpan w:val="2"/>
            <w:shd w:val="clear" w:color="auto" w:fill="CEFFE7"/>
          </w:tcPr>
          <w:p>
            <w:pPr>
              <w:ind w:left="400"/>
              <w:spacing w:after="0"/>
              <w:rPr>
                <w:sz w:val="20"/>
                <w:szCs w:val="20"/>
                <w:color w:val="auto"/>
              </w:rPr>
            </w:pPr>
            <w:r>
              <w:rPr>
                <w:rFonts w:ascii="Arial" w:cs="Arial" w:eastAsia="Arial" w:hAnsi="Arial"/>
                <w:sz w:val="16"/>
                <w:szCs w:val="16"/>
                <w:color w:val="auto"/>
              </w:rPr>
              <w:t>Wyoming Electric</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1,221</w:t>
            </w:r>
          </w:p>
        </w:tc>
        <w:tc>
          <w:tcPr>
            <w:tcW w:w="1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2 %</w:t>
            </w:r>
          </w:p>
        </w:tc>
        <w:tc>
          <w:tcPr>
            <w:tcW w:w="120" w:type="dxa"/>
            <w:vAlign w:val="bottom"/>
            <w:shd w:val="clear" w:color="auto" w:fill="CEFFE7"/>
          </w:tcPr>
          <w:p>
            <w:pPr>
              <w:spacing w:after="0"/>
              <w:rPr>
                <w:sz w:val="19"/>
                <w:szCs w:val="19"/>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1,149</w:t>
            </w:r>
          </w:p>
        </w:tc>
        <w:tc>
          <w:tcPr>
            <w:tcW w:w="1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4240" w:type="dxa"/>
            <w:vAlign w:val="bottom"/>
            <w:gridSpan w:val="2"/>
          </w:tcPr>
          <w:p>
            <w:pPr>
              <w:ind w:left="680"/>
              <w:spacing w:after="0" w:line="216"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1540" w:type="dxa"/>
            <w:vAlign w:val="bottom"/>
          </w:tcPr>
          <w:p>
            <w:pPr>
              <w:jc w:val="right"/>
              <w:spacing w:after="0"/>
              <w:rPr>
                <w:sz w:val="20"/>
                <w:szCs w:val="20"/>
                <w:color w:val="auto"/>
              </w:rPr>
            </w:pPr>
            <w:r>
              <w:rPr>
                <w:rFonts w:ascii="Arial" w:cs="Arial" w:eastAsia="Arial" w:hAnsi="Arial"/>
                <w:sz w:val="16"/>
                <w:szCs w:val="16"/>
                <w:color w:val="auto"/>
              </w:rPr>
              <w:t>875</w:t>
            </w:r>
          </w:p>
        </w:tc>
        <w:tc>
          <w:tcPr>
            <w:tcW w:w="202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520" w:type="dxa"/>
            <w:vAlign w:val="bottom"/>
          </w:tcPr>
          <w:p>
            <w:pPr>
              <w:jc w:val="right"/>
              <w:spacing w:after="0"/>
              <w:rPr>
                <w:sz w:val="20"/>
                <w:szCs w:val="20"/>
                <w:color w:val="auto"/>
              </w:rPr>
            </w:pPr>
            <w:r>
              <w:rPr>
                <w:rFonts w:ascii="Arial" w:cs="Arial" w:eastAsia="Arial" w:hAnsi="Arial"/>
                <w:sz w:val="16"/>
                <w:szCs w:val="16"/>
                <w:color w:val="auto"/>
              </w:rPr>
              <w:t>853</w:t>
            </w:r>
          </w:p>
        </w:tc>
        <w:tc>
          <w:tcPr>
            <w:tcW w:w="19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4240" w:type="dxa"/>
            <w:vAlign w:val="bottom"/>
            <w:gridSpan w:val="2"/>
            <w:shd w:val="clear" w:color="auto" w:fill="CEFFE7"/>
          </w:tcPr>
          <w:p>
            <w:pPr>
              <w:spacing w:after="0"/>
              <w:rPr>
                <w:sz w:val="23"/>
                <w:szCs w:val="23"/>
                <w:color w:val="auto"/>
              </w:rPr>
            </w:pPr>
          </w:p>
        </w:tc>
        <w:tc>
          <w:tcPr>
            <w:tcW w:w="1540" w:type="dxa"/>
            <w:vAlign w:val="bottom"/>
            <w:shd w:val="clear" w:color="auto" w:fill="CEFFE7"/>
          </w:tcPr>
          <w:p>
            <w:pPr>
              <w:spacing w:after="0"/>
              <w:rPr>
                <w:sz w:val="23"/>
                <w:szCs w:val="23"/>
                <w:color w:val="auto"/>
              </w:rPr>
            </w:pPr>
          </w:p>
        </w:tc>
        <w:tc>
          <w:tcPr>
            <w:tcW w:w="190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1520" w:type="dxa"/>
            <w:vAlign w:val="bottom"/>
            <w:shd w:val="clear" w:color="auto" w:fill="CEFFE7"/>
          </w:tcPr>
          <w:p>
            <w:pPr>
              <w:spacing w:after="0"/>
              <w:rPr>
                <w:sz w:val="23"/>
                <w:szCs w:val="23"/>
                <w:color w:val="auto"/>
              </w:rPr>
            </w:pPr>
          </w:p>
        </w:tc>
        <w:tc>
          <w:tcPr>
            <w:tcW w:w="1920" w:type="dxa"/>
            <w:vAlign w:val="bottom"/>
            <w:shd w:val="clear" w:color="auto" w:fill="CEFFE7"/>
          </w:tcPr>
          <w:p>
            <w:pPr>
              <w:spacing w:after="0"/>
              <w:rPr>
                <w:sz w:val="23"/>
                <w:szCs w:val="23"/>
                <w:color w:val="auto"/>
              </w:rPr>
            </w:pPr>
          </w:p>
        </w:tc>
      </w:tr>
      <w:tr>
        <w:trPr>
          <w:trHeight w:val="213"/>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Cooling Degree Days:</w:t>
            </w:r>
          </w:p>
        </w:tc>
        <w:tc>
          <w:tcPr>
            <w:tcW w:w="1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4240" w:type="dxa"/>
            <w:vAlign w:val="bottom"/>
            <w:gridSpan w:val="2"/>
            <w:shd w:val="clear" w:color="auto" w:fill="CEFFE7"/>
          </w:tcPr>
          <w:p>
            <w:pPr>
              <w:ind w:left="400"/>
              <w:spacing w:after="0"/>
              <w:rPr>
                <w:sz w:val="20"/>
                <w:szCs w:val="20"/>
                <w:color w:val="auto"/>
              </w:rPr>
            </w:pPr>
            <w:r>
              <w:rPr>
                <w:rFonts w:ascii="Arial" w:cs="Arial" w:eastAsia="Arial" w:hAnsi="Arial"/>
                <w:sz w:val="16"/>
                <w:szCs w:val="16"/>
                <w:color w:val="auto"/>
              </w:rPr>
              <w:t>Colorado Electric</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300</w:t>
            </w:r>
          </w:p>
        </w:tc>
        <w:tc>
          <w:tcPr>
            <w:tcW w:w="1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44 %</w:t>
            </w:r>
          </w:p>
        </w:tc>
        <w:tc>
          <w:tcPr>
            <w:tcW w:w="120" w:type="dxa"/>
            <w:vAlign w:val="bottom"/>
            <w:shd w:val="clear" w:color="auto" w:fill="CEFFE7"/>
          </w:tcPr>
          <w:p>
            <w:pPr>
              <w:spacing w:after="0"/>
              <w:rPr>
                <w:sz w:val="19"/>
                <w:szCs w:val="19"/>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382</w:t>
            </w:r>
          </w:p>
        </w:tc>
        <w:tc>
          <w:tcPr>
            <w:tcW w:w="1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83 %</w:t>
            </w:r>
          </w:p>
        </w:tc>
      </w:tr>
      <w:tr>
        <w:trPr>
          <w:trHeight w:val="213"/>
        </w:trPr>
        <w:tc>
          <w:tcPr>
            <w:tcW w:w="4240" w:type="dxa"/>
            <w:vAlign w:val="bottom"/>
            <w:gridSpan w:val="2"/>
          </w:tcPr>
          <w:p>
            <w:pPr>
              <w:ind w:left="400"/>
              <w:spacing w:after="0"/>
              <w:rPr>
                <w:sz w:val="20"/>
                <w:szCs w:val="20"/>
                <w:color w:val="auto"/>
              </w:rPr>
            </w:pPr>
            <w:r>
              <w:rPr>
                <w:rFonts w:ascii="Arial" w:cs="Arial" w:eastAsia="Arial" w:hAnsi="Arial"/>
                <w:sz w:val="16"/>
                <w:szCs w:val="16"/>
                <w:color w:val="auto"/>
              </w:rPr>
              <w:t>South Dakota Electric</w:t>
            </w:r>
          </w:p>
        </w:tc>
        <w:tc>
          <w:tcPr>
            <w:tcW w:w="1540" w:type="dxa"/>
            <w:vAlign w:val="bottom"/>
          </w:tcPr>
          <w:p>
            <w:pPr>
              <w:jc w:val="right"/>
              <w:spacing w:after="0"/>
              <w:rPr>
                <w:sz w:val="20"/>
                <w:szCs w:val="20"/>
                <w:color w:val="auto"/>
              </w:rPr>
            </w:pPr>
            <w:r>
              <w:rPr>
                <w:rFonts w:ascii="Arial" w:cs="Arial" w:eastAsia="Arial" w:hAnsi="Arial"/>
                <w:sz w:val="16"/>
                <w:szCs w:val="16"/>
                <w:color w:val="auto"/>
              </w:rPr>
              <w:t>167</w:t>
            </w:r>
          </w:p>
        </w:tc>
        <w:tc>
          <w:tcPr>
            <w:tcW w:w="1900" w:type="dxa"/>
            <w:vAlign w:val="bottom"/>
          </w:tcPr>
          <w:p>
            <w:pPr>
              <w:jc w:val="right"/>
              <w:spacing w:after="0"/>
              <w:rPr>
                <w:sz w:val="20"/>
                <w:szCs w:val="20"/>
                <w:color w:val="auto"/>
              </w:rPr>
            </w:pPr>
            <w:r>
              <w:rPr>
                <w:rFonts w:ascii="Arial" w:cs="Arial" w:eastAsia="Arial" w:hAnsi="Arial"/>
                <w:sz w:val="16"/>
                <w:szCs w:val="16"/>
                <w:color w:val="auto"/>
              </w:rPr>
              <w:t>69 %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120</w:t>
            </w:r>
          </w:p>
        </w:tc>
        <w:tc>
          <w:tcPr>
            <w:tcW w:w="192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19"/>
        </w:trPr>
        <w:tc>
          <w:tcPr>
            <w:tcW w:w="4240" w:type="dxa"/>
            <w:vAlign w:val="bottom"/>
            <w:gridSpan w:val="2"/>
            <w:shd w:val="clear" w:color="auto" w:fill="CEFFE7"/>
          </w:tcPr>
          <w:p>
            <w:pPr>
              <w:ind w:left="400"/>
              <w:spacing w:after="0"/>
              <w:rPr>
                <w:sz w:val="20"/>
                <w:szCs w:val="20"/>
                <w:color w:val="auto"/>
              </w:rPr>
            </w:pPr>
            <w:r>
              <w:rPr>
                <w:rFonts w:ascii="Arial" w:cs="Arial" w:eastAsia="Arial" w:hAnsi="Arial"/>
                <w:sz w:val="16"/>
                <w:szCs w:val="16"/>
                <w:color w:val="auto"/>
              </w:rPr>
              <w:t>Wyoming Electric</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117</w:t>
            </w:r>
          </w:p>
        </w:tc>
        <w:tc>
          <w:tcPr>
            <w:tcW w:w="1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134 %</w:t>
            </w:r>
          </w:p>
        </w:tc>
        <w:tc>
          <w:tcPr>
            <w:tcW w:w="120" w:type="dxa"/>
            <w:vAlign w:val="bottom"/>
            <w:shd w:val="clear" w:color="auto" w:fill="CEFFE7"/>
          </w:tcPr>
          <w:p>
            <w:pPr>
              <w:spacing w:after="0"/>
              <w:rPr>
                <w:sz w:val="19"/>
                <w:szCs w:val="19"/>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101</w:t>
            </w:r>
          </w:p>
        </w:tc>
        <w:tc>
          <w:tcPr>
            <w:tcW w:w="1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102 %</w:t>
            </w:r>
          </w:p>
        </w:tc>
      </w:tr>
      <w:tr>
        <w:trPr>
          <w:trHeight w:val="281"/>
        </w:trPr>
        <w:tc>
          <w:tcPr>
            <w:tcW w:w="4240" w:type="dxa"/>
            <w:vAlign w:val="bottom"/>
            <w:gridSpan w:val="2"/>
          </w:tcPr>
          <w:p>
            <w:pPr>
              <w:ind w:left="68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1540" w:type="dxa"/>
            <w:vAlign w:val="bottom"/>
          </w:tcPr>
          <w:p>
            <w:pPr>
              <w:jc w:val="right"/>
              <w:spacing w:after="0"/>
              <w:rPr>
                <w:sz w:val="20"/>
                <w:szCs w:val="20"/>
                <w:color w:val="auto"/>
              </w:rPr>
            </w:pPr>
            <w:r>
              <w:rPr>
                <w:rFonts w:ascii="Arial" w:cs="Arial" w:eastAsia="Arial" w:hAnsi="Arial"/>
                <w:sz w:val="16"/>
                <w:szCs w:val="16"/>
                <w:color w:val="auto"/>
              </w:rPr>
              <w:t>218</w:t>
            </w:r>
          </w:p>
        </w:tc>
        <w:tc>
          <w:tcPr>
            <w:tcW w:w="1900" w:type="dxa"/>
            <w:vAlign w:val="bottom"/>
          </w:tcPr>
          <w:p>
            <w:pPr>
              <w:jc w:val="right"/>
              <w:spacing w:after="0"/>
              <w:rPr>
                <w:sz w:val="20"/>
                <w:szCs w:val="20"/>
                <w:color w:val="auto"/>
              </w:rPr>
            </w:pPr>
            <w:r>
              <w:rPr>
                <w:rFonts w:ascii="Arial" w:cs="Arial" w:eastAsia="Arial" w:hAnsi="Arial"/>
                <w:sz w:val="16"/>
                <w:szCs w:val="16"/>
                <w:color w:val="auto"/>
              </w:rPr>
              <w:t>56 %</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236</w:t>
            </w:r>
          </w:p>
        </w:tc>
        <w:tc>
          <w:tcPr>
            <w:tcW w:w="1920" w:type="dxa"/>
            <w:vAlign w:val="bottom"/>
          </w:tcPr>
          <w:p>
            <w:pPr>
              <w:jc w:val="right"/>
              <w:spacing w:after="0"/>
              <w:rPr>
                <w:sz w:val="20"/>
                <w:szCs w:val="20"/>
                <w:color w:val="auto"/>
              </w:rPr>
            </w:pPr>
            <w:r>
              <w:rPr>
                <w:rFonts w:ascii="Arial" w:cs="Arial" w:eastAsia="Arial" w:hAnsi="Arial"/>
                <w:sz w:val="16"/>
                <w:szCs w:val="16"/>
                <w:color w:val="auto"/>
              </w:rPr>
              <w:t>69 %</w:t>
            </w:r>
          </w:p>
        </w:tc>
      </w:tr>
      <w:tr>
        <w:trPr>
          <w:trHeight w:val="510"/>
        </w:trPr>
        <w:tc>
          <w:tcPr>
            <w:tcW w:w="13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540" w:type="dxa"/>
            <w:vAlign w:val="bottom"/>
            <w:gridSpan w:val="3"/>
          </w:tcPr>
          <w:p>
            <w:pPr>
              <w:jc w:val="right"/>
              <w:ind w:right="499"/>
              <w:spacing w:after="0"/>
              <w:rPr>
                <w:sz w:val="20"/>
                <w:szCs w:val="20"/>
                <w:color w:val="auto"/>
              </w:rPr>
            </w:pPr>
            <w:r>
              <w:rPr>
                <w:rFonts w:ascii="Arial" w:cs="Arial" w:eastAsia="Arial" w:hAnsi="Arial"/>
                <w:sz w:val="16"/>
                <w:szCs w:val="16"/>
                <w:color w:val="auto"/>
              </w:rPr>
              <w:t>Six Months Ended June 30,</w:t>
            </w:r>
          </w:p>
        </w:tc>
        <w:tc>
          <w:tcPr>
            <w:tcW w:w="1920" w:type="dxa"/>
            <w:vAlign w:val="bottom"/>
          </w:tcPr>
          <w:p>
            <w:pPr>
              <w:spacing w:after="0"/>
              <w:rPr>
                <w:sz w:val="24"/>
                <w:szCs w:val="24"/>
                <w:color w:val="auto"/>
              </w:rPr>
            </w:pPr>
          </w:p>
        </w:tc>
      </w:tr>
      <w:tr>
        <w:trPr>
          <w:trHeight w:val="219"/>
        </w:trPr>
        <w:tc>
          <w:tcPr>
            <w:tcW w:w="13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459"/>
              <w:spacing w:after="0"/>
              <w:rPr>
                <w:sz w:val="20"/>
                <w:szCs w:val="20"/>
                <w:color w:val="auto"/>
              </w:rPr>
            </w:pPr>
            <w:r>
              <w:rPr>
                <w:rFonts w:ascii="Arial" w:cs="Arial" w:eastAsia="Arial" w:hAnsi="Arial"/>
                <w:sz w:val="16"/>
                <w:szCs w:val="16"/>
                <w:color w:val="auto"/>
                <w:w w:val="95"/>
              </w:rPr>
              <w:t>2021</w:t>
            </w:r>
          </w:p>
        </w:tc>
        <w:tc>
          <w:tcPr>
            <w:tcW w:w="12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459"/>
              <w:spacing w:after="0"/>
              <w:rPr>
                <w:sz w:val="20"/>
                <w:szCs w:val="20"/>
                <w:color w:val="auto"/>
              </w:rPr>
            </w:pPr>
            <w:r>
              <w:rPr>
                <w:rFonts w:ascii="Arial" w:cs="Arial" w:eastAsia="Arial" w:hAnsi="Arial"/>
                <w:sz w:val="16"/>
                <w:szCs w:val="16"/>
                <w:color w:val="auto"/>
              </w:rPr>
              <w:t>2020</w:t>
            </w:r>
          </w:p>
        </w:tc>
      </w:tr>
      <w:tr>
        <w:trPr>
          <w:trHeight w:val="174"/>
        </w:trPr>
        <w:tc>
          <w:tcPr>
            <w:tcW w:w="13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20" w:type="dxa"/>
            <w:vAlign w:val="bottom"/>
            <w:gridSpan w:val="2"/>
          </w:tcPr>
          <w:p>
            <w:pPr>
              <w:jc w:val="center"/>
              <w:spacing w:after="0" w:line="174" w:lineRule="exact"/>
              <w:rPr>
                <w:sz w:val="20"/>
                <w:szCs w:val="20"/>
                <w:color w:val="auto"/>
              </w:rPr>
            </w:pPr>
            <w:r>
              <w:rPr>
                <w:rFonts w:ascii="Arial" w:cs="Arial" w:eastAsia="Arial" w:hAnsi="Arial"/>
                <w:sz w:val="16"/>
                <w:szCs w:val="16"/>
                <w:color w:val="auto"/>
              </w:rPr>
              <w:t>Variance from</w:t>
            </w:r>
          </w:p>
        </w:tc>
        <w:tc>
          <w:tcPr>
            <w:tcW w:w="1520" w:type="dxa"/>
            <w:vAlign w:val="bottom"/>
          </w:tcPr>
          <w:p>
            <w:pPr>
              <w:spacing w:after="0"/>
              <w:rPr>
                <w:sz w:val="15"/>
                <w:szCs w:val="15"/>
                <w:color w:val="auto"/>
              </w:rPr>
            </w:pPr>
          </w:p>
        </w:tc>
        <w:tc>
          <w:tcPr>
            <w:tcW w:w="1920" w:type="dxa"/>
            <w:vAlign w:val="bottom"/>
          </w:tcPr>
          <w:p>
            <w:pPr>
              <w:jc w:val="center"/>
              <w:ind w:left="39"/>
              <w:spacing w:after="0" w:line="174" w:lineRule="exact"/>
              <w:rPr>
                <w:sz w:val="20"/>
                <w:szCs w:val="20"/>
                <w:color w:val="auto"/>
              </w:rPr>
            </w:pPr>
            <w:r>
              <w:rPr>
                <w:rFonts w:ascii="Arial" w:cs="Arial" w:eastAsia="Arial" w:hAnsi="Arial"/>
                <w:sz w:val="16"/>
                <w:szCs w:val="16"/>
                <w:color w:val="auto"/>
              </w:rPr>
              <w:t>Variance from</w:t>
            </w:r>
          </w:p>
        </w:tc>
      </w:tr>
      <w:tr>
        <w:trPr>
          <w:trHeight w:val="198"/>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Degree Days</w:t>
            </w:r>
          </w:p>
        </w:tc>
        <w:tc>
          <w:tcPr>
            <w:tcW w:w="1540" w:type="dxa"/>
            <w:vAlign w:val="bottom"/>
          </w:tcPr>
          <w:p>
            <w:pPr>
              <w:jc w:val="right"/>
              <w:ind w:right="439"/>
              <w:spacing w:after="0"/>
              <w:rPr>
                <w:sz w:val="20"/>
                <w:szCs w:val="20"/>
                <w:color w:val="auto"/>
              </w:rPr>
            </w:pPr>
            <w:r>
              <w:rPr>
                <w:rFonts w:ascii="Arial" w:cs="Arial" w:eastAsia="Arial" w:hAnsi="Arial"/>
                <w:sz w:val="16"/>
                <w:szCs w:val="16"/>
                <w:color w:val="auto"/>
              </w:rPr>
              <w:t>Actual</w:t>
            </w:r>
          </w:p>
        </w:tc>
        <w:tc>
          <w:tcPr>
            <w:tcW w:w="2020" w:type="dxa"/>
            <w:vAlign w:val="bottom"/>
            <w:gridSpan w:val="2"/>
          </w:tcPr>
          <w:p>
            <w:pPr>
              <w:jc w:val="center"/>
              <w:spacing w:after="0"/>
              <w:rPr>
                <w:sz w:val="20"/>
                <w:szCs w:val="20"/>
                <w:color w:val="auto"/>
              </w:rPr>
            </w:pPr>
            <w:r>
              <w:rPr>
                <w:rFonts w:ascii="Arial" w:cs="Arial" w:eastAsia="Arial" w:hAnsi="Arial"/>
                <w:sz w:val="16"/>
                <w:szCs w:val="16"/>
                <w:color w:val="auto"/>
              </w:rPr>
              <w:t>Normal</w:t>
            </w:r>
          </w:p>
        </w:tc>
        <w:tc>
          <w:tcPr>
            <w:tcW w:w="1520" w:type="dxa"/>
            <w:vAlign w:val="bottom"/>
          </w:tcPr>
          <w:p>
            <w:pPr>
              <w:jc w:val="right"/>
              <w:ind w:right="419"/>
              <w:spacing w:after="0"/>
              <w:rPr>
                <w:sz w:val="20"/>
                <w:szCs w:val="20"/>
                <w:color w:val="auto"/>
              </w:rPr>
            </w:pPr>
            <w:r>
              <w:rPr>
                <w:rFonts w:ascii="Arial" w:cs="Arial" w:eastAsia="Arial" w:hAnsi="Arial"/>
                <w:sz w:val="16"/>
                <w:szCs w:val="16"/>
                <w:color w:val="auto"/>
              </w:rPr>
              <w:t>Actual</w:t>
            </w:r>
          </w:p>
        </w:tc>
        <w:tc>
          <w:tcPr>
            <w:tcW w:w="1920" w:type="dxa"/>
            <w:vAlign w:val="bottom"/>
          </w:tcPr>
          <w:p>
            <w:pPr>
              <w:jc w:val="center"/>
              <w:ind w:left="99"/>
              <w:spacing w:after="0"/>
              <w:rPr>
                <w:sz w:val="20"/>
                <w:szCs w:val="20"/>
                <w:color w:val="auto"/>
              </w:rPr>
            </w:pPr>
            <w:r>
              <w:rPr>
                <w:rFonts w:ascii="Arial" w:cs="Arial" w:eastAsia="Arial" w:hAnsi="Arial"/>
                <w:sz w:val="16"/>
                <w:szCs w:val="16"/>
                <w:color w:val="auto"/>
              </w:rPr>
              <w:t>Normal</w:t>
            </w:r>
          </w:p>
        </w:tc>
      </w:tr>
      <w:tr>
        <w:trPr>
          <w:trHeight w:val="209"/>
        </w:trPr>
        <w:tc>
          <w:tcPr>
            <w:tcW w:w="424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Heating Degree Days</w:t>
            </w:r>
          </w:p>
        </w:tc>
        <w:tc>
          <w:tcPr>
            <w:tcW w:w="15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r>
      <w:tr>
        <w:trPr>
          <w:trHeight w:val="219"/>
        </w:trPr>
        <w:tc>
          <w:tcPr>
            <w:tcW w:w="4240" w:type="dxa"/>
            <w:vAlign w:val="bottom"/>
            <w:gridSpan w:val="2"/>
            <w:shd w:val="clear" w:color="auto" w:fill="CEFFE7"/>
          </w:tcPr>
          <w:p>
            <w:pPr>
              <w:ind w:left="380"/>
              <w:spacing w:after="0"/>
              <w:rPr>
                <w:sz w:val="20"/>
                <w:szCs w:val="20"/>
                <w:color w:val="auto"/>
              </w:rPr>
            </w:pPr>
            <w:r>
              <w:rPr>
                <w:rFonts w:ascii="Arial" w:cs="Arial" w:eastAsia="Arial" w:hAnsi="Arial"/>
                <w:sz w:val="16"/>
                <w:szCs w:val="16"/>
                <w:color w:val="auto"/>
              </w:rPr>
              <w:t>Colorado Electric</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3,326</w:t>
            </w:r>
          </w:p>
        </w:tc>
        <w:tc>
          <w:tcPr>
            <w:tcW w:w="1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2 %</w:t>
            </w:r>
          </w:p>
        </w:tc>
        <w:tc>
          <w:tcPr>
            <w:tcW w:w="120" w:type="dxa"/>
            <w:vAlign w:val="bottom"/>
            <w:shd w:val="clear" w:color="auto" w:fill="CEFFE7"/>
          </w:tcPr>
          <w:p>
            <w:pPr>
              <w:spacing w:after="0"/>
              <w:rPr>
                <w:sz w:val="19"/>
                <w:szCs w:val="19"/>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2,974</w:t>
            </w:r>
          </w:p>
        </w:tc>
        <w:tc>
          <w:tcPr>
            <w:tcW w:w="1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4240" w:type="dxa"/>
            <w:vAlign w:val="bottom"/>
            <w:gridSpan w:val="2"/>
          </w:tcPr>
          <w:p>
            <w:pPr>
              <w:ind w:left="380"/>
              <w:spacing w:after="0"/>
              <w:rPr>
                <w:sz w:val="20"/>
                <w:szCs w:val="20"/>
                <w:color w:val="auto"/>
              </w:rPr>
            </w:pPr>
            <w:r>
              <w:rPr>
                <w:rFonts w:ascii="Arial" w:cs="Arial" w:eastAsia="Arial" w:hAnsi="Arial"/>
                <w:sz w:val="16"/>
                <w:szCs w:val="16"/>
                <w:color w:val="auto"/>
              </w:rPr>
              <w:t>South Dakota Electric</w:t>
            </w:r>
          </w:p>
        </w:tc>
        <w:tc>
          <w:tcPr>
            <w:tcW w:w="1540" w:type="dxa"/>
            <w:vAlign w:val="bottom"/>
          </w:tcPr>
          <w:p>
            <w:pPr>
              <w:jc w:val="right"/>
              <w:spacing w:after="0"/>
              <w:rPr>
                <w:sz w:val="20"/>
                <w:szCs w:val="20"/>
                <w:color w:val="auto"/>
              </w:rPr>
            </w:pPr>
            <w:r>
              <w:rPr>
                <w:rFonts w:ascii="Arial" w:cs="Arial" w:eastAsia="Arial" w:hAnsi="Arial"/>
                <w:sz w:val="16"/>
                <w:szCs w:val="16"/>
                <w:color w:val="auto"/>
              </w:rPr>
              <w:t>4,372</w:t>
            </w:r>
          </w:p>
        </w:tc>
        <w:tc>
          <w:tcPr>
            <w:tcW w:w="1900" w:type="dxa"/>
            <w:vAlign w:val="bottom"/>
          </w:tcPr>
          <w:p>
            <w:pPr>
              <w:jc w:val="right"/>
              <w:spacing w:after="0"/>
              <w:rPr>
                <w:sz w:val="20"/>
                <w:szCs w:val="20"/>
                <w:color w:val="auto"/>
              </w:rPr>
            </w:pPr>
            <w:r>
              <w:rPr>
                <w:rFonts w:ascii="Arial" w:cs="Arial" w:eastAsia="Arial" w:hAnsi="Arial"/>
                <w:sz w:val="16"/>
                <w:szCs w:val="16"/>
                <w:color w:val="auto"/>
              </w:rPr>
              <w:t>3 %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4,238</w:t>
            </w:r>
          </w:p>
        </w:tc>
        <w:tc>
          <w:tcPr>
            <w:tcW w:w="19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4240" w:type="dxa"/>
            <w:vAlign w:val="bottom"/>
            <w:gridSpan w:val="2"/>
            <w:shd w:val="clear" w:color="auto" w:fill="CEFFE7"/>
          </w:tcPr>
          <w:p>
            <w:pPr>
              <w:ind w:left="380"/>
              <w:spacing w:after="0"/>
              <w:rPr>
                <w:sz w:val="20"/>
                <w:szCs w:val="20"/>
                <w:color w:val="auto"/>
              </w:rPr>
            </w:pPr>
            <w:r>
              <w:rPr>
                <w:rFonts w:ascii="Arial" w:cs="Arial" w:eastAsia="Arial" w:hAnsi="Arial"/>
                <w:sz w:val="16"/>
                <w:szCs w:val="16"/>
                <w:color w:val="auto"/>
              </w:rPr>
              <w:t>Wyoming Electric</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4,482</w:t>
            </w:r>
          </w:p>
        </w:tc>
        <w:tc>
          <w:tcPr>
            <w:tcW w:w="1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6 %</w:t>
            </w:r>
          </w:p>
        </w:tc>
        <w:tc>
          <w:tcPr>
            <w:tcW w:w="120" w:type="dxa"/>
            <w:vAlign w:val="bottom"/>
            <w:shd w:val="clear" w:color="auto" w:fill="CEFFE7"/>
          </w:tcPr>
          <w:p>
            <w:pPr>
              <w:spacing w:after="0"/>
              <w:rPr>
                <w:sz w:val="19"/>
                <w:szCs w:val="19"/>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4,148</w:t>
            </w:r>
          </w:p>
        </w:tc>
        <w:tc>
          <w:tcPr>
            <w:tcW w:w="1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4240" w:type="dxa"/>
            <w:vAlign w:val="bottom"/>
            <w:gridSpan w:val="2"/>
          </w:tcPr>
          <w:p>
            <w:pPr>
              <w:ind w:left="680"/>
              <w:spacing w:after="0" w:line="216"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1540" w:type="dxa"/>
            <w:vAlign w:val="bottom"/>
          </w:tcPr>
          <w:p>
            <w:pPr>
              <w:jc w:val="right"/>
              <w:spacing w:after="0"/>
              <w:rPr>
                <w:sz w:val="20"/>
                <w:szCs w:val="20"/>
                <w:color w:val="auto"/>
              </w:rPr>
            </w:pPr>
            <w:r>
              <w:rPr>
                <w:rFonts w:ascii="Arial" w:cs="Arial" w:eastAsia="Arial" w:hAnsi="Arial"/>
                <w:sz w:val="16"/>
                <w:szCs w:val="16"/>
                <w:color w:val="auto"/>
              </w:rPr>
              <w:t>3,915</w:t>
            </w:r>
          </w:p>
        </w:tc>
        <w:tc>
          <w:tcPr>
            <w:tcW w:w="1900" w:type="dxa"/>
            <w:vAlign w:val="bottom"/>
          </w:tcPr>
          <w:p>
            <w:pPr>
              <w:jc w:val="right"/>
              <w:spacing w:after="0"/>
              <w:rPr>
                <w:sz w:val="20"/>
                <w:szCs w:val="20"/>
                <w:color w:val="auto"/>
              </w:rPr>
            </w:pPr>
            <w:r>
              <w:rPr>
                <w:rFonts w:ascii="Arial" w:cs="Arial" w:eastAsia="Arial" w:hAnsi="Arial"/>
                <w:sz w:val="16"/>
                <w:szCs w:val="16"/>
                <w:color w:val="auto"/>
              </w:rPr>
              <w:t>3 %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3,642</w:t>
            </w:r>
          </w:p>
        </w:tc>
        <w:tc>
          <w:tcPr>
            <w:tcW w:w="19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4240" w:type="dxa"/>
            <w:vAlign w:val="bottom"/>
            <w:gridSpan w:val="2"/>
            <w:shd w:val="clear" w:color="auto" w:fill="CEFFE7"/>
          </w:tcPr>
          <w:p>
            <w:pPr>
              <w:spacing w:after="0"/>
              <w:rPr>
                <w:sz w:val="23"/>
                <w:szCs w:val="23"/>
                <w:color w:val="auto"/>
              </w:rPr>
            </w:pPr>
          </w:p>
        </w:tc>
        <w:tc>
          <w:tcPr>
            <w:tcW w:w="1540" w:type="dxa"/>
            <w:vAlign w:val="bottom"/>
            <w:shd w:val="clear" w:color="auto" w:fill="CEFFE7"/>
          </w:tcPr>
          <w:p>
            <w:pPr>
              <w:spacing w:after="0"/>
              <w:rPr>
                <w:sz w:val="23"/>
                <w:szCs w:val="23"/>
                <w:color w:val="auto"/>
              </w:rPr>
            </w:pPr>
          </w:p>
        </w:tc>
        <w:tc>
          <w:tcPr>
            <w:tcW w:w="190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1520" w:type="dxa"/>
            <w:vAlign w:val="bottom"/>
            <w:shd w:val="clear" w:color="auto" w:fill="CEFFE7"/>
          </w:tcPr>
          <w:p>
            <w:pPr>
              <w:spacing w:after="0"/>
              <w:rPr>
                <w:sz w:val="23"/>
                <w:szCs w:val="23"/>
                <w:color w:val="auto"/>
              </w:rPr>
            </w:pPr>
          </w:p>
        </w:tc>
        <w:tc>
          <w:tcPr>
            <w:tcW w:w="1920" w:type="dxa"/>
            <w:vAlign w:val="bottom"/>
            <w:shd w:val="clear" w:color="auto" w:fill="CEFFE7"/>
          </w:tcPr>
          <w:p>
            <w:pPr>
              <w:spacing w:after="0"/>
              <w:rPr>
                <w:sz w:val="23"/>
                <w:szCs w:val="23"/>
                <w:color w:val="auto"/>
              </w:rPr>
            </w:pPr>
          </w:p>
        </w:tc>
      </w:tr>
      <w:tr>
        <w:trPr>
          <w:trHeight w:val="213"/>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Cooling Degree Days:</w:t>
            </w:r>
          </w:p>
        </w:tc>
        <w:tc>
          <w:tcPr>
            <w:tcW w:w="1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4240" w:type="dxa"/>
            <w:vAlign w:val="bottom"/>
            <w:gridSpan w:val="2"/>
            <w:shd w:val="clear" w:color="auto" w:fill="CEFFE7"/>
          </w:tcPr>
          <w:p>
            <w:pPr>
              <w:ind w:left="400"/>
              <w:spacing w:after="0"/>
              <w:rPr>
                <w:sz w:val="20"/>
                <w:szCs w:val="20"/>
                <w:color w:val="auto"/>
              </w:rPr>
            </w:pPr>
            <w:r>
              <w:rPr>
                <w:rFonts w:ascii="Arial" w:cs="Arial" w:eastAsia="Arial" w:hAnsi="Arial"/>
                <w:sz w:val="16"/>
                <w:szCs w:val="16"/>
                <w:color w:val="auto"/>
              </w:rPr>
              <w:t>Colorado Electric</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300</w:t>
            </w:r>
          </w:p>
        </w:tc>
        <w:tc>
          <w:tcPr>
            <w:tcW w:w="1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44 %</w:t>
            </w:r>
          </w:p>
        </w:tc>
        <w:tc>
          <w:tcPr>
            <w:tcW w:w="120" w:type="dxa"/>
            <w:vAlign w:val="bottom"/>
            <w:shd w:val="clear" w:color="auto" w:fill="CEFFE7"/>
          </w:tcPr>
          <w:p>
            <w:pPr>
              <w:spacing w:after="0"/>
              <w:rPr>
                <w:sz w:val="19"/>
                <w:szCs w:val="19"/>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382</w:t>
            </w:r>
          </w:p>
        </w:tc>
        <w:tc>
          <w:tcPr>
            <w:tcW w:w="1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83 %</w:t>
            </w:r>
          </w:p>
        </w:tc>
      </w:tr>
      <w:tr>
        <w:trPr>
          <w:trHeight w:val="213"/>
        </w:trPr>
        <w:tc>
          <w:tcPr>
            <w:tcW w:w="4240" w:type="dxa"/>
            <w:vAlign w:val="bottom"/>
            <w:gridSpan w:val="2"/>
          </w:tcPr>
          <w:p>
            <w:pPr>
              <w:ind w:left="400"/>
              <w:spacing w:after="0"/>
              <w:rPr>
                <w:sz w:val="20"/>
                <w:szCs w:val="20"/>
                <w:color w:val="auto"/>
              </w:rPr>
            </w:pPr>
            <w:r>
              <w:rPr>
                <w:rFonts w:ascii="Arial" w:cs="Arial" w:eastAsia="Arial" w:hAnsi="Arial"/>
                <w:sz w:val="16"/>
                <w:szCs w:val="16"/>
                <w:color w:val="auto"/>
              </w:rPr>
              <w:t>South Dakota Electric</w:t>
            </w:r>
          </w:p>
        </w:tc>
        <w:tc>
          <w:tcPr>
            <w:tcW w:w="1540" w:type="dxa"/>
            <w:vAlign w:val="bottom"/>
          </w:tcPr>
          <w:p>
            <w:pPr>
              <w:jc w:val="right"/>
              <w:spacing w:after="0"/>
              <w:rPr>
                <w:sz w:val="20"/>
                <w:szCs w:val="20"/>
                <w:color w:val="auto"/>
              </w:rPr>
            </w:pPr>
            <w:r>
              <w:rPr>
                <w:rFonts w:ascii="Arial" w:cs="Arial" w:eastAsia="Arial" w:hAnsi="Arial"/>
                <w:sz w:val="16"/>
                <w:szCs w:val="16"/>
                <w:color w:val="auto"/>
              </w:rPr>
              <w:t>167</w:t>
            </w:r>
          </w:p>
        </w:tc>
        <w:tc>
          <w:tcPr>
            <w:tcW w:w="1900" w:type="dxa"/>
            <w:vAlign w:val="bottom"/>
          </w:tcPr>
          <w:p>
            <w:pPr>
              <w:jc w:val="right"/>
              <w:spacing w:after="0"/>
              <w:rPr>
                <w:sz w:val="20"/>
                <w:szCs w:val="20"/>
                <w:color w:val="auto"/>
              </w:rPr>
            </w:pPr>
            <w:r>
              <w:rPr>
                <w:rFonts w:ascii="Arial" w:cs="Arial" w:eastAsia="Arial" w:hAnsi="Arial"/>
                <w:sz w:val="16"/>
                <w:szCs w:val="16"/>
                <w:color w:val="auto"/>
              </w:rPr>
              <w:t>69 %</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120</w:t>
            </w:r>
          </w:p>
        </w:tc>
        <w:tc>
          <w:tcPr>
            <w:tcW w:w="192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19"/>
        </w:trPr>
        <w:tc>
          <w:tcPr>
            <w:tcW w:w="4240" w:type="dxa"/>
            <w:vAlign w:val="bottom"/>
            <w:gridSpan w:val="2"/>
            <w:shd w:val="clear" w:color="auto" w:fill="CEFFE7"/>
          </w:tcPr>
          <w:p>
            <w:pPr>
              <w:ind w:left="400"/>
              <w:spacing w:after="0"/>
              <w:rPr>
                <w:sz w:val="20"/>
                <w:szCs w:val="20"/>
                <w:color w:val="auto"/>
              </w:rPr>
            </w:pPr>
            <w:r>
              <w:rPr>
                <w:rFonts w:ascii="Arial" w:cs="Arial" w:eastAsia="Arial" w:hAnsi="Arial"/>
                <w:sz w:val="16"/>
                <w:szCs w:val="16"/>
                <w:color w:val="auto"/>
              </w:rPr>
              <w:t>Wyoming Electric</w:t>
            </w:r>
          </w:p>
        </w:tc>
        <w:tc>
          <w:tcPr>
            <w:tcW w:w="15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117</w:t>
            </w:r>
          </w:p>
        </w:tc>
        <w:tc>
          <w:tcPr>
            <w:tcW w:w="1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134 %</w:t>
            </w:r>
          </w:p>
        </w:tc>
        <w:tc>
          <w:tcPr>
            <w:tcW w:w="120" w:type="dxa"/>
            <w:vAlign w:val="bottom"/>
            <w:shd w:val="clear" w:color="auto" w:fill="CEFFE7"/>
          </w:tcPr>
          <w:p>
            <w:pPr>
              <w:spacing w:after="0"/>
              <w:rPr>
                <w:sz w:val="19"/>
                <w:szCs w:val="19"/>
                <w:color w:val="auto"/>
              </w:rPr>
            </w:pP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101</w:t>
            </w:r>
          </w:p>
        </w:tc>
        <w:tc>
          <w:tcPr>
            <w:tcW w:w="1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102 %</w:t>
            </w:r>
          </w:p>
        </w:tc>
      </w:tr>
      <w:tr>
        <w:trPr>
          <w:trHeight w:val="268"/>
        </w:trPr>
        <w:tc>
          <w:tcPr>
            <w:tcW w:w="4240" w:type="dxa"/>
            <w:vAlign w:val="bottom"/>
            <w:gridSpan w:val="2"/>
          </w:tcPr>
          <w:p>
            <w:pPr>
              <w:ind w:left="680"/>
              <w:spacing w:after="0"/>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1540" w:type="dxa"/>
            <w:vAlign w:val="bottom"/>
          </w:tcPr>
          <w:p>
            <w:pPr>
              <w:jc w:val="right"/>
              <w:spacing w:after="0"/>
              <w:rPr>
                <w:sz w:val="20"/>
                <w:szCs w:val="20"/>
                <w:color w:val="auto"/>
              </w:rPr>
            </w:pPr>
            <w:r>
              <w:rPr>
                <w:rFonts w:ascii="Arial" w:cs="Arial" w:eastAsia="Arial" w:hAnsi="Arial"/>
                <w:sz w:val="16"/>
                <w:szCs w:val="16"/>
                <w:color w:val="auto"/>
              </w:rPr>
              <w:t>218</w:t>
            </w:r>
          </w:p>
        </w:tc>
        <w:tc>
          <w:tcPr>
            <w:tcW w:w="1900" w:type="dxa"/>
            <w:vAlign w:val="bottom"/>
          </w:tcPr>
          <w:p>
            <w:pPr>
              <w:jc w:val="right"/>
              <w:spacing w:after="0"/>
              <w:rPr>
                <w:sz w:val="20"/>
                <w:szCs w:val="20"/>
                <w:color w:val="auto"/>
              </w:rPr>
            </w:pPr>
            <w:r>
              <w:rPr>
                <w:rFonts w:ascii="Arial" w:cs="Arial" w:eastAsia="Arial" w:hAnsi="Arial"/>
                <w:sz w:val="16"/>
                <w:szCs w:val="16"/>
                <w:color w:val="auto"/>
              </w:rPr>
              <w:t>56 %</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236</w:t>
            </w:r>
          </w:p>
        </w:tc>
        <w:tc>
          <w:tcPr>
            <w:tcW w:w="1920" w:type="dxa"/>
            <w:vAlign w:val="bottom"/>
          </w:tcPr>
          <w:p>
            <w:pPr>
              <w:jc w:val="right"/>
              <w:spacing w:after="0"/>
              <w:rPr>
                <w:sz w:val="20"/>
                <w:szCs w:val="20"/>
                <w:color w:val="auto"/>
              </w:rPr>
            </w:pPr>
            <w:r>
              <w:rPr>
                <w:rFonts w:ascii="Arial" w:cs="Arial" w:eastAsia="Arial" w:hAnsi="Arial"/>
                <w:sz w:val="16"/>
                <w:szCs w:val="16"/>
                <w:color w:val="auto"/>
              </w:rPr>
              <w:t>69 %</w:t>
            </w:r>
          </w:p>
        </w:tc>
      </w:tr>
    </w:tbl>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8"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Combined actuals are calculated based on the weighted average number of total customers by state.</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80" w:type="dxa"/>
            <w:vAlign w:val="bottom"/>
          </w:tcPr>
          <w:p>
            <w:pPr>
              <w:spacing w:after="0"/>
              <w:rPr>
                <w:sz w:val="16"/>
                <w:szCs w:val="16"/>
                <w:color w:val="auto"/>
              </w:rPr>
            </w:pPr>
          </w:p>
        </w:tc>
        <w:tc>
          <w:tcPr>
            <w:tcW w:w="322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color w:val="auto"/>
              </w:rPr>
              <w:t>Three Months Ended June 30,</w:t>
            </w:r>
          </w:p>
        </w:tc>
        <w:tc>
          <w:tcPr>
            <w:tcW w:w="274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6"/>
                <w:szCs w:val="16"/>
                <w:color w:val="auto"/>
              </w:rPr>
              <w:t>Six Months Ended June 30,</w:t>
            </w:r>
          </w:p>
        </w:tc>
      </w:tr>
      <w:tr>
        <w:trPr>
          <w:trHeight w:val="216"/>
        </w:trPr>
        <w:tc>
          <w:tcPr>
            <w:tcW w:w="5280" w:type="dxa"/>
            <w:vAlign w:val="bottom"/>
            <w:tcBorders>
              <w:bottom w:val="single" w:sz="8" w:color="auto"/>
            </w:tcBorders>
          </w:tcPr>
          <w:p>
            <w:pPr>
              <w:ind w:left="20"/>
              <w:spacing w:after="0" w:line="216" w:lineRule="exact"/>
              <w:rPr>
                <w:sz w:val="20"/>
                <w:szCs w:val="20"/>
                <w:color w:val="auto"/>
              </w:rPr>
            </w:pPr>
            <w:r>
              <w:rPr>
                <w:rFonts w:ascii="Arial" w:cs="Arial" w:eastAsia="Arial" w:hAnsi="Arial"/>
                <w:sz w:val="16"/>
                <w:szCs w:val="16"/>
                <w:color w:val="auto"/>
              </w:rPr>
              <w:t xml:space="preserve">Contracted generating facilities availability by fuel type </w:t>
            </w:r>
            <w:r>
              <w:rPr>
                <w:rFonts w:ascii="Arial" w:cs="Arial" w:eastAsia="Arial" w:hAnsi="Arial"/>
                <w:sz w:val="21"/>
                <w:szCs w:val="21"/>
                <w:color w:val="auto"/>
                <w:vertAlign w:val="superscript"/>
              </w:rPr>
              <w:t>(a)</w:t>
            </w:r>
          </w:p>
        </w:tc>
        <w:tc>
          <w:tcPr>
            <w:tcW w:w="17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2021</w:t>
            </w:r>
          </w:p>
        </w:tc>
        <w:tc>
          <w:tcPr>
            <w:tcW w:w="14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2020</w:t>
            </w:r>
          </w:p>
        </w:tc>
        <w:tc>
          <w:tcPr>
            <w:tcW w:w="15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2021</w:t>
            </w: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2020</w:t>
            </w:r>
          </w:p>
        </w:tc>
      </w:tr>
      <w:tr>
        <w:trPr>
          <w:trHeight w:val="210"/>
        </w:trPr>
        <w:tc>
          <w:tcPr>
            <w:tcW w:w="5280" w:type="dxa"/>
            <w:vAlign w:val="bottom"/>
            <w:shd w:val="clear" w:color="auto" w:fill="CEFFE7"/>
          </w:tcPr>
          <w:p>
            <w:pPr>
              <w:ind w:left="20"/>
              <w:spacing w:after="0" w:line="210" w:lineRule="exact"/>
              <w:rPr>
                <w:sz w:val="20"/>
                <w:szCs w:val="20"/>
                <w:color w:val="auto"/>
              </w:rPr>
            </w:pPr>
            <w:r>
              <w:rPr>
                <w:rFonts w:ascii="Arial" w:cs="Arial" w:eastAsia="Arial" w:hAnsi="Arial"/>
                <w:sz w:val="16"/>
                <w:szCs w:val="16"/>
                <w:color w:val="auto"/>
              </w:rPr>
              <w:t xml:space="preserve">Coal </w:t>
            </w:r>
            <w:r>
              <w:rPr>
                <w:rFonts w:ascii="Arial" w:cs="Arial" w:eastAsia="Arial" w:hAnsi="Arial"/>
                <w:sz w:val="21"/>
                <w:szCs w:val="21"/>
                <w:color w:val="auto"/>
                <w:vertAlign w:val="superscript"/>
              </w:rPr>
              <w:t>(b)</w:t>
            </w:r>
          </w:p>
        </w:tc>
        <w:tc>
          <w:tcPr>
            <w:tcW w:w="176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85.4 %</w:t>
            </w:r>
          </w:p>
        </w:tc>
        <w:tc>
          <w:tcPr>
            <w:tcW w:w="146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94.1 %</w:t>
            </w:r>
          </w:p>
        </w:tc>
        <w:tc>
          <w:tcPr>
            <w:tcW w:w="152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84.6 %</w:t>
            </w: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92.5 %</w:t>
            </w:r>
          </w:p>
        </w:tc>
      </w:tr>
      <w:tr>
        <w:trPr>
          <w:trHeight w:val="216"/>
        </w:trPr>
        <w:tc>
          <w:tcPr>
            <w:tcW w:w="52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Natural Gas and diesel oil </w:t>
            </w:r>
            <w:r>
              <w:rPr>
                <w:rFonts w:ascii="Arial" w:cs="Arial" w:eastAsia="Arial" w:hAnsi="Arial"/>
                <w:sz w:val="21"/>
                <w:szCs w:val="21"/>
                <w:color w:val="auto"/>
                <w:vertAlign w:val="superscript"/>
              </w:rPr>
              <w:t>(b) (c)</w:t>
            </w:r>
          </w:p>
        </w:tc>
        <w:tc>
          <w:tcPr>
            <w:tcW w:w="1760" w:type="dxa"/>
            <w:vAlign w:val="bottom"/>
          </w:tcPr>
          <w:p>
            <w:pPr>
              <w:jc w:val="right"/>
              <w:ind w:right="219"/>
              <w:spacing w:after="0"/>
              <w:rPr>
                <w:sz w:val="20"/>
                <w:szCs w:val="20"/>
                <w:color w:val="auto"/>
              </w:rPr>
            </w:pPr>
            <w:r>
              <w:rPr>
                <w:rFonts w:ascii="Arial" w:cs="Arial" w:eastAsia="Arial" w:hAnsi="Arial"/>
                <w:sz w:val="16"/>
                <w:szCs w:val="16"/>
                <w:color w:val="auto"/>
              </w:rPr>
              <w:t>97.2 %</w:t>
            </w: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78.3 %</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92.4 %</w:t>
            </w:r>
          </w:p>
        </w:tc>
        <w:tc>
          <w:tcPr>
            <w:tcW w:w="1220" w:type="dxa"/>
            <w:vAlign w:val="bottom"/>
          </w:tcPr>
          <w:p>
            <w:pPr>
              <w:jc w:val="right"/>
              <w:spacing w:after="0"/>
              <w:rPr>
                <w:sz w:val="20"/>
                <w:szCs w:val="20"/>
                <w:color w:val="auto"/>
              </w:rPr>
            </w:pPr>
            <w:r>
              <w:rPr>
                <w:rFonts w:ascii="Arial" w:cs="Arial" w:eastAsia="Arial" w:hAnsi="Arial"/>
                <w:sz w:val="16"/>
                <w:szCs w:val="16"/>
                <w:color w:val="auto"/>
              </w:rPr>
              <w:t>80.9 %</w:t>
            </w:r>
          </w:p>
        </w:tc>
      </w:tr>
      <w:tr>
        <w:trPr>
          <w:trHeight w:val="216"/>
        </w:trPr>
        <w:tc>
          <w:tcPr>
            <w:tcW w:w="5280" w:type="dxa"/>
            <w:vAlign w:val="bottom"/>
            <w:shd w:val="clear" w:color="auto" w:fill="CEFFE7"/>
          </w:tcPr>
          <w:p>
            <w:pPr>
              <w:ind w:left="20"/>
              <w:spacing w:after="0"/>
              <w:rPr>
                <w:sz w:val="20"/>
                <w:szCs w:val="20"/>
                <w:color w:val="auto"/>
              </w:rPr>
            </w:pPr>
            <w:r>
              <w:rPr>
                <w:rFonts w:ascii="Arial" w:cs="Arial" w:eastAsia="Arial" w:hAnsi="Arial"/>
                <w:sz w:val="16"/>
                <w:szCs w:val="16"/>
                <w:color w:val="auto"/>
              </w:rPr>
              <w:t>Wind</w:t>
            </w:r>
          </w:p>
        </w:tc>
        <w:tc>
          <w:tcPr>
            <w:tcW w:w="176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96.4 %</w:t>
            </w:r>
          </w:p>
        </w:tc>
        <w:tc>
          <w:tcPr>
            <w:tcW w:w="146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98.1 %</w:t>
            </w:r>
          </w:p>
        </w:tc>
        <w:tc>
          <w:tcPr>
            <w:tcW w:w="152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94.9 %</w:t>
            </w:r>
          </w:p>
        </w:tc>
        <w:tc>
          <w:tcPr>
            <w:tcW w:w="1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98.6 %</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Total availability</w:t>
            </w:r>
          </w:p>
        </w:tc>
        <w:tc>
          <w:tcPr>
            <w:tcW w:w="1760" w:type="dxa"/>
            <w:vAlign w:val="bottom"/>
          </w:tcPr>
          <w:p>
            <w:pPr>
              <w:jc w:val="right"/>
              <w:ind w:right="219"/>
              <w:spacing w:after="0"/>
              <w:rPr>
                <w:sz w:val="20"/>
                <w:szCs w:val="20"/>
                <w:color w:val="auto"/>
              </w:rPr>
            </w:pPr>
            <w:r>
              <w:rPr>
                <w:rFonts w:ascii="Arial" w:cs="Arial" w:eastAsia="Arial" w:hAnsi="Arial"/>
                <w:sz w:val="16"/>
                <w:szCs w:val="16"/>
                <w:color w:val="auto"/>
              </w:rPr>
              <w:t>93.4 %</w:t>
            </w: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85.0 %</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90.3 %</w:t>
            </w:r>
          </w:p>
        </w:tc>
        <w:tc>
          <w:tcPr>
            <w:tcW w:w="1220" w:type="dxa"/>
            <w:vAlign w:val="bottom"/>
          </w:tcPr>
          <w:p>
            <w:pPr>
              <w:jc w:val="right"/>
              <w:spacing w:after="0"/>
              <w:rPr>
                <w:sz w:val="20"/>
                <w:szCs w:val="20"/>
                <w:color w:val="auto"/>
              </w:rPr>
            </w:pPr>
            <w:r>
              <w:rPr>
                <w:rFonts w:ascii="Arial" w:cs="Arial" w:eastAsia="Arial" w:hAnsi="Arial"/>
                <w:sz w:val="16"/>
                <w:szCs w:val="16"/>
                <w:color w:val="auto"/>
              </w:rPr>
              <w:t>86.0 %</w:t>
            </w:r>
          </w:p>
        </w:tc>
      </w:tr>
      <w:tr>
        <w:trPr>
          <w:trHeight w:val="165"/>
        </w:trPr>
        <w:tc>
          <w:tcPr>
            <w:tcW w:w="5280" w:type="dxa"/>
            <w:vAlign w:val="bottom"/>
            <w:shd w:val="clear" w:color="auto" w:fill="CEFFE7"/>
          </w:tcPr>
          <w:p>
            <w:pPr>
              <w:spacing w:after="0"/>
              <w:rPr>
                <w:sz w:val="14"/>
                <w:szCs w:val="14"/>
                <w:color w:val="auto"/>
              </w:rPr>
            </w:pPr>
          </w:p>
        </w:tc>
        <w:tc>
          <w:tcPr>
            <w:tcW w:w="1760" w:type="dxa"/>
            <w:vAlign w:val="bottom"/>
            <w:shd w:val="clear" w:color="auto" w:fill="CEFFE7"/>
          </w:tcPr>
          <w:p>
            <w:pPr>
              <w:spacing w:after="0"/>
              <w:rPr>
                <w:sz w:val="14"/>
                <w:szCs w:val="14"/>
                <w:color w:val="auto"/>
              </w:rPr>
            </w:pPr>
          </w:p>
        </w:tc>
        <w:tc>
          <w:tcPr>
            <w:tcW w:w="1460" w:type="dxa"/>
            <w:vAlign w:val="bottom"/>
            <w:shd w:val="clear" w:color="auto" w:fill="CEFFE7"/>
          </w:tcPr>
          <w:p>
            <w:pPr>
              <w:spacing w:after="0"/>
              <w:rPr>
                <w:sz w:val="14"/>
                <w:szCs w:val="14"/>
                <w:color w:val="auto"/>
              </w:rPr>
            </w:pPr>
          </w:p>
        </w:tc>
        <w:tc>
          <w:tcPr>
            <w:tcW w:w="1520" w:type="dxa"/>
            <w:vAlign w:val="bottom"/>
            <w:shd w:val="clear" w:color="auto" w:fill="CEFFE7"/>
          </w:tcPr>
          <w:p>
            <w:pPr>
              <w:spacing w:after="0"/>
              <w:rPr>
                <w:sz w:val="14"/>
                <w:szCs w:val="14"/>
                <w:color w:val="auto"/>
              </w:rPr>
            </w:pPr>
          </w:p>
        </w:tc>
        <w:tc>
          <w:tcPr>
            <w:tcW w:w="1220" w:type="dxa"/>
            <w:vAlign w:val="bottom"/>
            <w:shd w:val="clear" w:color="auto" w:fill="CEFFE7"/>
          </w:tcPr>
          <w:p>
            <w:pPr>
              <w:spacing w:after="0"/>
              <w:rPr>
                <w:sz w:val="14"/>
                <w:szCs w:val="14"/>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6"/>
                <w:szCs w:val="16"/>
                <w:color w:val="auto"/>
              </w:rPr>
              <w:t>Wind capacity factor</w:t>
            </w:r>
          </w:p>
        </w:tc>
        <w:tc>
          <w:tcPr>
            <w:tcW w:w="1760" w:type="dxa"/>
            <w:vAlign w:val="bottom"/>
          </w:tcPr>
          <w:p>
            <w:pPr>
              <w:jc w:val="right"/>
              <w:ind w:right="219"/>
              <w:spacing w:after="0"/>
              <w:rPr>
                <w:sz w:val="20"/>
                <w:szCs w:val="20"/>
                <w:color w:val="auto"/>
              </w:rPr>
            </w:pPr>
            <w:r>
              <w:rPr>
                <w:rFonts w:ascii="Arial" w:cs="Arial" w:eastAsia="Arial" w:hAnsi="Arial"/>
                <w:sz w:val="16"/>
                <w:szCs w:val="16"/>
                <w:color w:val="auto"/>
              </w:rPr>
              <w:t>36.9 %</w:t>
            </w: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39.0 %</w:t>
            </w:r>
          </w:p>
        </w:tc>
        <w:tc>
          <w:tcPr>
            <w:tcW w:w="1520" w:type="dxa"/>
            <w:vAlign w:val="bottom"/>
          </w:tcPr>
          <w:p>
            <w:pPr>
              <w:jc w:val="right"/>
              <w:ind w:right="199"/>
              <w:spacing w:after="0"/>
              <w:rPr>
                <w:sz w:val="20"/>
                <w:szCs w:val="20"/>
                <w:color w:val="auto"/>
              </w:rPr>
            </w:pPr>
            <w:r>
              <w:rPr>
                <w:rFonts w:ascii="Arial" w:cs="Arial" w:eastAsia="Arial" w:hAnsi="Arial"/>
                <w:sz w:val="16"/>
                <w:szCs w:val="16"/>
                <w:color w:val="auto"/>
              </w:rPr>
              <w:t>40.0 %</w:t>
            </w:r>
          </w:p>
        </w:tc>
        <w:tc>
          <w:tcPr>
            <w:tcW w:w="1220" w:type="dxa"/>
            <w:vAlign w:val="bottom"/>
          </w:tcPr>
          <w:p>
            <w:pPr>
              <w:jc w:val="right"/>
              <w:spacing w:after="0"/>
              <w:rPr>
                <w:sz w:val="20"/>
                <w:szCs w:val="20"/>
                <w:color w:val="auto"/>
              </w:rPr>
            </w:pPr>
            <w:r>
              <w:rPr>
                <w:rFonts w:ascii="Arial" w:cs="Arial" w:eastAsia="Arial" w:hAnsi="Arial"/>
                <w:sz w:val="16"/>
                <w:szCs w:val="16"/>
                <w:color w:val="auto"/>
              </w:rPr>
              <w:t>42.3 %</w:t>
            </w:r>
          </w:p>
        </w:tc>
      </w:tr>
      <w:tr>
        <w:trPr>
          <w:trHeight w:val="294"/>
        </w:trPr>
        <w:tc>
          <w:tcPr>
            <w:tcW w:w="5280" w:type="dxa"/>
            <w:vAlign w:val="bottom"/>
          </w:tcPr>
          <w:p>
            <w:pPr>
              <w:spacing w:after="0"/>
              <w:rPr>
                <w:sz w:val="20"/>
                <w:szCs w:val="20"/>
                <w:color w:val="auto"/>
              </w:rPr>
            </w:pPr>
            <w:r>
              <w:rPr>
                <w:rFonts w:ascii="Arial" w:cs="Arial" w:eastAsia="Arial" w:hAnsi="Arial"/>
                <w:sz w:val="16"/>
                <w:szCs w:val="16"/>
                <w:color w:val="auto"/>
              </w:rPr>
              <w:t>____________________</w:t>
            </w:r>
          </w:p>
        </w:tc>
        <w:tc>
          <w:tcPr>
            <w:tcW w:w="1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Availability and wind capacity factor are calculated using a weighted average based on capacity of our generating fleet.</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2021 included planned outages at Neil Simpson II, Wygen II, Wygen III and Pueblo Airport Generation and unplanned outages at Neil Simpson II and Wyodak Plant.</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2020 included an unplanned outage at Pueblo Airport Generation.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 Utilities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for the Gas Utilities were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6"/>
                <w:szCs w:val="16"/>
                <w:color w:val="auto"/>
              </w:rPr>
              <w:t>Three Months Ended June 30,</w:t>
            </w:r>
          </w:p>
        </w:tc>
        <w:tc>
          <w:tcPr>
            <w:tcW w:w="2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7"/>
          </w:tcPr>
          <w:p>
            <w:pPr>
              <w:jc w:val="right"/>
              <w:ind w:right="720"/>
              <w:spacing w:after="0"/>
              <w:rPr>
                <w:sz w:val="20"/>
                <w:szCs w:val="20"/>
                <w:color w:val="auto"/>
              </w:rPr>
            </w:pPr>
            <w:r>
              <w:rPr>
                <w:rFonts w:ascii="Arial" w:cs="Arial" w:eastAsia="Arial" w:hAnsi="Arial"/>
                <w:sz w:val="16"/>
                <w:szCs w:val="16"/>
                <w:color w:val="auto"/>
              </w:rPr>
              <w:t>Six Months Ended June 30,</w:t>
            </w:r>
          </w:p>
        </w:tc>
      </w:tr>
      <w:tr>
        <w:trPr>
          <w:trHeight w:val="207"/>
        </w:trPr>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2020</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Variance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color w:val="auto"/>
              </w:rPr>
              <w:t>Variance</w:t>
            </w:r>
          </w:p>
        </w:tc>
      </w:tr>
      <w:tr>
        <w:trPr>
          <w:trHeight w:val="199"/>
        </w:trPr>
        <w:tc>
          <w:tcPr>
            <w:tcW w:w="4440" w:type="dxa"/>
            <w:vAlign w:val="bottom"/>
            <w:gridSpan w:val="3"/>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40" w:type="dxa"/>
            <w:vAlign w:val="bottom"/>
            <w:shd w:val="clear" w:color="auto" w:fill="CEFFE7"/>
          </w:tcPr>
          <w:p>
            <w:pPr>
              <w:spacing w:after="0"/>
              <w:rPr>
                <w:sz w:val="19"/>
                <w:szCs w:val="19"/>
                <w:color w:val="auto"/>
              </w:rPr>
            </w:pPr>
          </w:p>
        </w:tc>
        <w:tc>
          <w:tcPr>
            <w:tcW w:w="4400" w:type="dxa"/>
            <w:vAlign w:val="bottom"/>
            <w:gridSpan w:val="2"/>
            <w:shd w:val="clear" w:color="auto" w:fill="CEFFE7"/>
          </w:tcPr>
          <w:p>
            <w:pPr>
              <w:ind w:left="100"/>
              <w:spacing w:after="0"/>
              <w:rPr>
                <w:sz w:val="20"/>
                <w:szCs w:val="20"/>
                <w:color w:val="auto"/>
              </w:rPr>
            </w:pPr>
            <w:r>
              <w:rPr>
                <w:rFonts w:ascii="Arial" w:cs="Arial" w:eastAsia="Arial" w:hAnsi="Arial"/>
                <w:sz w:val="16"/>
                <w:szCs w:val="16"/>
                <w:color w:val="auto"/>
              </w:rPr>
              <w:t>Natural gas - regulated</w:t>
            </w:r>
          </w:p>
        </w:tc>
        <w:tc>
          <w:tcPr>
            <w:tcW w:w="24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172,465</w:t>
            </w:r>
          </w:p>
        </w:tc>
        <w:tc>
          <w:tcPr>
            <w:tcW w:w="34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148,432</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24,033</w:t>
            </w:r>
          </w:p>
        </w:tc>
        <w:tc>
          <w:tcPr>
            <w:tcW w:w="24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550,542</w:t>
            </w:r>
          </w:p>
        </w:tc>
        <w:tc>
          <w:tcPr>
            <w:tcW w:w="300" w:type="dxa"/>
            <w:vAlign w:val="bottom"/>
            <w:gridSpan w:val="2"/>
            <w:shd w:val="clear" w:color="auto" w:fill="CEFFE7"/>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484,329</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66,213</w:t>
            </w:r>
          </w:p>
        </w:tc>
        <w:tc>
          <w:tcPr>
            <w:tcW w:w="20" w:type="dxa"/>
            <w:vAlign w:val="bottom"/>
            <w:shd w:val="clear" w:color="auto" w:fill="CEFFE7"/>
          </w:tcPr>
          <w:p>
            <w:pPr>
              <w:spacing w:after="0"/>
              <w:rPr>
                <w:sz w:val="19"/>
                <w:szCs w:val="19"/>
                <w:color w:val="auto"/>
              </w:rPr>
            </w:pPr>
          </w:p>
        </w:tc>
      </w:tr>
      <w:tr>
        <w:trPr>
          <w:trHeight w:val="213"/>
        </w:trPr>
        <w:tc>
          <w:tcPr>
            <w:tcW w:w="40" w:type="dxa"/>
            <w:vAlign w:val="bottom"/>
            <w:tcBorders>
              <w:bottom w:val="single" w:sz="8" w:color="CEFFE7"/>
            </w:tcBorders>
          </w:tcPr>
          <w:p>
            <w:pPr>
              <w:spacing w:after="0"/>
              <w:rPr>
                <w:sz w:val="18"/>
                <w:szCs w:val="18"/>
                <w:color w:val="auto"/>
              </w:rPr>
            </w:pPr>
          </w:p>
        </w:tc>
        <w:tc>
          <w:tcPr>
            <w:tcW w:w="4400" w:type="dxa"/>
            <w:vAlign w:val="bottom"/>
            <w:tcBorders>
              <w:bottom w:val="single" w:sz="8" w:color="CEFFE7"/>
            </w:tcBorders>
            <w:gridSpan w:val="2"/>
          </w:tcPr>
          <w:p>
            <w:pPr>
              <w:ind w:left="100"/>
              <w:spacing w:after="0"/>
              <w:rPr>
                <w:sz w:val="20"/>
                <w:szCs w:val="20"/>
                <w:color w:val="auto"/>
              </w:rPr>
            </w:pPr>
            <w:r>
              <w:rPr>
                <w:rFonts w:ascii="Arial" w:cs="Arial" w:eastAsia="Arial" w:hAnsi="Arial"/>
                <w:sz w:val="16"/>
                <w:szCs w:val="16"/>
                <w:color w:val="auto"/>
              </w:rPr>
              <w:t>Other - non-regulated services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13,585</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12,678</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38,027</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37,554</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20" w:type="dxa"/>
            <w:vAlign w:val="bottom"/>
            <w:tcBorders>
              <w:bottom w:val="single" w:sz="8" w:color="auto"/>
            </w:tcBorders>
          </w:tcPr>
          <w:p>
            <w:pPr>
              <w:spacing w:after="0"/>
              <w:rPr>
                <w:sz w:val="18"/>
                <w:szCs w:val="18"/>
                <w:color w:val="auto"/>
              </w:rPr>
            </w:pPr>
          </w:p>
        </w:tc>
      </w:tr>
      <w:tr>
        <w:trPr>
          <w:trHeight w:val="209"/>
        </w:trPr>
        <w:tc>
          <w:tcPr>
            <w:tcW w:w="40" w:type="dxa"/>
            <w:vAlign w:val="bottom"/>
            <w:shd w:val="clear" w:color="auto" w:fill="CEFFE7"/>
          </w:tcPr>
          <w:p>
            <w:pPr>
              <w:spacing w:after="0"/>
              <w:rPr>
                <w:sz w:val="18"/>
                <w:szCs w:val="18"/>
                <w:color w:val="auto"/>
              </w:rPr>
            </w:pPr>
          </w:p>
        </w:tc>
        <w:tc>
          <w:tcPr>
            <w:tcW w:w="4400" w:type="dxa"/>
            <w:vAlign w:val="bottom"/>
            <w:gridSpan w:val="2"/>
            <w:shd w:val="clear" w:color="auto" w:fill="CEFFE7"/>
          </w:tcPr>
          <w:p>
            <w:pPr>
              <w:ind w:left="52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186,050</w:t>
            </w:r>
          </w:p>
        </w:tc>
        <w:tc>
          <w:tcPr>
            <w:tcW w:w="34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161,110</w:t>
            </w:r>
          </w:p>
        </w:tc>
        <w:tc>
          <w:tcPr>
            <w:tcW w:w="20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24,940</w:t>
            </w:r>
          </w:p>
        </w:tc>
        <w:tc>
          <w:tcPr>
            <w:tcW w:w="24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588,569</w:t>
            </w:r>
          </w:p>
        </w:tc>
        <w:tc>
          <w:tcPr>
            <w:tcW w:w="80" w:type="dxa"/>
            <w:vAlign w:val="bottom"/>
            <w:tcBorders>
              <w:bottom w:val="single" w:sz="8" w:color="auto"/>
            </w:tcBorders>
            <w:shd w:val="clear" w:color="auto" w:fill="CEFFE7"/>
          </w:tcPr>
          <w:p>
            <w:pPr>
              <w:spacing w:after="0"/>
              <w:rPr>
                <w:sz w:val="18"/>
                <w:szCs w:val="18"/>
                <w:color w:val="auto"/>
              </w:rPr>
            </w:pPr>
          </w:p>
        </w:tc>
        <w:tc>
          <w:tcPr>
            <w:tcW w:w="22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521,883</w:t>
            </w:r>
          </w:p>
        </w:tc>
        <w:tc>
          <w:tcPr>
            <w:tcW w:w="20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66,686</w:t>
            </w:r>
          </w:p>
        </w:tc>
        <w:tc>
          <w:tcPr>
            <w:tcW w:w="20" w:type="dxa"/>
            <w:vAlign w:val="bottom"/>
            <w:tcBorders>
              <w:bottom w:val="single" w:sz="8" w:color="auto"/>
            </w:tcBorders>
            <w:shd w:val="clear" w:color="auto" w:fill="CEFFE7"/>
          </w:tcPr>
          <w:p>
            <w:pPr>
              <w:spacing w:after="0"/>
              <w:rPr>
                <w:sz w:val="18"/>
                <w:szCs w:val="18"/>
                <w:color w:val="auto"/>
              </w:rPr>
            </w:pPr>
          </w:p>
        </w:tc>
      </w:tr>
      <w:tr>
        <w:trPr>
          <w:trHeight w:val="240"/>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44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Cost of sales:</w:t>
            </w:r>
          </w:p>
        </w:tc>
        <w:tc>
          <w:tcPr>
            <w:tcW w:w="24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340" w:type="dxa"/>
            <w:vAlign w:val="bottom"/>
            <w:shd w:val="clear" w:color="auto" w:fill="CEFFE7"/>
          </w:tcPr>
          <w:p>
            <w:pPr>
              <w:spacing w:after="0"/>
              <w:rPr>
                <w:sz w:val="18"/>
                <w:szCs w:val="18"/>
                <w:color w:val="auto"/>
              </w:rPr>
            </w:pPr>
          </w:p>
        </w:tc>
        <w:tc>
          <w:tcPr>
            <w:tcW w:w="640" w:type="dxa"/>
            <w:vAlign w:val="bottom"/>
            <w:shd w:val="clear" w:color="auto" w:fill="CEFFE7"/>
          </w:tcPr>
          <w:p>
            <w:pPr>
              <w:spacing w:after="0"/>
              <w:rPr>
                <w:sz w:val="18"/>
                <w:szCs w:val="18"/>
                <w:color w:val="auto"/>
              </w:rPr>
            </w:pPr>
          </w:p>
        </w:tc>
        <w:tc>
          <w:tcPr>
            <w:tcW w:w="16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960" w:type="dxa"/>
            <w:vAlign w:val="bottom"/>
            <w:shd w:val="clear" w:color="auto" w:fill="CEFFE7"/>
          </w:tcPr>
          <w:p>
            <w:pPr>
              <w:spacing w:after="0"/>
              <w:rPr>
                <w:sz w:val="18"/>
                <w:szCs w:val="18"/>
                <w:color w:val="auto"/>
              </w:rPr>
            </w:pPr>
          </w:p>
        </w:tc>
        <w:tc>
          <w:tcPr>
            <w:tcW w:w="240" w:type="dxa"/>
            <w:vAlign w:val="bottom"/>
            <w:shd w:val="clear" w:color="auto" w:fill="CEFFE7"/>
          </w:tcPr>
          <w:p>
            <w:pPr>
              <w:spacing w:after="0"/>
              <w:rPr>
                <w:sz w:val="18"/>
                <w:szCs w:val="18"/>
                <w:color w:val="auto"/>
              </w:rPr>
            </w:pPr>
          </w:p>
        </w:tc>
        <w:tc>
          <w:tcPr>
            <w:tcW w:w="860" w:type="dxa"/>
            <w:vAlign w:val="bottom"/>
            <w:shd w:val="clear" w:color="auto" w:fill="CEFFE7"/>
          </w:tcPr>
          <w:p>
            <w:pPr>
              <w:spacing w:after="0"/>
              <w:rPr>
                <w:sz w:val="18"/>
                <w:szCs w:val="18"/>
                <w:color w:val="auto"/>
              </w:rPr>
            </w:pPr>
          </w:p>
        </w:tc>
        <w:tc>
          <w:tcPr>
            <w:tcW w:w="80" w:type="dxa"/>
            <w:vAlign w:val="bottom"/>
            <w:shd w:val="clear" w:color="auto" w:fill="CEFFE7"/>
          </w:tcPr>
          <w:p>
            <w:pPr>
              <w:spacing w:after="0"/>
              <w:rPr>
                <w:sz w:val="18"/>
                <w:szCs w:val="18"/>
                <w:color w:val="auto"/>
              </w:rPr>
            </w:pPr>
          </w:p>
        </w:tc>
        <w:tc>
          <w:tcPr>
            <w:tcW w:w="220" w:type="dxa"/>
            <w:vAlign w:val="bottom"/>
            <w:shd w:val="clear" w:color="auto" w:fill="CEFFE7"/>
          </w:tcPr>
          <w:p>
            <w:pPr>
              <w:spacing w:after="0"/>
              <w:rPr>
                <w:sz w:val="18"/>
                <w:szCs w:val="18"/>
                <w:color w:val="auto"/>
              </w:rPr>
            </w:pPr>
          </w:p>
        </w:tc>
        <w:tc>
          <w:tcPr>
            <w:tcW w:w="84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940" w:type="dxa"/>
            <w:vAlign w:val="bottom"/>
            <w:shd w:val="clear" w:color="auto" w:fill="CEFFE7"/>
          </w:tcPr>
          <w:p>
            <w:pPr>
              <w:spacing w:after="0"/>
              <w:rPr>
                <w:sz w:val="18"/>
                <w:szCs w:val="18"/>
                <w:color w:val="auto"/>
              </w:rPr>
            </w:pPr>
          </w:p>
        </w:tc>
        <w:tc>
          <w:tcPr>
            <w:tcW w:w="20" w:type="dxa"/>
            <w:vAlign w:val="bottom"/>
            <w:shd w:val="clear" w:color="auto" w:fill="CEFFE7"/>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4400" w:type="dxa"/>
            <w:vAlign w:val="bottom"/>
            <w:gridSpan w:val="2"/>
          </w:tcPr>
          <w:p>
            <w:pPr>
              <w:ind w:left="100"/>
              <w:spacing w:after="0"/>
              <w:rPr>
                <w:sz w:val="20"/>
                <w:szCs w:val="20"/>
                <w:color w:val="auto"/>
              </w:rPr>
            </w:pPr>
            <w:r>
              <w:rPr>
                <w:rFonts w:ascii="Arial" w:cs="Arial" w:eastAsia="Arial" w:hAnsi="Arial"/>
                <w:sz w:val="16"/>
                <w:szCs w:val="16"/>
                <w:color w:val="auto"/>
              </w:rPr>
              <w:t>Natural gas - regulated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62,317</w:t>
            </w:r>
          </w:p>
        </w:tc>
        <w:tc>
          <w:tcPr>
            <w:tcW w:w="3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42,910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19,407</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245,284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196,909</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48,375</w:t>
            </w:r>
          </w:p>
        </w:tc>
        <w:tc>
          <w:tcPr>
            <w:tcW w:w="20" w:type="dxa"/>
            <w:vAlign w:val="bottom"/>
          </w:tcPr>
          <w:p>
            <w:pPr>
              <w:spacing w:after="0"/>
              <w:rPr>
                <w:sz w:val="18"/>
                <w:szCs w:val="18"/>
                <w:color w:val="auto"/>
              </w:rPr>
            </w:pPr>
          </w:p>
        </w:tc>
      </w:tr>
      <w:tr>
        <w:trPr>
          <w:trHeight w:val="216"/>
        </w:trPr>
        <w:tc>
          <w:tcPr>
            <w:tcW w:w="40" w:type="dxa"/>
            <w:vAlign w:val="bottom"/>
            <w:shd w:val="clear" w:color="auto" w:fill="CEFFE7"/>
          </w:tcPr>
          <w:p>
            <w:pPr>
              <w:spacing w:after="0"/>
              <w:rPr>
                <w:sz w:val="18"/>
                <w:szCs w:val="18"/>
                <w:color w:val="auto"/>
              </w:rPr>
            </w:pPr>
          </w:p>
        </w:tc>
        <w:tc>
          <w:tcPr>
            <w:tcW w:w="4400" w:type="dxa"/>
            <w:vAlign w:val="bottom"/>
            <w:gridSpan w:val="2"/>
            <w:shd w:val="clear" w:color="auto" w:fill="CEFFE7"/>
          </w:tcPr>
          <w:p>
            <w:pPr>
              <w:ind w:left="100"/>
              <w:spacing w:after="0"/>
              <w:rPr>
                <w:sz w:val="20"/>
                <w:szCs w:val="20"/>
                <w:color w:val="auto"/>
              </w:rPr>
            </w:pPr>
            <w:r>
              <w:rPr>
                <w:rFonts w:ascii="Arial" w:cs="Arial" w:eastAsia="Arial" w:hAnsi="Arial"/>
                <w:sz w:val="16"/>
                <w:szCs w:val="16"/>
                <w:color w:val="auto"/>
              </w:rPr>
              <w:t>Other - non-regulated services</w:t>
            </w:r>
          </w:p>
        </w:tc>
        <w:tc>
          <w:tcPr>
            <w:tcW w:w="24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798</w:t>
            </w:r>
          </w:p>
        </w:tc>
        <w:tc>
          <w:tcPr>
            <w:tcW w:w="34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1,712</w:t>
            </w:r>
          </w:p>
        </w:tc>
        <w:tc>
          <w:tcPr>
            <w:tcW w:w="20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(914)</w:t>
            </w:r>
          </w:p>
        </w:tc>
        <w:tc>
          <w:tcPr>
            <w:tcW w:w="24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10,881</w:t>
            </w:r>
          </w:p>
        </w:tc>
        <w:tc>
          <w:tcPr>
            <w:tcW w:w="80" w:type="dxa"/>
            <w:vAlign w:val="bottom"/>
            <w:tcBorders>
              <w:bottom w:val="single" w:sz="8" w:color="auto"/>
            </w:tcBorders>
            <w:shd w:val="clear" w:color="auto" w:fill="CEFFE7"/>
          </w:tcPr>
          <w:p>
            <w:pPr>
              <w:spacing w:after="0"/>
              <w:rPr>
                <w:sz w:val="18"/>
                <w:szCs w:val="18"/>
                <w:color w:val="auto"/>
              </w:rPr>
            </w:pPr>
          </w:p>
        </w:tc>
        <w:tc>
          <w:tcPr>
            <w:tcW w:w="22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3,074</w:t>
            </w:r>
          </w:p>
        </w:tc>
        <w:tc>
          <w:tcPr>
            <w:tcW w:w="20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7,807</w:t>
            </w:r>
          </w:p>
        </w:tc>
        <w:tc>
          <w:tcPr>
            <w:tcW w:w="20" w:type="dxa"/>
            <w:vAlign w:val="bottom"/>
            <w:tcBorders>
              <w:bottom w:val="single" w:sz="8" w:color="auto"/>
            </w:tcBorders>
            <w:shd w:val="clear" w:color="auto" w:fill="CEFFE7"/>
          </w:tcPr>
          <w:p>
            <w:pPr>
              <w:spacing w:after="0"/>
              <w:rPr>
                <w:sz w:val="18"/>
                <w:szCs w:val="18"/>
                <w:color w:val="auto"/>
              </w:rPr>
            </w:pPr>
          </w:p>
        </w:tc>
      </w:tr>
      <w:tr>
        <w:trPr>
          <w:trHeight w:val="209"/>
        </w:trPr>
        <w:tc>
          <w:tcPr>
            <w:tcW w:w="40" w:type="dxa"/>
            <w:vAlign w:val="bottom"/>
            <w:tcBorders>
              <w:bottom w:val="single" w:sz="8" w:color="CEFFE7"/>
            </w:tcBorders>
          </w:tcPr>
          <w:p>
            <w:pPr>
              <w:spacing w:after="0"/>
              <w:rPr>
                <w:sz w:val="18"/>
                <w:szCs w:val="18"/>
                <w:color w:val="auto"/>
              </w:rPr>
            </w:pPr>
          </w:p>
        </w:tc>
        <w:tc>
          <w:tcPr>
            <w:tcW w:w="4400" w:type="dxa"/>
            <w:vAlign w:val="bottom"/>
            <w:tcBorders>
              <w:bottom w:val="single" w:sz="8" w:color="CEFFE7"/>
            </w:tcBorders>
            <w:gridSpan w:val="2"/>
          </w:tcPr>
          <w:p>
            <w:pPr>
              <w:ind w:left="520"/>
              <w:spacing w:after="0"/>
              <w:rPr>
                <w:sz w:val="20"/>
                <w:szCs w:val="20"/>
                <w:color w:val="auto"/>
              </w:rPr>
            </w:pPr>
            <w:r>
              <w:rPr>
                <w:rFonts w:ascii="Arial" w:cs="Arial" w:eastAsia="Arial" w:hAnsi="Arial"/>
                <w:sz w:val="16"/>
                <w:szCs w:val="16"/>
                <w:color w:val="auto"/>
              </w:rPr>
              <w:t>Total cost of sales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63,115</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44,622</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18,493</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256,165</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199,983</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56,182</w:t>
            </w:r>
          </w:p>
        </w:tc>
        <w:tc>
          <w:tcPr>
            <w:tcW w:w="20" w:type="dxa"/>
            <w:vAlign w:val="bottom"/>
            <w:tcBorders>
              <w:bottom w:val="single" w:sz="8" w:color="auto"/>
            </w:tcBorders>
          </w:tcPr>
          <w:p>
            <w:pPr>
              <w:spacing w:after="0"/>
              <w:rPr>
                <w:sz w:val="18"/>
                <w:szCs w:val="18"/>
                <w:color w:val="auto"/>
              </w:rPr>
            </w:pPr>
          </w:p>
        </w:tc>
      </w:tr>
      <w:tr>
        <w:trPr>
          <w:trHeight w:val="239"/>
        </w:trPr>
        <w:tc>
          <w:tcPr>
            <w:tcW w:w="40" w:type="dxa"/>
            <w:vAlign w:val="bottom"/>
            <w:shd w:val="clear" w:color="auto" w:fill="CEFFE7"/>
          </w:tcPr>
          <w:p>
            <w:pPr>
              <w:spacing w:after="0"/>
              <w:rPr>
                <w:sz w:val="20"/>
                <w:szCs w:val="20"/>
                <w:color w:val="auto"/>
              </w:rPr>
            </w:pPr>
          </w:p>
        </w:tc>
        <w:tc>
          <w:tcPr>
            <w:tcW w:w="940" w:type="dxa"/>
            <w:vAlign w:val="bottom"/>
            <w:shd w:val="clear" w:color="auto" w:fill="CEFFE7"/>
          </w:tcPr>
          <w:p>
            <w:pPr>
              <w:spacing w:after="0"/>
              <w:rPr>
                <w:sz w:val="20"/>
                <w:szCs w:val="20"/>
                <w:color w:val="auto"/>
              </w:rPr>
            </w:pPr>
          </w:p>
        </w:tc>
        <w:tc>
          <w:tcPr>
            <w:tcW w:w="3460" w:type="dxa"/>
            <w:vAlign w:val="bottom"/>
            <w:shd w:val="clear" w:color="auto" w:fill="CEFFE7"/>
          </w:tcPr>
          <w:p>
            <w:pPr>
              <w:spacing w:after="0"/>
              <w:rPr>
                <w:sz w:val="20"/>
                <w:szCs w:val="20"/>
                <w:color w:val="auto"/>
              </w:rPr>
            </w:pPr>
          </w:p>
        </w:tc>
        <w:tc>
          <w:tcPr>
            <w:tcW w:w="240" w:type="dxa"/>
            <w:vAlign w:val="bottom"/>
            <w:tcBorders>
              <w:bottom w:val="single" w:sz="8" w:color="auto"/>
            </w:tcBorders>
            <w:shd w:val="clear" w:color="auto" w:fill="CEFFE7"/>
          </w:tcPr>
          <w:p>
            <w:pPr>
              <w:spacing w:after="0"/>
              <w:rPr>
                <w:sz w:val="20"/>
                <w:szCs w:val="20"/>
                <w:color w:val="auto"/>
              </w:rPr>
            </w:pPr>
          </w:p>
        </w:tc>
        <w:tc>
          <w:tcPr>
            <w:tcW w:w="860" w:type="dxa"/>
            <w:vAlign w:val="bottom"/>
            <w:tcBorders>
              <w:bottom w:val="single" w:sz="8" w:color="auto"/>
            </w:tcBorders>
            <w:shd w:val="clear" w:color="auto" w:fill="CEFFE7"/>
          </w:tcPr>
          <w:p>
            <w:pPr>
              <w:spacing w:after="0"/>
              <w:rPr>
                <w:sz w:val="20"/>
                <w:szCs w:val="20"/>
                <w:color w:val="auto"/>
              </w:rPr>
            </w:pPr>
          </w:p>
        </w:tc>
        <w:tc>
          <w:tcPr>
            <w:tcW w:w="340" w:type="dxa"/>
            <w:vAlign w:val="bottom"/>
            <w:tcBorders>
              <w:bottom w:val="single" w:sz="8" w:color="auto"/>
            </w:tcBorders>
            <w:shd w:val="clear" w:color="auto" w:fill="CEFFE7"/>
          </w:tcPr>
          <w:p>
            <w:pPr>
              <w:spacing w:after="0"/>
              <w:rPr>
                <w:sz w:val="20"/>
                <w:szCs w:val="20"/>
                <w:color w:val="auto"/>
              </w:rPr>
            </w:pPr>
          </w:p>
        </w:tc>
        <w:tc>
          <w:tcPr>
            <w:tcW w:w="640" w:type="dxa"/>
            <w:vAlign w:val="bottom"/>
            <w:tcBorders>
              <w:bottom w:val="single" w:sz="8" w:color="auto"/>
            </w:tcBorders>
            <w:shd w:val="clear" w:color="auto" w:fill="CEFFE7"/>
          </w:tcPr>
          <w:p>
            <w:pPr>
              <w:spacing w:after="0"/>
              <w:rPr>
                <w:sz w:val="20"/>
                <w:szCs w:val="20"/>
                <w:color w:val="auto"/>
              </w:rPr>
            </w:pPr>
          </w:p>
        </w:tc>
        <w:tc>
          <w:tcPr>
            <w:tcW w:w="160" w:type="dxa"/>
            <w:vAlign w:val="bottom"/>
            <w:tcBorders>
              <w:bottom w:val="single" w:sz="8" w:color="auto"/>
            </w:tcBorders>
            <w:shd w:val="clear" w:color="auto" w:fill="CEFFE7"/>
          </w:tcPr>
          <w:p>
            <w:pPr>
              <w:spacing w:after="0"/>
              <w:rPr>
                <w:sz w:val="20"/>
                <w:szCs w:val="20"/>
                <w:color w:val="auto"/>
              </w:rPr>
            </w:pPr>
          </w:p>
        </w:tc>
        <w:tc>
          <w:tcPr>
            <w:tcW w:w="200" w:type="dxa"/>
            <w:vAlign w:val="bottom"/>
            <w:tcBorders>
              <w:bottom w:val="single" w:sz="8" w:color="auto"/>
            </w:tcBorders>
            <w:shd w:val="clear" w:color="auto" w:fill="CEFFE7"/>
          </w:tcPr>
          <w:p>
            <w:pPr>
              <w:spacing w:after="0"/>
              <w:rPr>
                <w:sz w:val="20"/>
                <w:szCs w:val="20"/>
                <w:color w:val="auto"/>
              </w:rPr>
            </w:pPr>
          </w:p>
        </w:tc>
        <w:tc>
          <w:tcPr>
            <w:tcW w:w="960" w:type="dxa"/>
            <w:vAlign w:val="bottom"/>
            <w:tcBorders>
              <w:bottom w:val="single" w:sz="8" w:color="auto"/>
            </w:tcBorders>
            <w:shd w:val="clear" w:color="auto" w:fill="CEFFE7"/>
          </w:tcPr>
          <w:p>
            <w:pPr>
              <w:spacing w:after="0"/>
              <w:rPr>
                <w:sz w:val="20"/>
                <w:szCs w:val="20"/>
                <w:color w:val="auto"/>
              </w:rPr>
            </w:pPr>
          </w:p>
        </w:tc>
        <w:tc>
          <w:tcPr>
            <w:tcW w:w="240" w:type="dxa"/>
            <w:vAlign w:val="bottom"/>
            <w:tcBorders>
              <w:bottom w:val="single" w:sz="8" w:color="auto"/>
            </w:tcBorders>
            <w:shd w:val="clear" w:color="auto" w:fill="CEFFE7"/>
          </w:tcPr>
          <w:p>
            <w:pPr>
              <w:spacing w:after="0"/>
              <w:rPr>
                <w:sz w:val="20"/>
                <w:szCs w:val="20"/>
                <w:color w:val="auto"/>
              </w:rPr>
            </w:pPr>
          </w:p>
        </w:tc>
        <w:tc>
          <w:tcPr>
            <w:tcW w:w="860" w:type="dxa"/>
            <w:vAlign w:val="bottom"/>
            <w:tcBorders>
              <w:bottom w:val="single" w:sz="8" w:color="auto"/>
            </w:tcBorders>
            <w:shd w:val="clear" w:color="auto" w:fill="CEFFE7"/>
          </w:tcPr>
          <w:p>
            <w:pPr>
              <w:spacing w:after="0"/>
              <w:rPr>
                <w:sz w:val="20"/>
                <w:szCs w:val="20"/>
                <w:color w:val="auto"/>
              </w:rPr>
            </w:pPr>
          </w:p>
        </w:tc>
        <w:tc>
          <w:tcPr>
            <w:tcW w:w="80" w:type="dxa"/>
            <w:vAlign w:val="bottom"/>
            <w:tcBorders>
              <w:bottom w:val="single" w:sz="8" w:color="auto"/>
            </w:tcBorders>
            <w:shd w:val="clear" w:color="auto" w:fill="CEFFE7"/>
          </w:tcPr>
          <w:p>
            <w:pPr>
              <w:spacing w:after="0"/>
              <w:rPr>
                <w:sz w:val="20"/>
                <w:szCs w:val="20"/>
                <w:color w:val="auto"/>
              </w:rPr>
            </w:pPr>
          </w:p>
        </w:tc>
        <w:tc>
          <w:tcPr>
            <w:tcW w:w="220" w:type="dxa"/>
            <w:vAlign w:val="bottom"/>
            <w:tcBorders>
              <w:bottom w:val="single" w:sz="8" w:color="auto"/>
            </w:tcBorders>
            <w:shd w:val="clear" w:color="auto" w:fill="CEFFE7"/>
          </w:tcPr>
          <w:p>
            <w:pPr>
              <w:spacing w:after="0"/>
              <w:rPr>
                <w:sz w:val="20"/>
                <w:szCs w:val="20"/>
                <w:color w:val="auto"/>
              </w:rPr>
            </w:pPr>
          </w:p>
        </w:tc>
        <w:tc>
          <w:tcPr>
            <w:tcW w:w="840" w:type="dxa"/>
            <w:vAlign w:val="bottom"/>
            <w:tcBorders>
              <w:bottom w:val="single" w:sz="8" w:color="auto"/>
            </w:tcBorders>
            <w:shd w:val="clear" w:color="auto" w:fill="CEFFE7"/>
          </w:tcPr>
          <w:p>
            <w:pPr>
              <w:spacing w:after="0"/>
              <w:rPr>
                <w:sz w:val="20"/>
                <w:szCs w:val="20"/>
                <w:color w:val="auto"/>
              </w:rPr>
            </w:pPr>
          </w:p>
        </w:tc>
        <w:tc>
          <w:tcPr>
            <w:tcW w:w="200" w:type="dxa"/>
            <w:vAlign w:val="bottom"/>
            <w:tcBorders>
              <w:bottom w:val="single" w:sz="8" w:color="auto"/>
            </w:tcBorders>
            <w:shd w:val="clear" w:color="auto" w:fill="CEFFE7"/>
          </w:tcPr>
          <w:p>
            <w:pPr>
              <w:spacing w:after="0"/>
              <w:rPr>
                <w:sz w:val="20"/>
                <w:szCs w:val="20"/>
                <w:color w:val="auto"/>
              </w:rPr>
            </w:pPr>
          </w:p>
        </w:tc>
        <w:tc>
          <w:tcPr>
            <w:tcW w:w="940" w:type="dxa"/>
            <w:vAlign w:val="bottom"/>
            <w:tcBorders>
              <w:bottom w:val="single" w:sz="8" w:color="auto"/>
            </w:tcBorders>
            <w:shd w:val="clear" w:color="auto" w:fill="CEFFE7"/>
          </w:tcPr>
          <w:p>
            <w:pPr>
              <w:spacing w:after="0"/>
              <w:rPr>
                <w:sz w:val="20"/>
                <w:szCs w:val="20"/>
                <w:color w:val="auto"/>
              </w:rPr>
            </w:pPr>
          </w:p>
        </w:tc>
        <w:tc>
          <w:tcPr>
            <w:tcW w:w="20" w:type="dxa"/>
            <w:vAlign w:val="bottom"/>
            <w:tcBorders>
              <w:bottom w:val="single" w:sz="8" w:color="auto"/>
            </w:tcBorders>
            <w:shd w:val="clear" w:color="auto" w:fill="CEFFE7"/>
          </w:tcPr>
          <w:p>
            <w:pPr>
              <w:spacing w:after="0"/>
              <w:rPr>
                <w:sz w:val="20"/>
                <w:szCs w:val="20"/>
                <w:color w:val="auto"/>
              </w:rPr>
            </w:pPr>
          </w:p>
        </w:tc>
      </w:tr>
      <w:tr>
        <w:trPr>
          <w:trHeight w:val="206"/>
        </w:trPr>
        <w:tc>
          <w:tcPr>
            <w:tcW w:w="4440" w:type="dxa"/>
            <w:vAlign w:val="bottom"/>
            <w:tcBorders>
              <w:bottom w:val="single" w:sz="8" w:color="CEFFE7"/>
            </w:tcBorders>
            <w:gridSpan w:val="3"/>
          </w:tcPr>
          <w:p>
            <w:pPr>
              <w:ind w:left="20"/>
              <w:spacing w:after="0"/>
              <w:rPr>
                <w:sz w:val="20"/>
                <w:szCs w:val="20"/>
                <w:color w:val="auto"/>
              </w:rPr>
            </w:pPr>
            <w:r>
              <w:rPr>
                <w:rFonts w:ascii="Arial" w:cs="Arial" w:eastAsia="Arial" w:hAnsi="Arial"/>
                <w:sz w:val="16"/>
                <w:szCs w:val="16"/>
                <w:color w:val="auto"/>
              </w:rPr>
              <w:t>Gross margin (non-GAAP)</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122,935</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116,488</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6,447</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332,404</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321,900</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10,504</w:t>
            </w:r>
          </w:p>
        </w:tc>
        <w:tc>
          <w:tcPr>
            <w:tcW w:w="20" w:type="dxa"/>
            <w:vAlign w:val="bottom"/>
            <w:tcBorders>
              <w:bottom w:val="single" w:sz="8" w:color="auto"/>
            </w:tcBorders>
          </w:tcPr>
          <w:p>
            <w:pPr>
              <w:spacing w:after="0"/>
              <w:rPr>
                <w:sz w:val="17"/>
                <w:szCs w:val="17"/>
                <w:color w:val="auto"/>
              </w:rPr>
            </w:pPr>
          </w:p>
        </w:tc>
      </w:tr>
      <w:tr>
        <w:trPr>
          <w:trHeight w:val="240"/>
        </w:trPr>
        <w:tc>
          <w:tcPr>
            <w:tcW w:w="40" w:type="dxa"/>
            <w:vAlign w:val="bottom"/>
            <w:shd w:val="clear" w:color="auto" w:fill="CEFFE7"/>
          </w:tcPr>
          <w:p>
            <w:pPr>
              <w:spacing w:after="0"/>
              <w:rPr>
                <w:sz w:val="20"/>
                <w:szCs w:val="20"/>
                <w:color w:val="auto"/>
              </w:rPr>
            </w:pPr>
          </w:p>
        </w:tc>
        <w:tc>
          <w:tcPr>
            <w:tcW w:w="940" w:type="dxa"/>
            <w:vAlign w:val="bottom"/>
            <w:shd w:val="clear" w:color="auto" w:fill="CEFFE7"/>
          </w:tcPr>
          <w:p>
            <w:pPr>
              <w:spacing w:after="0"/>
              <w:rPr>
                <w:sz w:val="20"/>
                <w:szCs w:val="20"/>
                <w:color w:val="auto"/>
              </w:rPr>
            </w:pPr>
          </w:p>
        </w:tc>
        <w:tc>
          <w:tcPr>
            <w:tcW w:w="3460" w:type="dxa"/>
            <w:vAlign w:val="bottom"/>
            <w:shd w:val="clear" w:color="auto" w:fill="CEFFE7"/>
          </w:tcPr>
          <w:p>
            <w:pPr>
              <w:spacing w:after="0"/>
              <w:rPr>
                <w:sz w:val="20"/>
                <w:szCs w:val="20"/>
                <w:color w:val="auto"/>
              </w:rPr>
            </w:pPr>
          </w:p>
        </w:tc>
        <w:tc>
          <w:tcPr>
            <w:tcW w:w="240" w:type="dxa"/>
            <w:vAlign w:val="bottom"/>
            <w:shd w:val="clear" w:color="auto" w:fill="CEFFE7"/>
          </w:tcPr>
          <w:p>
            <w:pPr>
              <w:spacing w:after="0"/>
              <w:rPr>
                <w:sz w:val="20"/>
                <w:szCs w:val="20"/>
                <w:color w:val="auto"/>
              </w:rPr>
            </w:pPr>
          </w:p>
        </w:tc>
        <w:tc>
          <w:tcPr>
            <w:tcW w:w="860" w:type="dxa"/>
            <w:vAlign w:val="bottom"/>
            <w:shd w:val="clear" w:color="auto" w:fill="CEFFE7"/>
          </w:tcPr>
          <w:p>
            <w:pPr>
              <w:spacing w:after="0"/>
              <w:rPr>
                <w:sz w:val="20"/>
                <w:szCs w:val="20"/>
                <w:color w:val="auto"/>
              </w:rPr>
            </w:pPr>
          </w:p>
        </w:tc>
        <w:tc>
          <w:tcPr>
            <w:tcW w:w="340" w:type="dxa"/>
            <w:vAlign w:val="bottom"/>
            <w:shd w:val="clear" w:color="auto" w:fill="CEFFE7"/>
          </w:tcPr>
          <w:p>
            <w:pPr>
              <w:spacing w:after="0"/>
              <w:rPr>
                <w:sz w:val="20"/>
                <w:szCs w:val="20"/>
                <w:color w:val="auto"/>
              </w:rPr>
            </w:pPr>
          </w:p>
        </w:tc>
        <w:tc>
          <w:tcPr>
            <w:tcW w:w="640" w:type="dxa"/>
            <w:vAlign w:val="bottom"/>
            <w:shd w:val="clear" w:color="auto" w:fill="CEFFE7"/>
          </w:tcPr>
          <w:p>
            <w:pPr>
              <w:spacing w:after="0"/>
              <w:rPr>
                <w:sz w:val="20"/>
                <w:szCs w:val="20"/>
                <w:color w:val="auto"/>
              </w:rPr>
            </w:pPr>
          </w:p>
        </w:tc>
        <w:tc>
          <w:tcPr>
            <w:tcW w:w="160" w:type="dxa"/>
            <w:vAlign w:val="bottom"/>
            <w:shd w:val="clear" w:color="auto" w:fill="CEFFE7"/>
          </w:tcPr>
          <w:p>
            <w:pPr>
              <w:spacing w:after="0"/>
              <w:rPr>
                <w:sz w:val="20"/>
                <w:szCs w:val="20"/>
                <w:color w:val="auto"/>
              </w:rPr>
            </w:pPr>
          </w:p>
        </w:tc>
        <w:tc>
          <w:tcPr>
            <w:tcW w:w="200" w:type="dxa"/>
            <w:vAlign w:val="bottom"/>
            <w:shd w:val="clear" w:color="auto" w:fill="CEFFE7"/>
          </w:tcPr>
          <w:p>
            <w:pPr>
              <w:spacing w:after="0"/>
              <w:rPr>
                <w:sz w:val="20"/>
                <w:szCs w:val="20"/>
                <w:color w:val="auto"/>
              </w:rPr>
            </w:pPr>
          </w:p>
        </w:tc>
        <w:tc>
          <w:tcPr>
            <w:tcW w:w="960" w:type="dxa"/>
            <w:vAlign w:val="bottom"/>
            <w:shd w:val="clear" w:color="auto" w:fill="CEFFE7"/>
          </w:tcPr>
          <w:p>
            <w:pPr>
              <w:spacing w:after="0"/>
              <w:rPr>
                <w:sz w:val="20"/>
                <w:szCs w:val="20"/>
                <w:color w:val="auto"/>
              </w:rPr>
            </w:pPr>
          </w:p>
        </w:tc>
        <w:tc>
          <w:tcPr>
            <w:tcW w:w="240" w:type="dxa"/>
            <w:vAlign w:val="bottom"/>
            <w:shd w:val="clear" w:color="auto" w:fill="CEFFE7"/>
          </w:tcPr>
          <w:p>
            <w:pPr>
              <w:spacing w:after="0"/>
              <w:rPr>
                <w:sz w:val="20"/>
                <w:szCs w:val="20"/>
                <w:color w:val="auto"/>
              </w:rPr>
            </w:pPr>
          </w:p>
        </w:tc>
        <w:tc>
          <w:tcPr>
            <w:tcW w:w="860" w:type="dxa"/>
            <w:vAlign w:val="bottom"/>
            <w:shd w:val="clear" w:color="auto" w:fill="CEFFE7"/>
          </w:tcPr>
          <w:p>
            <w:pPr>
              <w:spacing w:after="0"/>
              <w:rPr>
                <w:sz w:val="20"/>
                <w:szCs w:val="20"/>
                <w:color w:val="auto"/>
              </w:rPr>
            </w:pPr>
          </w:p>
        </w:tc>
        <w:tc>
          <w:tcPr>
            <w:tcW w:w="80" w:type="dxa"/>
            <w:vAlign w:val="bottom"/>
            <w:shd w:val="clear" w:color="auto" w:fill="CEFFE7"/>
          </w:tcPr>
          <w:p>
            <w:pPr>
              <w:spacing w:after="0"/>
              <w:rPr>
                <w:sz w:val="20"/>
                <w:szCs w:val="20"/>
                <w:color w:val="auto"/>
              </w:rPr>
            </w:pPr>
          </w:p>
        </w:tc>
        <w:tc>
          <w:tcPr>
            <w:tcW w:w="220" w:type="dxa"/>
            <w:vAlign w:val="bottom"/>
            <w:shd w:val="clear" w:color="auto" w:fill="CEFFE7"/>
          </w:tcPr>
          <w:p>
            <w:pPr>
              <w:spacing w:after="0"/>
              <w:rPr>
                <w:sz w:val="20"/>
                <w:szCs w:val="20"/>
                <w:color w:val="auto"/>
              </w:rPr>
            </w:pPr>
          </w:p>
        </w:tc>
        <w:tc>
          <w:tcPr>
            <w:tcW w:w="840" w:type="dxa"/>
            <w:vAlign w:val="bottom"/>
            <w:shd w:val="clear" w:color="auto" w:fill="CEFFE7"/>
          </w:tcPr>
          <w:p>
            <w:pPr>
              <w:spacing w:after="0"/>
              <w:rPr>
                <w:sz w:val="20"/>
                <w:szCs w:val="20"/>
                <w:color w:val="auto"/>
              </w:rPr>
            </w:pPr>
          </w:p>
        </w:tc>
        <w:tc>
          <w:tcPr>
            <w:tcW w:w="200" w:type="dxa"/>
            <w:vAlign w:val="bottom"/>
            <w:shd w:val="clear" w:color="auto" w:fill="CEFFE7"/>
          </w:tcPr>
          <w:p>
            <w:pPr>
              <w:spacing w:after="0"/>
              <w:rPr>
                <w:sz w:val="20"/>
                <w:szCs w:val="20"/>
                <w:color w:val="auto"/>
              </w:rPr>
            </w:pPr>
          </w:p>
        </w:tc>
        <w:tc>
          <w:tcPr>
            <w:tcW w:w="940" w:type="dxa"/>
            <w:vAlign w:val="bottom"/>
            <w:shd w:val="clear" w:color="auto" w:fill="CEFFE7"/>
          </w:tcPr>
          <w:p>
            <w:pPr>
              <w:spacing w:after="0"/>
              <w:rPr>
                <w:sz w:val="20"/>
                <w:szCs w:val="20"/>
                <w:color w:val="auto"/>
              </w:rPr>
            </w:pPr>
          </w:p>
        </w:tc>
        <w:tc>
          <w:tcPr>
            <w:tcW w:w="20" w:type="dxa"/>
            <w:vAlign w:val="bottom"/>
            <w:shd w:val="clear" w:color="auto" w:fill="CEFFE7"/>
          </w:tcPr>
          <w:p>
            <w:pPr>
              <w:spacing w:after="0"/>
              <w:rPr>
                <w:sz w:val="20"/>
                <w:szCs w:val="20"/>
                <w:color w:val="auto"/>
              </w:rPr>
            </w:pPr>
          </w:p>
        </w:tc>
      </w:tr>
      <w:tr>
        <w:trPr>
          <w:trHeight w:val="213"/>
        </w:trPr>
        <w:tc>
          <w:tcPr>
            <w:tcW w:w="4440" w:type="dxa"/>
            <w:vAlign w:val="bottom"/>
            <w:gridSpan w:val="3"/>
          </w:tcPr>
          <w:p>
            <w:pPr>
              <w:ind w:left="20"/>
              <w:spacing w:after="0"/>
              <w:rPr>
                <w:sz w:val="20"/>
                <w:szCs w:val="20"/>
                <w:color w:val="auto"/>
              </w:rPr>
            </w:pPr>
            <w:r>
              <w:rPr>
                <w:rFonts w:ascii="Arial" w:cs="Arial" w:eastAsia="Arial" w:hAnsi="Arial"/>
                <w:sz w:val="16"/>
                <w:szCs w:val="16"/>
                <w:color w:val="auto"/>
              </w:rPr>
              <w:t>Operations and maintenance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77,263</w:t>
            </w:r>
          </w:p>
        </w:tc>
        <w:tc>
          <w:tcPr>
            <w:tcW w:w="3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72,415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4,848</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159,463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149,709</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9,754</w:t>
            </w:r>
          </w:p>
        </w:tc>
        <w:tc>
          <w:tcPr>
            <w:tcW w:w="20" w:type="dxa"/>
            <w:vAlign w:val="bottom"/>
          </w:tcPr>
          <w:p>
            <w:pPr>
              <w:spacing w:after="0"/>
              <w:rPr>
                <w:sz w:val="18"/>
                <w:szCs w:val="18"/>
                <w:color w:val="auto"/>
              </w:rPr>
            </w:pPr>
          </w:p>
        </w:tc>
      </w:tr>
      <w:tr>
        <w:trPr>
          <w:trHeight w:val="216"/>
        </w:trPr>
        <w:tc>
          <w:tcPr>
            <w:tcW w:w="444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25,687</w:t>
            </w:r>
          </w:p>
        </w:tc>
        <w:tc>
          <w:tcPr>
            <w:tcW w:w="340" w:type="dxa"/>
            <w:vAlign w:val="bottom"/>
            <w:tcBorders>
              <w:bottom w:val="single" w:sz="8" w:color="auto"/>
            </w:tcBorders>
            <w:shd w:val="clear" w:color="auto" w:fill="CEFFE7"/>
          </w:tcPr>
          <w:p>
            <w:pPr>
              <w:spacing w:after="0"/>
              <w:rPr>
                <w:sz w:val="18"/>
                <w:szCs w:val="18"/>
                <w:color w:val="auto"/>
              </w:rPr>
            </w:pPr>
          </w:p>
        </w:tc>
        <w:tc>
          <w:tcPr>
            <w:tcW w:w="800" w:type="dxa"/>
            <w:vAlign w:val="bottom"/>
            <w:tcBorders>
              <w:bottom w:val="single" w:sz="8" w:color="auto"/>
            </w:tcBorders>
            <w:gridSpan w:val="2"/>
            <w:shd w:val="clear" w:color="auto" w:fill="CEFFE7"/>
          </w:tcPr>
          <w:p>
            <w:pPr>
              <w:jc w:val="right"/>
              <w:ind w:right="40"/>
              <w:spacing w:after="0"/>
              <w:rPr>
                <w:sz w:val="20"/>
                <w:szCs w:val="20"/>
                <w:color w:val="auto"/>
              </w:rPr>
            </w:pPr>
            <w:r>
              <w:rPr>
                <w:rFonts w:ascii="Arial" w:cs="Arial" w:eastAsia="Arial" w:hAnsi="Arial"/>
                <w:sz w:val="16"/>
                <w:szCs w:val="16"/>
                <w:color w:val="auto"/>
              </w:rPr>
              <w:t>25,864</w:t>
            </w:r>
          </w:p>
        </w:tc>
        <w:tc>
          <w:tcPr>
            <w:tcW w:w="200" w:type="dxa"/>
            <w:vAlign w:val="bottom"/>
            <w:tcBorders>
              <w:bottom w:val="single" w:sz="8" w:color="auto"/>
            </w:tcBorders>
            <w:shd w:val="clear" w:color="auto" w:fill="CEFFE7"/>
          </w:tcPr>
          <w:p>
            <w:pPr>
              <w:spacing w:after="0"/>
              <w:rPr>
                <w:sz w:val="18"/>
                <w:szCs w:val="18"/>
                <w:color w:val="auto"/>
              </w:rPr>
            </w:pP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(177)</w:t>
            </w:r>
          </w:p>
        </w:tc>
        <w:tc>
          <w:tcPr>
            <w:tcW w:w="240" w:type="dxa"/>
            <w:vAlign w:val="bottom"/>
            <w:tcBorders>
              <w:bottom w:val="single" w:sz="8" w:color="auto"/>
            </w:tcBorders>
            <w:shd w:val="clear" w:color="auto" w:fill="CEFFE7"/>
          </w:tcPr>
          <w:p>
            <w:pPr>
              <w:spacing w:after="0"/>
              <w:rPr>
                <w:sz w:val="18"/>
                <w:szCs w:val="18"/>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50,862</w:t>
            </w:r>
          </w:p>
        </w:tc>
        <w:tc>
          <w:tcPr>
            <w:tcW w:w="80" w:type="dxa"/>
            <w:vAlign w:val="bottom"/>
            <w:tcBorders>
              <w:bottom w:val="single" w:sz="8" w:color="auto"/>
            </w:tcBorders>
            <w:shd w:val="clear" w:color="auto" w:fill="CEFFE7"/>
          </w:tcPr>
          <w:p>
            <w:pPr>
              <w:spacing w:after="0"/>
              <w:rPr>
                <w:sz w:val="18"/>
                <w:szCs w:val="18"/>
                <w:color w:val="auto"/>
              </w:rPr>
            </w:pPr>
          </w:p>
        </w:tc>
        <w:tc>
          <w:tcPr>
            <w:tcW w:w="22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51,085</w:t>
            </w:r>
          </w:p>
        </w:tc>
        <w:tc>
          <w:tcPr>
            <w:tcW w:w="200" w:type="dxa"/>
            <w:vAlign w:val="bottom"/>
            <w:tcBorders>
              <w:bottom w:val="single" w:sz="8" w:color="auto"/>
            </w:tcBorders>
            <w:shd w:val="clear" w:color="auto" w:fill="CEFFE7"/>
          </w:tcPr>
          <w:p>
            <w:pPr>
              <w:spacing w:after="0"/>
              <w:rPr>
                <w:sz w:val="18"/>
                <w:szCs w:val="18"/>
                <w:color w:val="auto"/>
              </w:rPr>
            </w:pP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(223)</w:t>
            </w:r>
          </w:p>
        </w:tc>
        <w:tc>
          <w:tcPr>
            <w:tcW w:w="20" w:type="dxa"/>
            <w:vAlign w:val="bottom"/>
            <w:tcBorders>
              <w:bottom w:val="single" w:sz="8" w:color="auto"/>
            </w:tcBorders>
            <w:shd w:val="clear" w:color="auto" w:fill="CEFFE7"/>
          </w:tcPr>
          <w:p>
            <w:pPr>
              <w:spacing w:after="0"/>
              <w:rPr>
                <w:sz w:val="18"/>
                <w:szCs w:val="18"/>
                <w:color w:val="auto"/>
              </w:rPr>
            </w:pPr>
          </w:p>
        </w:tc>
      </w:tr>
      <w:tr>
        <w:trPr>
          <w:trHeight w:val="209"/>
        </w:trPr>
        <w:tc>
          <w:tcPr>
            <w:tcW w:w="40" w:type="dxa"/>
            <w:vAlign w:val="bottom"/>
            <w:tcBorders>
              <w:bottom w:val="single" w:sz="8" w:color="CEFFE7"/>
            </w:tcBorders>
          </w:tcPr>
          <w:p>
            <w:pPr>
              <w:spacing w:after="0"/>
              <w:rPr>
                <w:sz w:val="18"/>
                <w:szCs w:val="18"/>
                <w:color w:val="auto"/>
              </w:rPr>
            </w:pPr>
          </w:p>
        </w:tc>
        <w:tc>
          <w:tcPr>
            <w:tcW w:w="4400" w:type="dxa"/>
            <w:vAlign w:val="bottom"/>
            <w:tcBorders>
              <w:bottom w:val="single" w:sz="8" w:color="CEFFE7"/>
            </w:tcBorders>
            <w:gridSpan w:val="2"/>
          </w:tcPr>
          <w:p>
            <w:pPr>
              <w:ind w:left="52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102,950</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98,279</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4,671</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210,325</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200,794</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9,531</w:t>
            </w:r>
          </w:p>
        </w:tc>
        <w:tc>
          <w:tcPr>
            <w:tcW w:w="20" w:type="dxa"/>
            <w:vAlign w:val="bottom"/>
            <w:tcBorders>
              <w:bottom w:val="single" w:sz="8" w:color="auto"/>
            </w:tcBorders>
          </w:tcPr>
          <w:p>
            <w:pPr>
              <w:spacing w:after="0"/>
              <w:rPr>
                <w:sz w:val="18"/>
                <w:szCs w:val="18"/>
                <w:color w:val="auto"/>
              </w:rPr>
            </w:pPr>
          </w:p>
        </w:tc>
      </w:tr>
      <w:tr>
        <w:trPr>
          <w:trHeight w:val="239"/>
        </w:trPr>
        <w:tc>
          <w:tcPr>
            <w:tcW w:w="40" w:type="dxa"/>
            <w:vAlign w:val="bottom"/>
            <w:shd w:val="clear" w:color="auto" w:fill="CEFFE7"/>
          </w:tcPr>
          <w:p>
            <w:pPr>
              <w:spacing w:after="0"/>
              <w:rPr>
                <w:sz w:val="20"/>
                <w:szCs w:val="20"/>
                <w:color w:val="auto"/>
              </w:rPr>
            </w:pPr>
          </w:p>
        </w:tc>
        <w:tc>
          <w:tcPr>
            <w:tcW w:w="940" w:type="dxa"/>
            <w:vAlign w:val="bottom"/>
            <w:shd w:val="clear" w:color="auto" w:fill="CEFFE7"/>
          </w:tcPr>
          <w:p>
            <w:pPr>
              <w:spacing w:after="0"/>
              <w:rPr>
                <w:sz w:val="20"/>
                <w:szCs w:val="20"/>
                <w:color w:val="auto"/>
              </w:rPr>
            </w:pPr>
          </w:p>
        </w:tc>
        <w:tc>
          <w:tcPr>
            <w:tcW w:w="3460" w:type="dxa"/>
            <w:vAlign w:val="bottom"/>
            <w:shd w:val="clear" w:color="auto" w:fill="CEFFE7"/>
          </w:tcPr>
          <w:p>
            <w:pPr>
              <w:spacing w:after="0"/>
              <w:rPr>
                <w:sz w:val="20"/>
                <w:szCs w:val="20"/>
                <w:color w:val="auto"/>
              </w:rPr>
            </w:pPr>
          </w:p>
        </w:tc>
        <w:tc>
          <w:tcPr>
            <w:tcW w:w="240" w:type="dxa"/>
            <w:vAlign w:val="bottom"/>
            <w:tcBorders>
              <w:bottom w:val="single" w:sz="8" w:color="auto"/>
            </w:tcBorders>
            <w:shd w:val="clear" w:color="auto" w:fill="CEFFE7"/>
          </w:tcPr>
          <w:p>
            <w:pPr>
              <w:spacing w:after="0"/>
              <w:rPr>
                <w:sz w:val="20"/>
                <w:szCs w:val="20"/>
                <w:color w:val="auto"/>
              </w:rPr>
            </w:pPr>
          </w:p>
        </w:tc>
        <w:tc>
          <w:tcPr>
            <w:tcW w:w="860" w:type="dxa"/>
            <w:vAlign w:val="bottom"/>
            <w:tcBorders>
              <w:bottom w:val="single" w:sz="8" w:color="auto"/>
            </w:tcBorders>
            <w:shd w:val="clear" w:color="auto" w:fill="CEFFE7"/>
          </w:tcPr>
          <w:p>
            <w:pPr>
              <w:spacing w:after="0"/>
              <w:rPr>
                <w:sz w:val="20"/>
                <w:szCs w:val="20"/>
                <w:color w:val="auto"/>
              </w:rPr>
            </w:pPr>
          </w:p>
        </w:tc>
        <w:tc>
          <w:tcPr>
            <w:tcW w:w="340" w:type="dxa"/>
            <w:vAlign w:val="bottom"/>
            <w:tcBorders>
              <w:bottom w:val="single" w:sz="8" w:color="auto"/>
            </w:tcBorders>
            <w:shd w:val="clear" w:color="auto" w:fill="CEFFE7"/>
          </w:tcPr>
          <w:p>
            <w:pPr>
              <w:spacing w:after="0"/>
              <w:rPr>
                <w:sz w:val="20"/>
                <w:szCs w:val="20"/>
                <w:color w:val="auto"/>
              </w:rPr>
            </w:pPr>
          </w:p>
        </w:tc>
        <w:tc>
          <w:tcPr>
            <w:tcW w:w="640" w:type="dxa"/>
            <w:vAlign w:val="bottom"/>
            <w:tcBorders>
              <w:bottom w:val="single" w:sz="8" w:color="auto"/>
            </w:tcBorders>
            <w:shd w:val="clear" w:color="auto" w:fill="CEFFE7"/>
          </w:tcPr>
          <w:p>
            <w:pPr>
              <w:spacing w:after="0"/>
              <w:rPr>
                <w:sz w:val="20"/>
                <w:szCs w:val="20"/>
                <w:color w:val="auto"/>
              </w:rPr>
            </w:pPr>
          </w:p>
        </w:tc>
        <w:tc>
          <w:tcPr>
            <w:tcW w:w="160" w:type="dxa"/>
            <w:vAlign w:val="bottom"/>
            <w:tcBorders>
              <w:bottom w:val="single" w:sz="8" w:color="auto"/>
            </w:tcBorders>
            <w:shd w:val="clear" w:color="auto" w:fill="CEFFE7"/>
          </w:tcPr>
          <w:p>
            <w:pPr>
              <w:spacing w:after="0"/>
              <w:rPr>
                <w:sz w:val="20"/>
                <w:szCs w:val="20"/>
                <w:color w:val="auto"/>
              </w:rPr>
            </w:pPr>
          </w:p>
        </w:tc>
        <w:tc>
          <w:tcPr>
            <w:tcW w:w="200" w:type="dxa"/>
            <w:vAlign w:val="bottom"/>
            <w:tcBorders>
              <w:bottom w:val="single" w:sz="8" w:color="auto"/>
            </w:tcBorders>
            <w:shd w:val="clear" w:color="auto" w:fill="CEFFE7"/>
          </w:tcPr>
          <w:p>
            <w:pPr>
              <w:spacing w:after="0"/>
              <w:rPr>
                <w:sz w:val="20"/>
                <w:szCs w:val="20"/>
                <w:color w:val="auto"/>
              </w:rPr>
            </w:pPr>
          </w:p>
        </w:tc>
        <w:tc>
          <w:tcPr>
            <w:tcW w:w="960" w:type="dxa"/>
            <w:vAlign w:val="bottom"/>
            <w:tcBorders>
              <w:bottom w:val="single" w:sz="8" w:color="auto"/>
            </w:tcBorders>
            <w:shd w:val="clear" w:color="auto" w:fill="CEFFE7"/>
          </w:tcPr>
          <w:p>
            <w:pPr>
              <w:spacing w:after="0"/>
              <w:rPr>
                <w:sz w:val="20"/>
                <w:szCs w:val="20"/>
                <w:color w:val="auto"/>
              </w:rPr>
            </w:pPr>
          </w:p>
        </w:tc>
        <w:tc>
          <w:tcPr>
            <w:tcW w:w="240" w:type="dxa"/>
            <w:vAlign w:val="bottom"/>
            <w:tcBorders>
              <w:bottom w:val="single" w:sz="8" w:color="auto"/>
            </w:tcBorders>
            <w:shd w:val="clear" w:color="auto" w:fill="CEFFE7"/>
          </w:tcPr>
          <w:p>
            <w:pPr>
              <w:spacing w:after="0"/>
              <w:rPr>
                <w:sz w:val="20"/>
                <w:szCs w:val="20"/>
                <w:color w:val="auto"/>
              </w:rPr>
            </w:pPr>
          </w:p>
        </w:tc>
        <w:tc>
          <w:tcPr>
            <w:tcW w:w="860" w:type="dxa"/>
            <w:vAlign w:val="bottom"/>
            <w:tcBorders>
              <w:bottom w:val="single" w:sz="8" w:color="auto"/>
            </w:tcBorders>
            <w:shd w:val="clear" w:color="auto" w:fill="CEFFE7"/>
          </w:tcPr>
          <w:p>
            <w:pPr>
              <w:spacing w:after="0"/>
              <w:rPr>
                <w:sz w:val="20"/>
                <w:szCs w:val="20"/>
                <w:color w:val="auto"/>
              </w:rPr>
            </w:pPr>
          </w:p>
        </w:tc>
        <w:tc>
          <w:tcPr>
            <w:tcW w:w="80" w:type="dxa"/>
            <w:vAlign w:val="bottom"/>
            <w:tcBorders>
              <w:bottom w:val="single" w:sz="8" w:color="auto"/>
            </w:tcBorders>
            <w:shd w:val="clear" w:color="auto" w:fill="CEFFE7"/>
          </w:tcPr>
          <w:p>
            <w:pPr>
              <w:spacing w:after="0"/>
              <w:rPr>
                <w:sz w:val="20"/>
                <w:szCs w:val="20"/>
                <w:color w:val="auto"/>
              </w:rPr>
            </w:pPr>
          </w:p>
        </w:tc>
        <w:tc>
          <w:tcPr>
            <w:tcW w:w="220" w:type="dxa"/>
            <w:vAlign w:val="bottom"/>
            <w:tcBorders>
              <w:bottom w:val="single" w:sz="8" w:color="auto"/>
            </w:tcBorders>
            <w:shd w:val="clear" w:color="auto" w:fill="CEFFE7"/>
          </w:tcPr>
          <w:p>
            <w:pPr>
              <w:spacing w:after="0"/>
              <w:rPr>
                <w:sz w:val="20"/>
                <w:szCs w:val="20"/>
                <w:color w:val="auto"/>
              </w:rPr>
            </w:pPr>
          </w:p>
        </w:tc>
        <w:tc>
          <w:tcPr>
            <w:tcW w:w="840" w:type="dxa"/>
            <w:vAlign w:val="bottom"/>
            <w:tcBorders>
              <w:bottom w:val="single" w:sz="8" w:color="auto"/>
            </w:tcBorders>
            <w:shd w:val="clear" w:color="auto" w:fill="CEFFE7"/>
          </w:tcPr>
          <w:p>
            <w:pPr>
              <w:spacing w:after="0"/>
              <w:rPr>
                <w:sz w:val="20"/>
                <w:szCs w:val="20"/>
                <w:color w:val="auto"/>
              </w:rPr>
            </w:pPr>
          </w:p>
        </w:tc>
        <w:tc>
          <w:tcPr>
            <w:tcW w:w="200" w:type="dxa"/>
            <w:vAlign w:val="bottom"/>
            <w:tcBorders>
              <w:bottom w:val="single" w:sz="8" w:color="auto"/>
            </w:tcBorders>
            <w:shd w:val="clear" w:color="auto" w:fill="CEFFE7"/>
          </w:tcPr>
          <w:p>
            <w:pPr>
              <w:spacing w:after="0"/>
              <w:rPr>
                <w:sz w:val="20"/>
                <w:szCs w:val="20"/>
                <w:color w:val="auto"/>
              </w:rPr>
            </w:pPr>
          </w:p>
        </w:tc>
        <w:tc>
          <w:tcPr>
            <w:tcW w:w="940" w:type="dxa"/>
            <w:vAlign w:val="bottom"/>
            <w:tcBorders>
              <w:bottom w:val="single" w:sz="8" w:color="auto"/>
            </w:tcBorders>
            <w:shd w:val="clear" w:color="auto" w:fill="CEFFE7"/>
          </w:tcPr>
          <w:p>
            <w:pPr>
              <w:spacing w:after="0"/>
              <w:rPr>
                <w:sz w:val="20"/>
                <w:szCs w:val="20"/>
                <w:color w:val="auto"/>
              </w:rPr>
            </w:pPr>
          </w:p>
        </w:tc>
        <w:tc>
          <w:tcPr>
            <w:tcW w:w="20" w:type="dxa"/>
            <w:vAlign w:val="bottom"/>
            <w:tcBorders>
              <w:bottom w:val="single" w:sz="8" w:color="auto"/>
            </w:tcBorders>
            <w:shd w:val="clear" w:color="auto" w:fill="CEFFE7"/>
          </w:tcPr>
          <w:p>
            <w:pPr>
              <w:spacing w:after="0"/>
              <w:rPr>
                <w:sz w:val="20"/>
                <w:szCs w:val="20"/>
                <w:color w:val="auto"/>
              </w:rPr>
            </w:pPr>
          </w:p>
        </w:tc>
      </w:tr>
      <w:tr>
        <w:trPr>
          <w:trHeight w:val="210"/>
        </w:trPr>
        <w:tc>
          <w:tcPr>
            <w:tcW w:w="4440" w:type="dxa"/>
            <w:vAlign w:val="bottom"/>
            <w:gridSpan w:val="3"/>
          </w:tcPr>
          <w:p>
            <w:pPr>
              <w:ind w:left="20"/>
              <w:spacing w:after="0"/>
              <w:rPr>
                <w:sz w:val="20"/>
                <w:szCs w:val="20"/>
                <w:color w:val="auto"/>
              </w:rPr>
            </w:pPr>
            <w:r>
              <w:rPr>
                <w:rFonts w:ascii="Arial" w:cs="Arial" w:eastAsia="Arial" w:hAnsi="Arial"/>
                <w:sz w:val="16"/>
                <w:szCs w:val="16"/>
                <w:color w:val="auto"/>
              </w:rPr>
              <w:t>Adjusted operating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19,985</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18,209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1,776</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122,079</w:t>
            </w:r>
          </w:p>
        </w:tc>
        <w:tc>
          <w:tcPr>
            <w:tcW w:w="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121,106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w:t>
            </w:r>
          </w:p>
        </w:tc>
        <w:tc>
          <w:tcPr>
            <w:tcW w:w="20" w:type="dxa"/>
            <w:vAlign w:val="bottom"/>
            <w:tcBorders>
              <w:bottom w:val="single" w:sz="8" w:color="auto"/>
            </w:tcBorders>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80" w:type="dxa"/>
            <w:vAlign w:val="bottom"/>
            <w:tcBorders>
              <w:bottom w:val="single" w:sz="8" w:color="auto"/>
            </w:tcBorders>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93"/>
        </w:trPr>
        <w:tc>
          <w:tcPr>
            <w:tcW w:w="6680" w:type="dxa"/>
            <w:vAlign w:val="bottom"/>
            <w:gridSpan w:val="8"/>
          </w:tcPr>
          <w:p>
            <w:pPr>
              <w:spacing w:after="0"/>
              <w:rPr>
                <w:sz w:val="20"/>
                <w:szCs w:val="20"/>
                <w:color w:val="auto"/>
              </w:rPr>
            </w:pPr>
            <w:r>
              <w:rPr>
                <w:rFonts w:ascii="Arial" w:cs="Arial" w:eastAsia="Arial" w:hAnsi="Arial"/>
                <w:sz w:val="16"/>
                <w:szCs w:val="16"/>
                <w:color w:val="auto"/>
              </w:rPr>
              <w:t>Three Months Ended June 30, 2021 Compared to the Three Months Ended June 30, 2020:</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5880" w:type="dxa"/>
            <w:vAlign w:val="bottom"/>
            <w:tcBorders>
              <w:top w:val="single" w:sz="8" w:color="auto"/>
            </w:tcBorders>
            <w:gridSpan w:val="6"/>
          </w:tcPr>
          <w:p>
            <w:pPr>
              <w:spacing w:after="0"/>
              <w:rPr>
                <w:sz w:val="20"/>
                <w:szCs w:val="20"/>
                <w:color w:val="auto"/>
              </w:rPr>
            </w:pPr>
            <w:r>
              <w:rPr>
                <w:rFonts w:ascii="Arial" w:cs="Arial" w:eastAsia="Arial" w:hAnsi="Arial"/>
                <w:sz w:val="16"/>
                <w:szCs w:val="16"/>
                <w:color w:val="auto"/>
              </w:rPr>
              <w:t>Gross margin for the three months ended June 30, 2021 increased as a result of:</w:t>
            </w: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8"/>
        </w:trPr>
        <w:tc>
          <w:tcPr>
            <w:tcW w:w="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4"/>
          </w:tcPr>
          <w:p>
            <w:pPr>
              <w:jc w:val="right"/>
              <w:ind w:right="720"/>
              <w:spacing w:after="0"/>
              <w:rPr>
                <w:sz w:val="20"/>
                <w:szCs w:val="20"/>
                <w:color w:val="auto"/>
              </w:rPr>
            </w:pPr>
            <w:r>
              <w:rPr>
                <w:rFonts w:ascii="Arial" w:cs="Arial" w:eastAsia="Arial" w:hAnsi="Arial"/>
                <w:sz w:val="16"/>
                <w:szCs w:val="16"/>
                <w:color w:val="auto"/>
              </w:rPr>
              <w:t>(in millions)</w:t>
            </w:r>
          </w:p>
        </w:tc>
      </w:tr>
      <w:tr>
        <w:trPr>
          <w:trHeight w:val="213"/>
        </w:trPr>
        <w:tc>
          <w:tcPr>
            <w:tcW w:w="40" w:type="dxa"/>
            <w:vAlign w:val="bottom"/>
          </w:tcPr>
          <w:p>
            <w:pPr>
              <w:spacing w:after="0"/>
              <w:rPr>
                <w:sz w:val="18"/>
                <w:szCs w:val="18"/>
                <w:color w:val="auto"/>
              </w:rPr>
            </w:pPr>
          </w:p>
        </w:tc>
        <w:tc>
          <w:tcPr>
            <w:tcW w:w="4400" w:type="dxa"/>
            <w:vAlign w:val="bottom"/>
            <w:tcBorders>
              <w:top w:val="single" w:sz="8" w:color="auto"/>
            </w:tcBorders>
            <w:gridSpan w:val="2"/>
            <w:shd w:val="clear" w:color="auto" w:fill="CEFFE7"/>
          </w:tcPr>
          <w:p>
            <w:pPr>
              <w:spacing w:after="0"/>
              <w:rPr>
                <w:sz w:val="20"/>
                <w:szCs w:val="20"/>
                <w:color w:val="auto"/>
              </w:rPr>
            </w:pPr>
            <w:r>
              <w:rPr>
                <w:rFonts w:ascii="Arial" w:cs="Arial" w:eastAsia="Arial" w:hAnsi="Arial"/>
                <w:sz w:val="16"/>
                <w:szCs w:val="16"/>
                <w:color w:val="auto"/>
              </w:rPr>
              <w:t>New rates</w:t>
            </w:r>
          </w:p>
        </w:tc>
        <w:tc>
          <w:tcPr>
            <w:tcW w:w="240" w:type="dxa"/>
            <w:vAlign w:val="bottom"/>
            <w:tcBorders>
              <w:top w:val="single" w:sz="8" w:color="auto"/>
            </w:tcBorders>
            <w:shd w:val="clear" w:color="auto" w:fill="CEFFE7"/>
          </w:tcPr>
          <w:p>
            <w:pPr>
              <w:spacing w:after="0"/>
              <w:rPr>
                <w:sz w:val="18"/>
                <w:szCs w:val="18"/>
                <w:color w:val="auto"/>
              </w:rPr>
            </w:pPr>
          </w:p>
        </w:tc>
        <w:tc>
          <w:tcPr>
            <w:tcW w:w="860" w:type="dxa"/>
            <w:vAlign w:val="bottom"/>
            <w:tcBorders>
              <w:top w:val="single" w:sz="8" w:color="auto"/>
            </w:tcBorders>
            <w:shd w:val="clear" w:color="auto" w:fill="CEFFE7"/>
          </w:tcPr>
          <w:p>
            <w:pPr>
              <w:spacing w:after="0"/>
              <w:rPr>
                <w:sz w:val="18"/>
                <w:szCs w:val="18"/>
                <w:color w:val="auto"/>
              </w:rPr>
            </w:pPr>
          </w:p>
        </w:tc>
        <w:tc>
          <w:tcPr>
            <w:tcW w:w="340" w:type="dxa"/>
            <w:vAlign w:val="bottom"/>
            <w:tcBorders>
              <w:top w:val="single" w:sz="8" w:color="auto"/>
            </w:tcBorders>
            <w:shd w:val="clear" w:color="auto" w:fill="CEFFE7"/>
          </w:tcPr>
          <w:p>
            <w:pPr>
              <w:spacing w:after="0"/>
              <w:rPr>
                <w:sz w:val="18"/>
                <w:szCs w:val="18"/>
                <w:color w:val="auto"/>
              </w:rPr>
            </w:pPr>
          </w:p>
        </w:tc>
        <w:tc>
          <w:tcPr>
            <w:tcW w:w="640" w:type="dxa"/>
            <w:vAlign w:val="bottom"/>
            <w:tcBorders>
              <w:top w:val="single" w:sz="8" w:color="auto"/>
            </w:tcBorders>
            <w:shd w:val="clear" w:color="auto" w:fill="CEFFE7"/>
          </w:tcPr>
          <w:p>
            <w:pPr>
              <w:spacing w:after="0"/>
              <w:rPr>
                <w:sz w:val="18"/>
                <w:szCs w:val="18"/>
                <w:color w:val="auto"/>
              </w:rPr>
            </w:pPr>
          </w:p>
        </w:tc>
        <w:tc>
          <w:tcPr>
            <w:tcW w:w="160" w:type="dxa"/>
            <w:vAlign w:val="bottom"/>
            <w:tcBorders>
              <w:top w:val="single" w:sz="8" w:color="auto"/>
            </w:tcBorders>
            <w:shd w:val="clear" w:color="auto" w:fill="CEFFE7"/>
          </w:tcPr>
          <w:p>
            <w:pPr>
              <w:spacing w:after="0"/>
              <w:rPr>
                <w:sz w:val="18"/>
                <w:szCs w:val="18"/>
                <w:color w:val="auto"/>
              </w:rPr>
            </w:pPr>
          </w:p>
        </w:tc>
        <w:tc>
          <w:tcPr>
            <w:tcW w:w="200" w:type="dxa"/>
            <w:vAlign w:val="bottom"/>
            <w:tcBorders>
              <w:top w:val="single" w:sz="8" w:color="auto"/>
            </w:tcBorders>
            <w:shd w:val="clear" w:color="auto" w:fill="CEFFE7"/>
          </w:tcPr>
          <w:p>
            <w:pPr>
              <w:spacing w:after="0"/>
              <w:rPr>
                <w:sz w:val="18"/>
                <w:szCs w:val="18"/>
                <w:color w:val="auto"/>
              </w:rPr>
            </w:pPr>
          </w:p>
        </w:tc>
        <w:tc>
          <w:tcPr>
            <w:tcW w:w="960" w:type="dxa"/>
            <w:vAlign w:val="bottom"/>
            <w:tcBorders>
              <w:top w:val="single" w:sz="8" w:color="auto"/>
            </w:tcBorders>
            <w:shd w:val="clear" w:color="auto" w:fill="CEFFE7"/>
          </w:tcPr>
          <w:p>
            <w:pPr>
              <w:spacing w:after="0"/>
              <w:rPr>
                <w:sz w:val="18"/>
                <w:szCs w:val="18"/>
                <w:color w:val="auto"/>
              </w:rPr>
            </w:pPr>
          </w:p>
        </w:tc>
        <w:tc>
          <w:tcPr>
            <w:tcW w:w="240" w:type="dxa"/>
            <w:vAlign w:val="bottom"/>
            <w:tcBorders>
              <w:top w:val="single" w:sz="8" w:color="auto"/>
            </w:tcBorders>
            <w:shd w:val="clear" w:color="auto" w:fill="CEFFE7"/>
          </w:tcPr>
          <w:p>
            <w:pPr>
              <w:spacing w:after="0"/>
              <w:rPr>
                <w:sz w:val="18"/>
                <w:szCs w:val="18"/>
                <w:color w:val="auto"/>
              </w:rPr>
            </w:pPr>
          </w:p>
        </w:tc>
        <w:tc>
          <w:tcPr>
            <w:tcW w:w="860" w:type="dxa"/>
            <w:vAlign w:val="bottom"/>
            <w:tcBorders>
              <w:top w:val="single" w:sz="8" w:color="auto"/>
            </w:tcBorders>
            <w:shd w:val="clear" w:color="auto" w:fill="CEFFE7"/>
          </w:tcPr>
          <w:p>
            <w:pPr>
              <w:spacing w:after="0"/>
              <w:rPr>
                <w:sz w:val="18"/>
                <w:szCs w:val="18"/>
                <w:color w:val="auto"/>
              </w:rPr>
            </w:pPr>
          </w:p>
        </w:tc>
        <w:tc>
          <w:tcPr>
            <w:tcW w:w="300" w:type="dxa"/>
            <w:vAlign w:val="bottom"/>
            <w:tcBorders>
              <w:top w:val="single" w:sz="8" w:color="auto"/>
            </w:tcBorders>
            <w:gridSpan w:val="2"/>
            <w:shd w:val="clear" w:color="auto" w:fill="CEFFE7"/>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EFFE7"/>
          </w:tcPr>
          <w:p>
            <w:pPr>
              <w:spacing w:after="0"/>
              <w:rPr>
                <w:sz w:val="18"/>
                <w:szCs w:val="18"/>
                <w:color w:val="auto"/>
              </w:rPr>
            </w:pPr>
          </w:p>
        </w:tc>
        <w:tc>
          <w:tcPr>
            <w:tcW w:w="200" w:type="dxa"/>
            <w:vAlign w:val="bottom"/>
            <w:tcBorders>
              <w:top w:val="single" w:sz="8" w:color="auto"/>
            </w:tcBorders>
            <w:shd w:val="clear" w:color="auto" w:fill="CEFFE7"/>
          </w:tcPr>
          <w:p>
            <w:pPr>
              <w:spacing w:after="0"/>
              <w:rPr>
                <w:sz w:val="18"/>
                <w:szCs w:val="18"/>
                <w:color w:val="auto"/>
              </w:rPr>
            </w:pPr>
          </w:p>
        </w:tc>
        <w:tc>
          <w:tcPr>
            <w:tcW w:w="940" w:type="dxa"/>
            <w:vAlign w:val="bottom"/>
            <w:tcBorders>
              <w:top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6"/>
                <w:szCs w:val="16"/>
                <w:color w:val="auto"/>
              </w:rPr>
              <w:t>Mark-to-market on non-utility natural gas commodity contracts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40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Prior year COVID-19 impacts</w:t>
            </w:r>
          </w:p>
        </w:tc>
        <w:tc>
          <w:tcPr>
            <w:tcW w:w="240" w:type="dxa"/>
            <w:vAlign w:val="bottom"/>
            <w:shd w:val="clear" w:color="auto" w:fill="CEFFE7"/>
          </w:tcPr>
          <w:p>
            <w:pPr>
              <w:spacing w:after="0"/>
              <w:rPr>
                <w:sz w:val="19"/>
                <w:szCs w:val="19"/>
                <w:color w:val="auto"/>
              </w:rPr>
            </w:pPr>
          </w:p>
        </w:tc>
        <w:tc>
          <w:tcPr>
            <w:tcW w:w="86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64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96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860" w:type="dxa"/>
            <w:vAlign w:val="bottom"/>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0.9</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6"/>
                <w:szCs w:val="16"/>
                <w:color w:val="auto"/>
              </w:rPr>
              <w:t>Weather</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400" w:type="dxa"/>
            <w:vAlign w:val="bottom"/>
            <w:gridSpan w:val="2"/>
            <w:shd w:val="clear" w:color="auto" w:fill="CEFFE7"/>
          </w:tcPr>
          <w:p>
            <w:pPr>
              <w:spacing w:after="0" w:line="219" w:lineRule="exact"/>
              <w:rPr>
                <w:sz w:val="20"/>
                <w:szCs w:val="20"/>
                <w:color w:val="auto"/>
              </w:rPr>
            </w:pPr>
            <w:r>
              <w:rPr>
                <w:rFonts w:ascii="Arial" w:cs="Arial" w:eastAsia="Arial" w:hAnsi="Arial"/>
                <w:sz w:val="16"/>
                <w:szCs w:val="16"/>
                <w:color w:val="auto"/>
              </w:rPr>
              <w:t xml:space="preserve">TCJA-related bill credits </w:t>
            </w:r>
            <w:r>
              <w:rPr>
                <w:rFonts w:ascii="Arial" w:cs="Arial" w:eastAsia="Arial" w:hAnsi="Arial"/>
                <w:sz w:val="21"/>
                <w:szCs w:val="21"/>
                <w:color w:val="auto"/>
                <w:vertAlign w:val="superscript"/>
              </w:rPr>
              <w:t>(a)</w:t>
            </w:r>
          </w:p>
        </w:tc>
        <w:tc>
          <w:tcPr>
            <w:tcW w:w="240" w:type="dxa"/>
            <w:vAlign w:val="bottom"/>
            <w:shd w:val="clear" w:color="auto" w:fill="CEFFE7"/>
          </w:tcPr>
          <w:p>
            <w:pPr>
              <w:spacing w:after="0"/>
              <w:rPr>
                <w:sz w:val="19"/>
                <w:szCs w:val="19"/>
                <w:color w:val="auto"/>
              </w:rPr>
            </w:pPr>
          </w:p>
        </w:tc>
        <w:tc>
          <w:tcPr>
            <w:tcW w:w="86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640" w:type="dxa"/>
            <w:vAlign w:val="bottom"/>
            <w:shd w:val="clear" w:color="auto" w:fill="CEFFE7"/>
          </w:tcPr>
          <w:p>
            <w:pPr>
              <w:spacing w:after="0"/>
              <w:rPr>
                <w:sz w:val="19"/>
                <w:szCs w:val="19"/>
                <w:color w:val="auto"/>
              </w:rPr>
            </w:pPr>
          </w:p>
        </w:tc>
        <w:tc>
          <w:tcPr>
            <w:tcW w:w="16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96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860" w:type="dxa"/>
            <w:vAlign w:val="bottom"/>
            <w:shd w:val="clear" w:color="auto" w:fill="CEFFE7"/>
          </w:tcPr>
          <w:p>
            <w:pPr>
              <w:spacing w:after="0"/>
              <w:rPr>
                <w:sz w:val="19"/>
                <w:szCs w:val="19"/>
                <w:color w:val="auto"/>
              </w:rPr>
            </w:pPr>
          </w:p>
        </w:tc>
        <w:tc>
          <w:tcPr>
            <w:tcW w:w="8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c>
          <w:tcPr>
            <w:tcW w:w="200" w:type="dxa"/>
            <w:vAlign w:val="bottom"/>
            <w:shd w:val="clear" w:color="auto" w:fill="CEFFE7"/>
          </w:tcPr>
          <w:p>
            <w:pPr>
              <w:spacing w:after="0"/>
              <w:rPr>
                <w:sz w:val="19"/>
                <w:szCs w:val="19"/>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400" w:type="dxa"/>
            <w:vAlign w:val="bottom"/>
            <w:tcBorders>
              <w:bottom w:val="single" w:sz="8" w:color="CEFFE7"/>
            </w:tcBorders>
            <w:gridSpan w:val="2"/>
          </w:tcPr>
          <w:p>
            <w:pPr>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EFFE7"/>
            </w:tcBorders>
          </w:tcPr>
          <w:p>
            <w:pPr>
              <w:spacing w:after="0"/>
              <w:rPr>
                <w:sz w:val="18"/>
                <w:szCs w:val="18"/>
                <w:color w:val="auto"/>
              </w:rPr>
            </w:pPr>
          </w:p>
        </w:tc>
        <w:tc>
          <w:tcPr>
            <w:tcW w:w="860" w:type="dxa"/>
            <w:vAlign w:val="bottom"/>
            <w:tcBorders>
              <w:bottom w:val="single" w:sz="8" w:color="CEFFE7"/>
            </w:tcBorders>
          </w:tcPr>
          <w:p>
            <w:pPr>
              <w:spacing w:after="0"/>
              <w:rPr>
                <w:sz w:val="18"/>
                <w:szCs w:val="18"/>
                <w:color w:val="auto"/>
              </w:rPr>
            </w:pPr>
          </w:p>
        </w:tc>
        <w:tc>
          <w:tcPr>
            <w:tcW w:w="340" w:type="dxa"/>
            <w:vAlign w:val="bottom"/>
            <w:tcBorders>
              <w:bottom w:val="single" w:sz="8" w:color="CEFFE7"/>
            </w:tcBorders>
          </w:tcPr>
          <w:p>
            <w:pPr>
              <w:spacing w:after="0"/>
              <w:rPr>
                <w:sz w:val="18"/>
                <w:szCs w:val="18"/>
                <w:color w:val="auto"/>
              </w:rPr>
            </w:pPr>
          </w:p>
        </w:tc>
        <w:tc>
          <w:tcPr>
            <w:tcW w:w="640" w:type="dxa"/>
            <w:vAlign w:val="bottom"/>
            <w:tcBorders>
              <w:bottom w:val="single" w:sz="8" w:color="CEFFE7"/>
            </w:tcBorders>
          </w:tcPr>
          <w:p>
            <w:pPr>
              <w:spacing w:after="0"/>
              <w:rPr>
                <w:sz w:val="18"/>
                <w:szCs w:val="18"/>
                <w:color w:val="auto"/>
              </w:rPr>
            </w:pPr>
          </w:p>
        </w:tc>
        <w:tc>
          <w:tcPr>
            <w:tcW w:w="160" w:type="dxa"/>
            <w:vAlign w:val="bottom"/>
            <w:tcBorders>
              <w:bottom w:val="single" w:sz="8" w:color="CEFFE7"/>
            </w:tcBorders>
          </w:tcPr>
          <w:p>
            <w:pPr>
              <w:spacing w:after="0"/>
              <w:rPr>
                <w:sz w:val="18"/>
                <w:szCs w:val="18"/>
                <w:color w:val="auto"/>
              </w:rPr>
            </w:pPr>
          </w:p>
        </w:tc>
        <w:tc>
          <w:tcPr>
            <w:tcW w:w="200" w:type="dxa"/>
            <w:vAlign w:val="bottom"/>
            <w:tcBorders>
              <w:bottom w:val="single" w:sz="8" w:color="CEFFE7"/>
            </w:tcBorders>
          </w:tcPr>
          <w:p>
            <w:pPr>
              <w:spacing w:after="0"/>
              <w:rPr>
                <w:sz w:val="18"/>
                <w:szCs w:val="18"/>
                <w:color w:val="auto"/>
              </w:rPr>
            </w:pPr>
          </w:p>
        </w:tc>
        <w:tc>
          <w:tcPr>
            <w:tcW w:w="960" w:type="dxa"/>
            <w:vAlign w:val="bottom"/>
            <w:tcBorders>
              <w:bottom w:val="single" w:sz="8" w:color="CEFFE7"/>
            </w:tcBorders>
          </w:tcPr>
          <w:p>
            <w:pPr>
              <w:spacing w:after="0"/>
              <w:rPr>
                <w:sz w:val="18"/>
                <w:szCs w:val="18"/>
                <w:color w:val="auto"/>
              </w:rPr>
            </w:pPr>
          </w:p>
        </w:tc>
        <w:tc>
          <w:tcPr>
            <w:tcW w:w="240" w:type="dxa"/>
            <w:vAlign w:val="bottom"/>
            <w:tcBorders>
              <w:bottom w:val="single" w:sz="8" w:color="CEFFE7"/>
            </w:tcBorders>
          </w:tcPr>
          <w:p>
            <w:pPr>
              <w:spacing w:after="0"/>
              <w:rPr>
                <w:sz w:val="18"/>
                <w:szCs w:val="18"/>
                <w:color w:val="auto"/>
              </w:rPr>
            </w:pPr>
          </w:p>
        </w:tc>
        <w:tc>
          <w:tcPr>
            <w:tcW w:w="860" w:type="dxa"/>
            <w:vAlign w:val="bottom"/>
            <w:tcBorders>
              <w:bottom w:val="single" w:sz="8" w:color="CEFFE7"/>
            </w:tcBorders>
          </w:tcPr>
          <w:p>
            <w:pPr>
              <w:spacing w:after="0"/>
              <w:rPr>
                <w:sz w:val="18"/>
                <w:szCs w:val="18"/>
                <w:color w:val="auto"/>
              </w:rPr>
            </w:pPr>
          </w:p>
        </w:tc>
        <w:tc>
          <w:tcPr>
            <w:tcW w:w="80" w:type="dxa"/>
            <w:vAlign w:val="bottom"/>
            <w:tcBorders>
              <w:bottom w:val="single" w:sz="8" w:color="CEFFE7"/>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r>
      <w:tr>
        <w:trPr>
          <w:trHeight w:val="233"/>
        </w:trPr>
        <w:tc>
          <w:tcPr>
            <w:tcW w:w="40" w:type="dxa"/>
            <w:vAlign w:val="bottom"/>
          </w:tcPr>
          <w:p>
            <w:pPr>
              <w:spacing w:after="0"/>
              <w:rPr>
                <w:sz w:val="20"/>
                <w:szCs w:val="20"/>
                <w:color w:val="auto"/>
              </w:rPr>
            </w:pPr>
          </w:p>
        </w:tc>
        <w:tc>
          <w:tcPr>
            <w:tcW w:w="440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Total increase in Gross margin (non-GAAP)</w:t>
            </w:r>
          </w:p>
        </w:tc>
        <w:tc>
          <w:tcPr>
            <w:tcW w:w="240" w:type="dxa"/>
            <w:vAlign w:val="bottom"/>
            <w:shd w:val="clear" w:color="auto" w:fill="CEFFE7"/>
          </w:tcPr>
          <w:p>
            <w:pPr>
              <w:spacing w:after="0"/>
              <w:rPr>
                <w:sz w:val="20"/>
                <w:szCs w:val="20"/>
                <w:color w:val="auto"/>
              </w:rPr>
            </w:pPr>
          </w:p>
        </w:tc>
        <w:tc>
          <w:tcPr>
            <w:tcW w:w="860" w:type="dxa"/>
            <w:vAlign w:val="bottom"/>
            <w:shd w:val="clear" w:color="auto" w:fill="CEFFE7"/>
          </w:tcPr>
          <w:p>
            <w:pPr>
              <w:spacing w:after="0"/>
              <w:rPr>
                <w:sz w:val="20"/>
                <w:szCs w:val="20"/>
                <w:color w:val="auto"/>
              </w:rPr>
            </w:pPr>
          </w:p>
        </w:tc>
        <w:tc>
          <w:tcPr>
            <w:tcW w:w="340" w:type="dxa"/>
            <w:vAlign w:val="bottom"/>
            <w:shd w:val="clear" w:color="auto" w:fill="CEFFE7"/>
          </w:tcPr>
          <w:p>
            <w:pPr>
              <w:spacing w:after="0"/>
              <w:rPr>
                <w:sz w:val="20"/>
                <w:szCs w:val="20"/>
                <w:color w:val="auto"/>
              </w:rPr>
            </w:pPr>
          </w:p>
        </w:tc>
        <w:tc>
          <w:tcPr>
            <w:tcW w:w="640" w:type="dxa"/>
            <w:vAlign w:val="bottom"/>
            <w:shd w:val="clear" w:color="auto" w:fill="CEFFE7"/>
          </w:tcPr>
          <w:p>
            <w:pPr>
              <w:spacing w:after="0"/>
              <w:rPr>
                <w:sz w:val="20"/>
                <w:szCs w:val="20"/>
                <w:color w:val="auto"/>
              </w:rPr>
            </w:pPr>
          </w:p>
        </w:tc>
        <w:tc>
          <w:tcPr>
            <w:tcW w:w="160" w:type="dxa"/>
            <w:vAlign w:val="bottom"/>
            <w:shd w:val="clear" w:color="auto" w:fill="CEFFE7"/>
          </w:tcPr>
          <w:p>
            <w:pPr>
              <w:spacing w:after="0"/>
              <w:rPr>
                <w:sz w:val="20"/>
                <w:szCs w:val="20"/>
                <w:color w:val="auto"/>
              </w:rPr>
            </w:pPr>
          </w:p>
        </w:tc>
        <w:tc>
          <w:tcPr>
            <w:tcW w:w="200" w:type="dxa"/>
            <w:vAlign w:val="bottom"/>
            <w:shd w:val="clear" w:color="auto" w:fill="CEFFE7"/>
          </w:tcPr>
          <w:p>
            <w:pPr>
              <w:spacing w:after="0"/>
              <w:rPr>
                <w:sz w:val="20"/>
                <w:szCs w:val="20"/>
                <w:color w:val="auto"/>
              </w:rPr>
            </w:pPr>
          </w:p>
        </w:tc>
        <w:tc>
          <w:tcPr>
            <w:tcW w:w="960" w:type="dxa"/>
            <w:vAlign w:val="bottom"/>
            <w:shd w:val="clear" w:color="auto" w:fill="CEFFE7"/>
          </w:tcPr>
          <w:p>
            <w:pPr>
              <w:spacing w:after="0"/>
              <w:rPr>
                <w:sz w:val="20"/>
                <w:szCs w:val="20"/>
                <w:color w:val="auto"/>
              </w:rPr>
            </w:pPr>
          </w:p>
        </w:tc>
        <w:tc>
          <w:tcPr>
            <w:tcW w:w="240" w:type="dxa"/>
            <w:vAlign w:val="bottom"/>
            <w:shd w:val="clear" w:color="auto" w:fill="CEFFE7"/>
          </w:tcPr>
          <w:p>
            <w:pPr>
              <w:spacing w:after="0"/>
              <w:rPr>
                <w:sz w:val="20"/>
                <w:szCs w:val="20"/>
                <w:color w:val="auto"/>
              </w:rPr>
            </w:pPr>
          </w:p>
        </w:tc>
        <w:tc>
          <w:tcPr>
            <w:tcW w:w="860" w:type="dxa"/>
            <w:vAlign w:val="bottom"/>
            <w:shd w:val="clear" w:color="auto" w:fill="CEFFE7"/>
          </w:tcPr>
          <w:p>
            <w:pPr>
              <w:spacing w:after="0"/>
              <w:rPr>
                <w:sz w:val="20"/>
                <w:szCs w:val="20"/>
                <w:color w:val="auto"/>
              </w:rPr>
            </w:pPr>
          </w:p>
        </w:tc>
        <w:tc>
          <w:tcPr>
            <w:tcW w:w="300" w:type="dxa"/>
            <w:vAlign w:val="bottom"/>
            <w:gridSpan w:val="2"/>
            <w:shd w:val="clear" w:color="auto" w:fill="CEFFE7"/>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EFFE7"/>
          </w:tcPr>
          <w:p>
            <w:pPr>
              <w:spacing w:after="0"/>
              <w:rPr>
                <w:sz w:val="20"/>
                <w:szCs w:val="20"/>
                <w:color w:val="auto"/>
              </w:rPr>
            </w:pPr>
          </w:p>
        </w:tc>
        <w:tc>
          <w:tcPr>
            <w:tcW w:w="200" w:type="dxa"/>
            <w:vAlign w:val="bottom"/>
            <w:shd w:val="clear" w:color="auto" w:fill="CEFFE7"/>
          </w:tcPr>
          <w:p>
            <w:pPr>
              <w:spacing w:after="0"/>
              <w:rPr>
                <w:sz w:val="20"/>
                <w:szCs w:val="20"/>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6.4</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940" w:type="dxa"/>
            <w:vAlign w:val="bottom"/>
            <w:tcBorders>
              <w:top w:val="single" w:sz="8" w:color="CEFFE7"/>
            </w:tcBorders>
          </w:tcPr>
          <w:p>
            <w:pPr>
              <w:spacing w:after="0" w:line="20" w:lineRule="exact"/>
              <w:rPr>
                <w:sz w:val="1"/>
                <w:szCs w:val="1"/>
                <w:color w:val="auto"/>
              </w:rPr>
            </w:pPr>
          </w:p>
        </w:tc>
        <w:tc>
          <w:tcPr>
            <w:tcW w:w="346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CEFFE7"/>
            </w:tcBorders>
          </w:tcPr>
          <w:p>
            <w:pPr>
              <w:spacing w:after="0" w:line="20" w:lineRule="exact"/>
              <w:rPr>
                <w:sz w:val="1"/>
                <w:szCs w:val="1"/>
                <w:color w:val="auto"/>
              </w:rPr>
            </w:pPr>
          </w:p>
        </w:tc>
        <w:tc>
          <w:tcPr>
            <w:tcW w:w="860" w:type="dxa"/>
            <w:vAlign w:val="bottom"/>
            <w:tcBorders>
              <w:top w:val="single" w:sz="8" w:color="CEFFE7"/>
            </w:tcBorders>
          </w:tcPr>
          <w:p>
            <w:pPr>
              <w:spacing w:after="0" w:line="20" w:lineRule="exact"/>
              <w:rPr>
                <w:sz w:val="1"/>
                <w:szCs w:val="1"/>
                <w:color w:val="auto"/>
              </w:rPr>
            </w:pPr>
          </w:p>
        </w:tc>
        <w:tc>
          <w:tcPr>
            <w:tcW w:w="340" w:type="dxa"/>
            <w:vAlign w:val="bottom"/>
            <w:tcBorders>
              <w:top w:val="single" w:sz="8" w:color="CEFFE7"/>
            </w:tcBorders>
          </w:tcPr>
          <w:p>
            <w:pPr>
              <w:spacing w:after="0" w:line="20" w:lineRule="exact"/>
              <w:rPr>
                <w:sz w:val="1"/>
                <w:szCs w:val="1"/>
                <w:color w:val="auto"/>
              </w:rPr>
            </w:pPr>
          </w:p>
        </w:tc>
        <w:tc>
          <w:tcPr>
            <w:tcW w:w="64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tcBorders>
          </w:tcPr>
          <w:p>
            <w:pPr>
              <w:spacing w:after="0" w:line="20" w:lineRule="exact"/>
              <w:rPr>
                <w:sz w:val="1"/>
                <w:szCs w:val="1"/>
                <w:color w:val="auto"/>
              </w:rPr>
            </w:pPr>
          </w:p>
        </w:tc>
        <w:tc>
          <w:tcPr>
            <w:tcW w:w="96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CEFFE7"/>
            </w:tcBorders>
          </w:tcPr>
          <w:p>
            <w:pPr>
              <w:spacing w:after="0" w:line="20" w:lineRule="exact"/>
              <w:rPr>
                <w:sz w:val="1"/>
                <w:szCs w:val="1"/>
                <w:color w:val="auto"/>
              </w:rPr>
            </w:pPr>
          </w:p>
        </w:tc>
        <w:tc>
          <w:tcPr>
            <w:tcW w:w="860" w:type="dxa"/>
            <w:vAlign w:val="bottom"/>
            <w:tcBorders>
              <w:top w:val="single" w:sz="8" w:color="CEFFE7"/>
            </w:tcBorders>
          </w:tcPr>
          <w:p>
            <w:pPr>
              <w:spacing w:after="0" w:line="20" w:lineRule="exact"/>
              <w:rPr>
                <w:sz w:val="1"/>
                <w:szCs w:val="1"/>
                <w:color w:val="auto"/>
              </w:rPr>
            </w:pPr>
          </w:p>
        </w:tc>
        <w:tc>
          <w:tcPr>
            <w:tcW w:w="8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right="440" w:hanging="332"/>
        <w:spacing w:after="0" w:line="258" w:lineRule="auto"/>
        <w:tabs>
          <w:tab w:leader="none" w:pos="352"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 June 2021, Nebraska Gas provided TCJA-related bill credits to its customers. These bill credits were offset by a reduction in income tax expense and resulted in a minimal impact to Net income.</w:t>
      </w:r>
    </w:p>
    <w:p>
      <w:pPr>
        <w:spacing w:after="0" w:line="218"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due to $4.4 million of higher employee costs and outside services driven by higher headcount and higher stock compensation expense related to market performance, $1.6 million of increased facilities and office expenses, and $1.0 million of increased property taxes due to a higher asset base partially offset by $3.2 million of decreased bad debt expense associated with lower expected credit losses. Other expenses, none of which were individually significant, comprised the remainder of the difference when compared to the same period in the prior year.</w:t>
      </w:r>
    </w:p>
    <w:p>
      <w:pPr>
        <w:spacing w:after="0" w:line="229"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was comparable to the same period in the prior year due to lower depreciation rates approved in the Nebraska Gas and Colorado Gas rate reviews mostly offset by increased depreciation due to a higher asset base driven by prior and current year capital expenditures.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2021 Compared to the Six Months Ended June 30, 2020: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Gross margin</w:t>
      </w:r>
      <w:r>
        <w:rPr>
          <w:rFonts w:ascii="Arial" w:cs="Arial" w:eastAsia="Arial" w:hAnsi="Arial"/>
          <w:sz w:val="16"/>
          <w:szCs w:val="16"/>
          <w:color w:val="auto"/>
        </w:rPr>
        <w:t xml:space="preserve"> for the six months ended June 30, 2021 increased as a result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0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(in millions)</w:t>
            </w:r>
          </w:p>
        </w:tc>
      </w:tr>
      <w:tr>
        <w:trPr>
          <w:trHeight w:val="212"/>
        </w:trPr>
        <w:tc>
          <w:tcPr>
            <w:tcW w:w="9000" w:type="dxa"/>
            <w:vAlign w:val="bottom"/>
            <w:shd w:val="clear" w:color="auto" w:fill="CEFFE7"/>
          </w:tcPr>
          <w:p>
            <w:pPr>
              <w:ind w:left="20"/>
              <w:spacing w:after="0"/>
              <w:rPr>
                <w:sz w:val="20"/>
                <w:szCs w:val="20"/>
                <w:color w:val="auto"/>
              </w:rPr>
            </w:pPr>
            <w:r>
              <w:rPr>
                <w:rFonts w:ascii="Arial" w:cs="Arial" w:eastAsia="Arial" w:hAnsi="Arial"/>
                <w:sz w:val="16"/>
                <w:szCs w:val="16"/>
                <w:color w:val="auto"/>
              </w:rPr>
              <w:t>New rates</w:t>
            </w:r>
          </w:p>
        </w:tc>
        <w:tc>
          <w:tcPr>
            <w:tcW w:w="40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14.7</w:t>
            </w:r>
          </w:p>
        </w:tc>
      </w:tr>
      <w:tr>
        <w:trPr>
          <w:trHeight w:val="213"/>
        </w:trPr>
        <w:tc>
          <w:tcPr>
            <w:tcW w:w="9000" w:type="dxa"/>
            <w:vAlign w:val="bottom"/>
          </w:tcPr>
          <w:p>
            <w:pPr>
              <w:ind w:left="20"/>
              <w:spacing w:after="0"/>
              <w:rPr>
                <w:sz w:val="20"/>
                <w:szCs w:val="20"/>
                <w:color w:val="auto"/>
              </w:rPr>
            </w:pPr>
            <w:r>
              <w:rPr>
                <w:rFonts w:ascii="Arial" w:cs="Arial" w:eastAsia="Arial" w:hAnsi="Arial"/>
                <w:sz w:val="16"/>
                <w:szCs w:val="16"/>
                <w:color w:val="auto"/>
              </w:rPr>
              <w:t>Weather</w:t>
            </w: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9"/>
        </w:trPr>
        <w:tc>
          <w:tcPr>
            <w:tcW w:w="9000" w:type="dxa"/>
            <w:vAlign w:val="bottom"/>
            <w:shd w:val="clear" w:color="auto" w:fill="CEFFE7"/>
          </w:tcPr>
          <w:p>
            <w:pPr>
              <w:ind w:left="20"/>
              <w:spacing w:after="0"/>
              <w:rPr>
                <w:sz w:val="20"/>
                <w:szCs w:val="20"/>
                <w:color w:val="auto"/>
              </w:rPr>
            </w:pPr>
            <w:r>
              <w:rPr>
                <w:rFonts w:ascii="Arial" w:cs="Arial" w:eastAsia="Arial" w:hAnsi="Arial"/>
                <w:sz w:val="16"/>
                <w:szCs w:val="16"/>
                <w:color w:val="auto"/>
              </w:rPr>
              <w:t>Mark-to-market on non-utility natural gas commodity contracts</w:t>
            </w:r>
          </w:p>
        </w:tc>
        <w:tc>
          <w:tcPr>
            <w:tcW w:w="400" w:type="dxa"/>
            <w:vAlign w:val="bottom"/>
            <w:shd w:val="clear" w:color="auto" w:fill="CEFFE7"/>
          </w:tcPr>
          <w:p>
            <w:pPr>
              <w:spacing w:after="0"/>
              <w:rPr>
                <w:sz w:val="19"/>
                <w:szCs w:val="19"/>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9000" w:type="dxa"/>
            <w:vAlign w:val="bottom"/>
          </w:tcPr>
          <w:p>
            <w:pPr>
              <w:ind w:left="20"/>
              <w:spacing w:after="0"/>
              <w:rPr>
                <w:sz w:val="20"/>
                <w:szCs w:val="20"/>
                <w:color w:val="auto"/>
              </w:rPr>
            </w:pPr>
            <w:r>
              <w:rPr>
                <w:rFonts w:ascii="Arial" w:cs="Arial" w:eastAsia="Arial" w:hAnsi="Arial"/>
                <w:sz w:val="16"/>
                <w:szCs w:val="16"/>
                <w:color w:val="auto"/>
              </w:rPr>
              <w:t>Prior year COVID-19 impacts</w:t>
            </w: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19"/>
        </w:trPr>
        <w:tc>
          <w:tcPr>
            <w:tcW w:w="9000" w:type="dxa"/>
            <w:vAlign w:val="bottom"/>
            <w:shd w:val="clear" w:color="auto" w:fill="CEFFE7"/>
          </w:tcPr>
          <w:p>
            <w:pPr>
              <w:ind w:left="20"/>
              <w:spacing w:after="0" w:line="219" w:lineRule="exact"/>
              <w:rPr>
                <w:sz w:val="20"/>
                <w:szCs w:val="20"/>
                <w:color w:val="auto"/>
              </w:rPr>
            </w:pPr>
            <w:r>
              <w:rPr>
                <w:rFonts w:ascii="Arial" w:cs="Arial" w:eastAsia="Arial" w:hAnsi="Arial"/>
                <w:sz w:val="16"/>
                <w:szCs w:val="16"/>
                <w:color w:val="auto"/>
              </w:rPr>
              <w:t xml:space="preserve">Black Hills Energy Services Winter Storm Uri costs </w:t>
            </w:r>
            <w:r>
              <w:rPr>
                <w:rFonts w:ascii="Arial" w:cs="Arial" w:eastAsia="Arial" w:hAnsi="Arial"/>
                <w:sz w:val="21"/>
                <w:szCs w:val="21"/>
                <w:color w:val="auto"/>
                <w:vertAlign w:val="superscript"/>
              </w:rPr>
              <w:t>(a)</w:t>
            </w:r>
          </w:p>
        </w:tc>
        <w:tc>
          <w:tcPr>
            <w:tcW w:w="400" w:type="dxa"/>
            <w:vAlign w:val="bottom"/>
            <w:shd w:val="clear" w:color="auto" w:fill="CEFFE7"/>
          </w:tcPr>
          <w:p>
            <w:pPr>
              <w:spacing w:after="0"/>
              <w:rPr>
                <w:sz w:val="19"/>
                <w:szCs w:val="19"/>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(8.2)</w:t>
            </w:r>
          </w:p>
        </w:tc>
      </w:tr>
      <w:tr>
        <w:trPr>
          <w:trHeight w:val="216"/>
        </w:trPr>
        <w:tc>
          <w:tcPr>
            <w:tcW w:w="90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TCJA-related bill credits </w:t>
            </w:r>
            <w:r>
              <w:rPr>
                <w:rFonts w:ascii="Arial" w:cs="Arial" w:eastAsia="Arial" w:hAnsi="Arial"/>
                <w:sz w:val="21"/>
                <w:szCs w:val="21"/>
                <w:color w:val="auto"/>
                <w:vertAlign w:val="superscript"/>
              </w:rPr>
              <w:t>(b)</w:t>
            </w: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9000" w:type="dxa"/>
            <w:vAlign w:val="bottom"/>
            <w:shd w:val="clear" w:color="auto" w:fill="CEFFE7"/>
          </w:tcPr>
          <w:p>
            <w:pPr>
              <w:ind w:left="20"/>
              <w:spacing w:after="0"/>
              <w:rPr>
                <w:sz w:val="20"/>
                <w:szCs w:val="20"/>
                <w:color w:val="auto"/>
              </w:rPr>
            </w:pPr>
            <w:r>
              <w:rPr>
                <w:rFonts w:ascii="Arial" w:cs="Arial" w:eastAsia="Arial" w:hAnsi="Arial"/>
                <w:sz w:val="16"/>
                <w:szCs w:val="16"/>
                <w:color w:val="auto"/>
              </w:rPr>
              <w:t>Non-utility - Service Guard Comfort Plan and Gas Supply Services</w:t>
            </w:r>
          </w:p>
        </w:tc>
        <w:tc>
          <w:tcPr>
            <w:tcW w:w="400" w:type="dxa"/>
            <w:vAlign w:val="bottom"/>
            <w:shd w:val="clear" w:color="auto" w:fill="CEFFE7"/>
          </w:tcPr>
          <w:p>
            <w:pPr>
              <w:spacing w:after="0"/>
              <w:rPr>
                <w:sz w:val="18"/>
                <w:szCs w:val="18"/>
                <w:color w:val="auto"/>
              </w:rPr>
            </w:pPr>
          </w:p>
        </w:tc>
        <w:tc>
          <w:tcPr>
            <w:tcW w:w="18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900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238"/>
        </w:trPr>
        <w:tc>
          <w:tcPr>
            <w:tcW w:w="90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Total increase in Gross margin (non-GAAP)</w:t>
            </w:r>
          </w:p>
        </w:tc>
        <w:tc>
          <w:tcPr>
            <w:tcW w:w="40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10.5</w:t>
            </w:r>
          </w:p>
        </w:tc>
      </w:tr>
      <w:tr>
        <w:trPr>
          <w:trHeight w:val="20"/>
        </w:trPr>
        <w:tc>
          <w:tcPr>
            <w:tcW w:w="9000" w:type="dxa"/>
            <w:vAlign w:val="bottom"/>
            <w:tcBorders>
              <w:top w:val="single" w:sz="8" w:color="CEFFE7"/>
            </w:tcBorders>
          </w:tcPr>
          <w:p>
            <w:pPr>
              <w:spacing w:after="0" w:line="20" w:lineRule="exact"/>
              <w:rPr>
                <w:sz w:val="1"/>
                <w:szCs w:val="1"/>
                <w:color w:val="auto"/>
              </w:rPr>
            </w:pPr>
          </w:p>
        </w:tc>
        <w:tc>
          <w:tcPr>
            <w:tcW w:w="400" w:type="dxa"/>
            <w:vAlign w:val="bottom"/>
            <w:tcBorders>
              <w:top w:val="single" w:sz="8" w:color="CEFFE7"/>
              <w:bottom w:val="single" w:sz="8" w:color="auto"/>
            </w:tcBorders>
          </w:tcPr>
          <w:p>
            <w:pPr>
              <w:spacing w:after="0" w:line="20" w:lineRule="exact"/>
              <w:rPr>
                <w:sz w:val="1"/>
                <w:szCs w:val="1"/>
                <w:color w:val="auto"/>
              </w:rPr>
            </w:pPr>
          </w:p>
        </w:tc>
        <w:tc>
          <w:tcPr>
            <w:tcW w:w="1800" w:type="dxa"/>
            <w:vAlign w:val="bottom"/>
            <w:tcBorders>
              <w:top w:val="single" w:sz="8" w:color="CEFFE7"/>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right="240" w:hanging="332"/>
        <w:spacing w:after="0" w:line="241" w:lineRule="auto"/>
        <w:tabs>
          <w:tab w:leader="none" w:pos="352" w:val="left"/>
        </w:tabs>
        <w:numPr>
          <w:ilvl w:val="0"/>
          <w:numId w:val="31"/>
        </w:numPr>
        <w:rPr>
          <w:rFonts w:ascii="Arial" w:cs="Arial" w:eastAsia="Arial" w:hAnsi="Arial"/>
          <w:sz w:val="14"/>
          <w:szCs w:val="14"/>
          <w:color w:val="auto"/>
        </w:rPr>
      </w:pPr>
      <w:r>
        <w:rPr>
          <w:rFonts w:ascii="Arial" w:cs="Arial" w:eastAsia="Arial" w:hAnsi="Arial"/>
          <w:sz w:val="14"/>
          <w:szCs w:val="14"/>
          <w:color w:val="auto"/>
        </w:rPr>
        <w:t>Black Hills Energy Services offers fixed contract pricing for non-regulated gas supply services to our regulated natural gas customers. The increased cost of natural gas sold during Winter Storm Uri is not recoverable through a regulatory mechanism.</w:t>
      </w:r>
    </w:p>
    <w:p>
      <w:pPr>
        <w:ind w:left="340" w:right="400" w:hanging="332"/>
        <w:spacing w:after="0" w:line="258" w:lineRule="auto"/>
        <w:tabs>
          <w:tab w:leader="none" w:pos="352"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June 2021, Nebraska Gas delivered TCJA-related bill credits to its customers. These bill credits were offset by a reduction in income tax expense and resulted in a minimal impact to Net income.</w:t>
      </w:r>
    </w:p>
    <w:p>
      <w:pPr>
        <w:spacing w:after="0" w:line="218"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$9.6 million of higher employee costs and outside services driven by higher headcount and higher stock compensation expense related to market performance, $2.2 million of higher facilities and office related expenses, and $1.6 million of increased property taxes due to a higher asset base partially offset by $3.4 million of decreased bad debt expense associated with lower expected credit losses.</w:t>
      </w:r>
    </w:p>
    <w:p>
      <w:pPr>
        <w:spacing w:after="0" w:line="228"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was comparable to the same period in the prior year due to lower depreciation rates approved in the Nebraska Gas and Colorado Gas rate reviews mostly offset by increased depreciation due to a higher asset base driven by prior and current year capital expenditures.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820" w:type="dxa"/>
            <w:vAlign w:val="bottom"/>
            <w:gridSpan w:val="2"/>
          </w:tcPr>
          <w:p>
            <w:pPr>
              <w:spacing w:after="0"/>
              <w:rPr>
                <w:sz w:val="20"/>
                <w:szCs w:val="20"/>
                <w:color w:val="auto"/>
              </w:rPr>
            </w:pPr>
            <w:r>
              <w:rPr>
                <w:rFonts w:ascii="Arial" w:cs="Arial" w:eastAsia="Arial" w:hAnsi="Arial"/>
                <w:sz w:val="16"/>
                <w:szCs w:val="16"/>
                <w:i w:val="1"/>
                <w:iCs w:val="1"/>
                <w:color w:val="auto"/>
              </w:rPr>
              <w:t>Operating Statistics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gridSpan w:val="3"/>
          </w:tcPr>
          <w:p>
            <w:pPr>
              <w:jc w:val="center"/>
              <w:ind w:right="39"/>
              <w:spacing w:after="0"/>
              <w:rPr>
                <w:sz w:val="20"/>
                <w:szCs w:val="20"/>
                <w:color w:val="auto"/>
              </w:rPr>
            </w:pPr>
            <w:r>
              <w:rPr>
                <w:rFonts w:ascii="Arial" w:cs="Arial" w:eastAsia="Arial" w:hAnsi="Arial"/>
                <w:sz w:val="16"/>
                <w:szCs w:val="16"/>
                <w:color w:val="auto"/>
              </w:rPr>
              <w:t>Gross Margin (non-GAAP) (in</w:t>
            </w:r>
          </w:p>
        </w:tc>
        <w:tc>
          <w:tcPr>
            <w:tcW w:w="120" w:type="dxa"/>
            <w:vAlign w:val="bottom"/>
          </w:tcPr>
          <w:p>
            <w:pPr>
              <w:spacing w:after="0"/>
              <w:rPr>
                <w:sz w:val="17"/>
                <w:szCs w:val="17"/>
                <w:color w:val="auto"/>
              </w:rPr>
            </w:pPr>
          </w:p>
        </w:tc>
        <w:tc>
          <w:tcPr>
            <w:tcW w:w="2400" w:type="dxa"/>
            <w:vAlign w:val="bottom"/>
            <w:gridSpan w:val="2"/>
          </w:tcPr>
          <w:p>
            <w:pPr>
              <w:jc w:val="center"/>
              <w:spacing w:after="0"/>
              <w:rPr>
                <w:sz w:val="20"/>
                <w:szCs w:val="20"/>
                <w:color w:val="auto"/>
              </w:rPr>
            </w:pPr>
            <w:r>
              <w:rPr>
                <w:rFonts w:ascii="Arial" w:cs="Arial" w:eastAsia="Arial" w:hAnsi="Arial"/>
                <w:sz w:val="16"/>
                <w:szCs w:val="16"/>
                <w:color w:val="auto"/>
              </w:rPr>
              <w:t>Gas Utilities Quantities Sold &amp;</w:t>
            </w:r>
          </w:p>
        </w:tc>
        <w:tc>
          <w:tcPr>
            <w:tcW w:w="0" w:type="dxa"/>
            <w:vAlign w:val="bottom"/>
          </w:tcPr>
          <w:p>
            <w:pPr>
              <w:spacing w:after="0"/>
              <w:rPr>
                <w:sz w:val="1"/>
                <w:szCs w:val="1"/>
                <w:color w:val="auto"/>
              </w:rPr>
            </w:pPr>
          </w:p>
        </w:tc>
      </w:tr>
      <w:tr>
        <w:trPr>
          <w:trHeight w:val="198"/>
        </w:trPr>
        <w:tc>
          <w:tcPr>
            <w:tcW w:w="37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6"/>
                <w:szCs w:val="16"/>
                <w:color w:val="auto"/>
              </w:rPr>
              <w:t>Revenue (in thousands)</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left="559"/>
              <w:spacing w:after="0"/>
              <w:rPr>
                <w:sz w:val="20"/>
                <w:szCs w:val="20"/>
                <w:color w:val="auto"/>
              </w:rPr>
            </w:pPr>
            <w:r>
              <w:rPr>
                <w:rFonts w:ascii="Arial" w:cs="Arial" w:eastAsia="Arial" w:hAnsi="Arial"/>
                <w:sz w:val="16"/>
                <w:szCs w:val="16"/>
                <w:color w:val="auto"/>
              </w:rPr>
              <w:t>thousands)</w:t>
            </w: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Transported (Dth)</w:t>
            </w:r>
          </w:p>
        </w:tc>
        <w:tc>
          <w:tcPr>
            <w:tcW w:w="0" w:type="dxa"/>
            <w:vAlign w:val="bottom"/>
          </w:tcPr>
          <w:p>
            <w:pPr>
              <w:spacing w:after="0"/>
              <w:rPr>
                <w:sz w:val="1"/>
                <w:szCs w:val="1"/>
                <w:color w:val="auto"/>
              </w:rPr>
            </w:pPr>
          </w:p>
        </w:tc>
      </w:tr>
      <w:tr>
        <w:trPr>
          <w:trHeight w:val="174"/>
        </w:trPr>
        <w:tc>
          <w:tcPr>
            <w:tcW w:w="3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4"/>
          </w:tcPr>
          <w:p>
            <w:pPr>
              <w:jc w:val="center"/>
              <w:ind w:right="320"/>
              <w:spacing w:after="0" w:line="174" w:lineRule="exact"/>
              <w:rPr>
                <w:sz w:val="20"/>
                <w:szCs w:val="20"/>
                <w:color w:val="auto"/>
              </w:rPr>
            </w:pPr>
            <w:r>
              <w:rPr>
                <w:rFonts w:ascii="Arial" w:cs="Arial" w:eastAsia="Arial" w:hAnsi="Arial"/>
                <w:sz w:val="16"/>
                <w:szCs w:val="16"/>
                <w:color w:val="auto"/>
              </w:rPr>
              <w:t>Three Months Ended</w:t>
            </w:r>
          </w:p>
        </w:tc>
        <w:tc>
          <w:tcPr>
            <w:tcW w:w="140" w:type="dxa"/>
            <w:vAlign w:val="bottom"/>
          </w:tcPr>
          <w:p>
            <w:pPr>
              <w:spacing w:after="0"/>
              <w:rPr>
                <w:sz w:val="15"/>
                <w:szCs w:val="15"/>
                <w:color w:val="auto"/>
              </w:rPr>
            </w:pPr>
          </w:p>
        </w:tc>
        <w:tc>
          <w:tcPr>
            <w:tcW w:w="2260" w:type="dxa"/>
            <w:vAlign w:val="bottom"/>
            <w:gridSpan w:val="3"/>
          </w:tcPr>
          <w:p>
            <w:pPr>
              <w:jc w:val="center"/>
              <w:ind w:right="39"/>
              <w:spacing w:after="0" w:line="174" w:lineRule="exact"/>
              <w:rPr>
                <w:sz w:val="20"/>
                <w:szCs w:val="20"/>
                <w:color w:val="auto"/>
              </w:rPr>
            </w:pPr>
            <w:r>
              <w:rPr>
                <w:rFonts w:ascii="Arial" w:cs="Arial" w:eastAsia="Arial" w:hAnsi="Arial"/>
                <w:sz w:val="16"/>
                <w:szCs w:val="16"/>
                <w:color w:val="auto"/>
              </w:rPr>
              <w:t>Three Months Ended</w:t>
            </w:r>
          </w:p>
        </w:tc>
        <w:tc>
          <w:tcPr>
            <w:tcW w:w="120" w:type="dxa"/>
            <w:vAlign w:val="bottom"/>
          </w:tcPr>
          <w:p>
            <w:pPr>
              <w:spacing w:after="0"/>
              <w:rPr>
                <w:sz w:val="15"/>
                <w:szCs w:val="15"/>
                <w:color w:val="auto"/>
              </w:rPr>
            </w:pPr>
          </w:p>
        </w:tc>
        <w:tc>
          <w:tcPr>
            <w:tcW w:w="2400" w:type="dxa"/>
            <w:vAlign w:val="bottom"/>
            <w:gridSpan w:val="2"/>
          </w:tcPr>
          <w:p>
            <w:pPr>
              <w:jc w:val="center"/>
              <w:spacing w:after="0" w:line="174" w:lineRule="exact"/>
              <w:rPr>
                <w:sz w:val="20"/>
                <w:szCs w:val="20"/>
                <w:color w:val="auto"/>
              </w:rPr>
            </w:pPr>
            <w:r>
              <w:rPr>
                <w:rFonts w:ascii="Arial" w:cs="Arial" w:eastAsia="Arial" w:hAnsi="Arial"/>
                <w:sz w:val="16"/>
                <w:szCs w:val="16"/>
                <w:color w:val="auto"/>
              </w:rPr>
              <w:t>Three Months Ended</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left="519"/>
              <w:spacing w:after="0"/>
              <w:rPr>
                <w:sz w:val="20"/>
                <w:szCs w:val="20"/>
                <w:color w:val="auto"/>
              </w:rPr>
            </w:pPr>
            <w:r>
              <w:rPr>
                <w:rFonts w:ascii="Arial" w:cs="Arial" w:eastAsia="Arial" w:hAnsi="Arial"/>
                <w:sz w:val="16"/>
                <w:szCs w:val="16"/>
                <w:color w:val="auto"/>
              </w:rPr>
              <w:t>June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left="579"/>
              <w:spacing w:after="0"/>
              <w:rPr>
                <w:sz w:val="20"/>
                <w:szCs w:val="20"/>
                <w:color w:val="auto"/>
              </w:rPr>
            </w:pPr>
            <w:r>
              <w:rPr>
                <w:rFonts w:ascii="Arial" w:cs="Arial" w:eastAsia="Arial" w:hAnsi="Arial"/>
                <w:sz w:val="16"/>
                <w:szCs w:val="16"/>
                <w:color w:val="auto"/>
              </w:rPr>
              <w:t>June 30,</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left="779"/>
              <w:spacing w:after="0"/>
              <w:rPr>
                <w:sz w:val="20"/>
                <w:szCs w:val="20"/>
                <w:color w:val="auto"/>
              </w:rPr>
            </w:pPr>
            <w:r>
              <w:rPr>
                <w:rFonts w:ascii="Arial" w:cs="Arial" w:eastAsia="Arial" w:hAnsi="Arial"/>
                <w:sz w:val="16"/>
                <w:szCs w:val="16"/>
                <w:color w:val="auto"/>
              </w:rPr>
              <w:t>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2021</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2021</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95"/>
              </w:rPr>
              <w:t>2020</w:t>
            </w:r>
          </w:p>
        </w:tc>
        <w:tc>
          <w:tcPr>
            <w:tcW w:w="164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color w:val="auto"/>
              </w:rPr>
              <w:t>2021</w:t>
            </w: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45"/>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98,370</w:t>
            </w:r>
          </w:p>
        </w:tc>
        <w:tc>
          <w:tcPr>
            <w:tcW w:w="36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83,240</w:t>
            </w:r>
          </w:p>
        </w:tc>
        <w:tc>
          <w:tcPr>
            <w:tcW w:w="100" w:type="dxa"/>
            <w:vAlign w:val="bottom"/>
            <w:shd w:val="clear" w:color="auto" w:fill="CEFFE7"/>
          </w:tcPr>
          <w:p>
            <w:pPr>
              <w:spacing w:after="0"/>
              <w:rPr>
                <w:sz w:val="18"/>
                <w:szCs w:val="18"/>
                <w:color w:val="auto"/>
              </w:rPr>
            </w:pP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60,388</w:t>
            </w:r>
          </w:p>
        </w:tc>
        <w:tc>
          <w:tcPr>
            <w:tcW w:w="42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56,368</w:t>
            </w:r>
          </w:p>
        </w:tc>
        <w:tc>
          <w:tcPr>
            <w:tcW w:w="1640" w:type="dxa"/>
            <w:vAlign w:val="bottom"/>
            <w:gridSpan w:val="2"/>
            <w:shd w:val="clear" w:color="auto" w:fill="CEFFE7"/>
          </w:tcPr>
          <w:p>
            <w:pPr>
              <w:jc w:val="right"/>
              <w:ind w:right="319"/>
              <w:spacing w:after="0"/>
              <w:rPr>
                <w:sz w:val="20"/>
                <w:szCs w:val="20"/>
                <w:color w:val="auto"/>
              </w:rPr>
            </w:pPr>
            <w:r>
              <w:rPr>
                <w:rFonts w:ascii="Arial" w:cs="Arial" w:eastAsia="Arial" w:hAnsi="Arial"/>
                <w:sz w:val="16"/>
                <w:szCs w:val="16"/>
                <w:color w:val="auto"/>
              </w:rPr>
              <w:t>8,575,051</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8,501,835</w:t>
            </w:r>
          </w:p>
        </w:tc>
        <w:tc>
          <w:tcPr>
            <w:tcW w:w="0" w:type="dxa"/>
            <w:vAlign w:val="bottom"/>
          </w:tcPr>
          <w:p>
            <w:pPr>
              <w:spacing w:after="0"/>
              <w:rPr>
                <w:sz w:val="1"/>
                <w:szCs w:val="1"/>
                <w:color w:val="auto"/>
              </w:rPr>
            </w:pPr>
          </w:p>
        </w:tc>
      </w:tr>
      <w:tr>
        <w:trPr>
          <w:trHeight w:val="213"/>
        </w:trPr>
        <w:tc>
          <w:tcPr>
            <w:tcW w:w="3820" w:type="dxa"/>
            <w:vAlign w:val="bottom"/>
            <w:gridSpan w:val="2"/>
          </w:tcPr>
          <w:p>
            <w:pPr>
              <w:ind w:left="20"/>
              <w:spacing w:after="0"/>
              <w:rPr>
                <w:sz w:val="20"/>
                <w:szCs w:val="20"/>
                <w:color w:val="auto"/>
              </w:rPr>
            </w:pPr>
            <w:r>
              <w:rPr>
                <w:rFonts w:ascii="Arial" w:cs="Arial" w:eastAsia="Arial" w:hAnsi="Arial"/>
                <w:sz w:val="16"/>
                <w:szCs w:val="16"/>
                <w:color w:val="auto"/>
              </w:rPr>
              <w:t>Commercial</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36,888</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27,441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16,964</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15,336</w:t>
            </w:r>
          </w:p>
        </w:tc>
        <w:tc>
          <w:tcPr>
            <w:tcW w:w="1640" w:type="dxa"/>
            <w:vAlign w:val="bottom"/>
            <w:gridSpan w:val="2"/>
          </w:tcPr>
          <w:p>
            <w:pPr>
              <w:jc w:val="right"/>
              <w:ind w:right="319"/>
              <w:spacing w:after="0"/>
              <w:rPr>
                <w:sz w:val="20"/>
                <w:szCs w:val="20"/>
                <w:color w:val="auto"/>
              </w:rPr>
            </w:pPr>
            <w:r>
              <w:rPr>
                <w:rFonts w:ascii="Arial" w:cs="Arial" w:eastAsia="Arial" w:hAnsi="Arial"/>
                <w:sz w:val="16"/>
                <w:szCs w:val="16"/>
                <w:color w:val="auto"/>
              </w:rPr>
              <w:t>4,493,931</w:t>
            </w:r>
          </w:p>
        </w:tc>
        <w:tc>
          <w:tcPr>
            <w:tcW w:w="880" w:type="dxa"/>
            <w:vAlign w:val="bottom"/>
          </w:tcPr>
          <w:p>
            <w:pPr>
              <w:jc w:val="right"/>
              <w:spacing w:after="0"/>
              <w:rPr>
                <w:sz w:val="20"/>
                <w:szCs w:val="20"/>
                <w:color w:val="auto"/>
              </w:rPr>
            </w:pPr>
            <w:r>
              <w:rPr>
                <w:rFonts w:ascii="Arial" w:cs="Arial" w:eastAsia="Arial" w:hAnsi="Arial"/>
                <w:sz w:val="16"/>
                <w:szCs w:val="16"/>
                <w:color w:val="auto"/>
              </w:rPr>
              <w:t>3,965,529</w:t>
            </w:r>
          </w:p>
        </w:tc>
        <w:tc>
          <w:tcPr>
            <w:tcW w:w="0" w:type="dxa"/>
            <w:vAlign w:val="bottom"/>
          </w:tcPr>
          <w:p>
            <w:pPr>
              <w:spacing w:after="0"/>
              <w:rPr>
                <w:sz w:val="1"/>
                <w:szCs w:val="1"/>
                <w:color w:val="auto"/>
              </w:rPr>
            </w:pPr>
          </w:p>
        </w:tc>
      </w:tr>
      <w:tr>
        <w:trPr>
          <w:trHeight w:val="219"/>
        </w:trPr>
        <w:tc>
          <w:tcPr>
            <w:tcW w:w="38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Industrial</w:t>
            </w:r>
          </w:p>
        </w:tc>
        <w:tc>
          <w:tcPr>
            <w:tcW w:w="22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5,811</w:t>
            </w:r>
          </w:p>
        </w:tc>
        <w:tc>
          <w:tcPr>
            <w:tcW w:w="360" w:type="dxa"/>
            <w:vAlign w:val="bottom"/>
            <w:shd w:val="clear" w:color="auto" w:fill="CEFFE7"/>
          </w:tcPr>
          <w:p>
            <w:pPr>
              <w:spacing w:after="0"/>
              <w:rPr>
                <w:sz w:val="19"/>
                <w:szCs w:val="19"/>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6,059</w:t>
            </w:r>
          </w:p>
        </w:tc>
        <w:tc>
          <w:tcPr>
            <w:tcW w:w="10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1,400</w:t>
            </w:r>
          </w:p>
        </w:tc>
        <w:tc>
          <w:tcPr>
            <w:tcW w:w="420" w:type="dxa"/>
            <w:vAlign w:val="bottom"/>
            <w:shd w:val="clear" w:color="auto" w:fill="CEFFE7"/>
          </w:tcPr>
          <w:p>
            <w:pPr>
              <w:spacing w:after="0"/>
              <w:rPr>
                <w:sz w:val="19"/>
                <w:szCs w:val="19"/>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2,140</w:t>
            </w:r>
          </w:p>
        </w:tc>
        <w:tc>
          <w:tcPr>
            <w:tcW w:w="1640" w:type="dxa"/>
            <w:vAlign w:val="bottom"/>
            <w:gridSpan w:val="2"/>
            <w:shd w:val="clear" w:color="auto" w:fill="CEFFE7"/>
          </w:tcPr>
          <w:p>
            <w:pPr>
              <w:jc w:val="right"/>
              <w:ind w:right="319"/>
              <w:spacing w:after="0"/>
              <w:rPr>
                <w:sz w:val="20"/>
                <w:szCs w:val="20"/>
                <w:color w:val="auto"/>
              </w:rPr>
            </w:pPr>
            <w:r>
              <w:rPr>
                <w:rFonts w:ascii="Arial" w:cs="Arial" w:eastAsia="Arial" w:hAnsi="Arial"/>
                <w:sz w:val="16"/>
                <w:szCs w:val="16"/>
                <w:color w:val="auto"/>
              </w:rPr>
              <w:t>1,337,672</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2,036,553</w:t>
            </w:r>
          </w:p>
        </w:tc>
        <w:tc>
          <w:tcPr>
            <w:tcW w:w="0" w:type="dxa"/>
            <w:vAlign w:val="bottom"/>
          </w:tcPr>
          <w:p>
            <w:pPr>
              <w:spacing w:after="0"/>
              <w:rPr>
                <w:sz w:val="1"/>
                <w:szCs w:val="1"/>
                <w:color w:val="auto"/>
              </w:rPr>
            </w:pPr>
          </w:p>
        </w:tc>
      </w:tr>
      <w:tr>
        <w:trPr>
          <w:trHeight w:val="213"/>
        </w:trPr>
        <w:tc>
          <w:tcPr>
            <w:tcW w:w="382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Borders>
              <w:bottom w:val="single" w:sz="8" w:color="CEFFE7"/>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w:t>
            </w:r>
          </w:p>
        </w:tc>
        <w:tc>
          <w:tcPr>
            <w:tcW w:w="120" w:type="dxa"/>
            <w:vAlign w:val="bottom"/>
            <w:tcBorders>
              <w:bottom w:val="single" w:sz="8" w:color="CEFFE7"/>
            </w:tcBorders>
          </w:tcPr>
          <w:p>
            <w:pPr>
              <w:spacing w:after="0"/>
              <w:rPr>
                <w:sz w:val="18"/>
                <w:szCs w:val="18"/>
                <w:color w:val="auto"/>
              </w:rPr>
            </w:pPr>
          </w:p>
        </w:tc>
        <w:tc>
          <w:tcPr>
            <w:tcW w:w="1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820" w:type="dxa"/>
            <w:vAlign w:val="bottom"/>
            <w:gridSpan w:val="2"/>
            <w:shd w:val="clear" w:color="auto" w:fill="CEFFE7"/>
          </w:tcPr>
          <w:p>
            <w:pPr>
              <w:ind w:left="220"/>
              <w:spacing w:after="0"/>
              <w:rPr>
                <w:sz w:val="20"/>
                <w:szCs w:val="20"/>
                <w:color w:val="auto"/>
              </w:rPr>
            </w:pPr>
            <w:r>
              <w:rPr>
                <w:rFonts w:ascii="Arial" w:cs="Arial" w:eastAsia="Arial" w:hAnsi="Arial"/>
                <w:sz w:val="16"/>
                <w:szCs w:val="16"/>
                <w:color w:val="auto"/>
              </w:rPr>
              <w:t>Total Distribution</w:t>
            </w:r>
          </w:p>
        </w:tc>
        <w:tc>
          <w:tcPr>
            <w:tcW w:w="22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140,651</w:t>
            </w:r>
          </w:p>
        </w:tc>
        <w:tc>
          <w:tcPr>
            <w:tcW w:w="360" w:type="dxa"/>
            <w:vAlign w:val="bottom"/>
            <w:shd w:val="clear" w:color="auto" w:fill="CEFFE7"/>
          </w:tcPr>
          <w:p>
            <w:pPr>
              <w:spacing w:after="0"/>
              <w:rPr>
                <w:sz w:val="18"/>
                <w:szCs w:val="18"/>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117,568</w:t>
            </w:r>
          </w:p>
        </w:tc>
        <w:tc>
          <w:tcPr>
            <w:tcW w:w="10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78,334</w:t>
            </w:r>
          </w:p>
        </w:tc>
        <w:tc>
          <w:tcPr>
            <w:tcW w:w="420" w:type="dxa"/>
            <w:vAlign w:val="bottom"/>
            <w:shd w:val="clear" w:color="auto" w:fill="CEFFE7"/>
          </w:tcPr>
          <w:p>
            <w:pPr>
              <w:spacing w:after="0"/>
              <w:rPr>
                <w:sz w:val="18"/>
                <w:szCs w:val="18"/>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74,671</w:t>
            </w:r>
          </w:p>
        </w:tc>
        <w:tc>
          <w:tcPr>
            <w:tcW w:w="1640" w:type="dxa"/>
            <w:vAlign w:val="bottom"/>
            <w:gridSpan w:val="2"/>
            <w:shd w:val="clear" w:color="auto" w:fill="CEFFE7"/>
          </w:tcPr>
          <w:p>
            <w:pPr>
              <w:jc w:val="right"/>
              <w:ind w:right="319"/>
              <w:spacing w:after="0"/>
              <w:rPr>
                <w:sz w:val="20"/>
                <w:szCs w:val="20"/>
                <w:color w:val="auto"/>
              </w:rPr>
            </w:pPr>
            <w:r>
              <w:rPr>
                <w:rFonts w:ascii="Arial" w:cs="Arial" w:eastAsia="Arial" w:hAnsi="Arial"/>
                <w:sz w:val="16"/>
                <w:szCs w:val="16"/>
                <w:color w:val="auto"/>
              </w:rPr>
              <w:t>14,406,654</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w w:val="97"/>
              </w:rPr>
              <w:t>14,503,917</w:t>
            </w:r>
          </w:p>
        </w:tc>
        <w:tc>
          <w:tcPr>
            <w:tcW w:w="0" w:type="dxa"/>
            <w:vAlign w:val="bottom"/>
          </w:tcPr>
          <w:p>
            <w:pPr>
              <w:spacing w:after="0"/>
              <w:rPr>
                <w:sz w:val="1"/>
                <w:szCs w:val="1"/>
                <w:color w:val="auto"/>
              </w:rPr>
            </w:pPr>
          </w:p>
        </w:tc>
      </w:tr>
      <w:tr>
        <w:trPr>
          <w:trHeight w:val="145"/>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Transportation and Transmission</w:t>
            </w:r>
          </w:p>
        </w:tc>
        <w:tc>
          <w:tcPr>
            <w:tcW w:w="22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31,814</w:t>
            </w:r>
          </w:p>
        </w:tc>
        <w:tc>
          <w:tcPr>
            <w:tcW w:w="360" w:type="dxa"/>
            <w:vAlign w:val="bottom"/>
            <w:shd w:val="clear" w:color="auto" w:fill="CEFFE7"/>
          </w:tcPr>
          <w:p>
            <w:pPr>
              <w:spacing w:after="0"/>
              <w:rPr>
                <w:sz w:val="18"/>
                <w:szCs w:val="18"/>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30,864</w:t>
            </w:r>
          </w:p>
        </w:tc>
        <w:tc>
          <w:tcPr>
            <w:tcW w:w="10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31,814</w:t>
            </w:r>
          </w:p>
        </w:tc>
        <w:tc>
          <w:tcPr>
            <w:tcW w:w="420" w:type="dxa"/>
            <w:vAlign w:val="bottom"/>
            <w:shd w:val="clear" w:color="auto" w:fill="CEFFE7"/>
          </w:tcPr>
          <w:p>
            <w:pPr>
              <w:spacing w:after="0"/>
              <w:rPr>
                <w:sz w:val="18"/>
                <w:szCs w:val="18"/>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30,851</w:t>
            </w:r>
          </w:p>
        </w:tc>
        <w:tc>
          <w:tcPr>
            <w:tcW w:w="1640" w:type="dxa"/>
            <w:vAlign w:val="bottom"/>
            <w:gridSpan w:val="2"/>
            <w:shd w:val="clear" w:color="auto" w:fill="CEFFE7"/>
          </w:tcPr>
          <w:p>
            <w:pPr>
              <w:jc w:val="right"/>
              <w:ind w:right="319"/>
              <w:spacing w:after="0"/>
              <w:rPr>
                <w:sz w:val="20"/>
                <w:szCs w:val="20"/>
                <w:color w:val="auto"/>
              </w:rPr>
            </w:pPr>
            <w:r>
              <w:rPr>
                <w:rFonts w:ascii="Arial" w:cs="Arial" w:eastAsia="Arial" w:hAnsi="Arial"/>
                <w:sz w:val="16"/>
                <w:szCs w:val="16"/>
                <w:color w:val="auto"/>
              </w:rPr>
              <w:t>34,074,214</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w w:val="97"/>
              </w:rPr>
              <w:t>30,243,501</w:t>
            </w:r>
          </w:p>
        </w:tc>
        <w:tc>
          <w:tcPr>
            <w:tcW w:w="0" w:type="dxa"/>
            <w:vAlign w:val="bottom"/>
          </w:tcPr>
          <w:p>
            <w:pPr>
              <w:spacing w:after="0"/>
              <w:rPr>
                <w:sz w:val="1"/>
                <w:szCs w:val="1"/>
                <w:color w:val="auto"/>
              </w:rPr>
            </w:pPr>
          </w:p>
        </w:tc>
      </w:tr>
      <w:tr>
        <w:trPr>
          <w:trHeight w:val="162"/>
        </w:trPr>
        <w:tc>
          <w:tcPr>
            <w:tcW w:w="3700" w:type="dxa"/>
            <w:vAlign w:val="bottom"/>
            <w:tcBorders>
              <w:bottom w:val="single" w:sz="8" w:color="CEFFE7"/>
            </w:tcBorders>
          </w:tcPr>
          <w:p>
            <w:pPr>
              <w:spacing w:after="0"/>
              <w:rPr>
                <w:sz w:val="14"/>
                <w:szCs w:val="14"/>
                <w:color w:val="auto"/>
              </w:rPr>
            </w:pPr>
          </w:p>
        </w:tc>
        <w:tc>
          <w:tcPr>
            <w:tcW w:w="120" w:type="dxa"/>
            <w:vAlign w:val="bottom"/>
            <w:tcBorders>
              <w:bottom w:val="single" w:sz="8" w:color="CEFFE7"/>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EFFE7"/>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820" w:type="dxa"/>
            <w:vAlign w:val="bottom"/>
            <w:gridSpan w:val="2"/>
            <w:shd w:val="clear" w:color="auto" w:fill="CEFFE7"/>
          </w:tcPr>
          <w:p>
            <w:pPr>
              <w:ind w:left="220"/>
              <w:spacing w:after="0"/>
              <w:rPr>
                <w:sz w:val="20"/>
                <w:szCs w:val="20"/>
                <w:color w:val="auto"/>
              </w:rPr>
            </w:pPr>
            <w:r>
              <w:rPr>
                <w:rFonts w:ascii="Arial" w:cs="Arial" w:eastAsia="Arial" w:hAnsi="Arial"/>
                <w:sz w:val="16"/>
                <w:szCs w:val="16"/>
                <w:color w:val="auto"/>
              </w:rPr>
              <w:t>Total Regulated</w:t>
            </w:r>
          </w:p>
        </w:tc>
        <w:tc>
          <w:tcPr>
            <w:tcW w:w="220" w:type="dxa"/>
            <w:vAlign w:val="bottom"/>
            <w:shd w:val="clear" w:color="auto" w:fill="CEFFE7"/>
          </w:tcPr>
          <w:p>
            <w:pPr>
              <w:spacing w:after="0"/>
              <w:rPr>
                <w:sz w:val="23"/>
                <w:szCs w:val="23"/>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172,465</w:t>
            </w:r>
          </w:p>
        </w:tc>
        <w:tc>
          <w:tcPr>
            <w:tcW w:w="360" w:type="dxa"/>
            <w:vAlign w:val="bottom"/>
            <w:shd w:val="clear" w:color="auto" w:fill="CEFFE7"/>
          </w:tcPr>
          <w:p>
            <w:pPr>
              <w:spacing w:after="0"/>
              <w:rPr>
                <w:sz w:val="23"/>
                <w:szCs w:val="23"/>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148,432</w:t>
            </w:r>
          </w:p>
        </w:tc>
        <w:tc>
          <w:tcPr>
            <w:tcW w:w="100" w:type="dxa"/>
            <w:vAlign w:val="bottom"/>
            <w:shd w:val="clear" w:color="auto" w:fill="CEFFE7"/>
          </w:tcPr>
          <w:p>
            <w:pPr>
              <w:spacing w:after="0"/>
              <w:rPr>
                <w:sz w:val="23"/>
                <w:szCs w:val="23"/>
                <w:color w:val="auto"/>
              </w:rPr>
            </w:pPr>
          </w:p>
        </w:tc>
        <w:tc>
          <w:tcPr>
            <w:tcW w:w="140" w:type="dxa"/>
            <w:vAlign w:val="bottom"/>
            <w:shd w:val="clear" w:color="auto" w:fill="CEFFE7"/>
          </w:tcPr>
          <w:p>
            <w:pPr>
              <w:spacing w:after="0"/>
              <w:rPr>
                <w:sz w:val="23"/>
                <w:szCs w:val="23"/>
                <w:color w:val="auto"/>
              </w:rPr>
            </w:pPr>
          </w:p>
        </w:tc>
        <w:tc>
          <w:tcPr>
            <w:tcW w:w="1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110,148</w:t>
            </w:r>
          </w:p>
        </w:tc>
        <w:tc>
          <w:tcPr>
            <w:tcW w:w="420" w:type="dxa"/>
            <w:vAlign w:val="bottom"/>
            <w:shd w:val="clear" w:color="auto" w:fill="CEFFE7"/>
          </w:tcPr>
          <w:p>
            <w:pPr>
              <w:spacing w:after="0"/>
              <w:rPr>
                <w:sz w:val="23"/>
                <w:szCs w:val="23"/>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105,522</w:t>
            </w:r>
          </w:p>
        </w:tc>
        <w:tc>
          <w:tcPr>
            <w:tcW w:w="1640" w:type="dxa"/>
            <w:vAlign w:val="bottom"/>
            <w:gridSpan w:val="2"/>
            <w:shd w:val="clear" w:color="auto" w:fill="CEFFE7"/>
          </w:tcPr>
          <w:p>
            <w:pPr>
              <w:jc w:val="right"/>
              <w:ind w:right="319"/>
              <w:spacing w:after="0"/>
              <w:rPr>
                <w:sz w:val="20"/>
                <w:szCs w:val="20"/>
                <w:color w:val="auto"/>
              </w:rPr>
            </w:pPr>
            <w:r>
              <w:rPr>
                <w:rFonts w:ascii="Arial" w:cs="Arial" w:eastAsia="Arial" w:hAnsi="Arial"/>
                <w:sz w:val="16"/>
                <w:szCs w:val="16"/>
                <w:color w:val="auto"/>
              </w:rPr>
              <w:t>48,480,868</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w w:val="97"/>
              </w:rPr>
              <w:t>44,747,418</w:t>
            </w:r>
          </w:p>
        </w:tc>
        <w:tc>
          <w:tcPr>
            <w:tcW w:w="0" w:type="dxa"/>
            <w:vAlign w:val="bottom"/>
          </w:tcPr>
          <w:p>
            <w:pPr>
              <w:spacing w:after="0"/>
              <w:rPr>
                <w:sz w:val="1"/>
                <w:szCs w:val="1"/>
                <w:color w:val="auto"/>
              </w:rPr>
            </w:pPr>
          </w:p>
        </w:tc>
      </w:tr>
      <w:tr>
        <w:trPr>
          <w:trHeight w:val="109"/>
        </w:trPr>
        <w:tc>
          <w:tcPr>
            <w:tcW w:w="3700" w:type="dxa"/>
            <w:vAlign w:val="bottom"/>
            <w:tcBorders>
              <w:top w:val="single" w:sz="8" w:color="CEFFE7"/>
            </w:tcBorders>
          </w:tcPr>
          <w:p>
            <w:pPr>
              <w:spacing w:after="0"/>
              <w:rPr>
                <w:sz w:val="9"/>
                <w:szCs w:val="9"/>
                <w:color w:val="auto"/>
              </w:rPr>
            </w:pPr>
          </w:p>
        </w:tc>
        <w:tc>
          <w:tcPr>
            <w:tcW w:w="120" w:type="dxa"/>
            <w:vAlign w:val="bottom"/>
            <w:tcBorders>
              <w:top w:val="single" w:sz="8" w:color="CEFFE7"/>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Borders>
              <w:top w:val="single" w:sz="8" w:color="CEFFE7"/>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Borders>
              <w:top w:val="single" w:sz="8" w:color="CEFFE7"/>
            </w:tcBorders>
          </w:tcPr>
          <w:p>
            <w:pPr>
              <w:spacing w:after="0"/>
              <w:rPr>
                <w:sz w:val="9"/>
                <w:szCs w:val="9"/>
                <w:color w:val="auto"/>
              </w:rPr>
            </w:pPr>
          </w:p>
        </w:tc>
        <w:tc>
          <w:tcPr>
            <w:tcW w:w="15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Non-regulated Services</w:t>
            </w:r>
          </w:p>
        </w:tc>
        <w:tc>
          <w:tcPr>
            <w:tcW w:w="22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13,585</w:t>
            </w:r>
          </w:p>
        </w:tc>
        <w:tc>
          <w:tcPr>
            <w:tcW w:w="360" w:type="dxa"/>
            <w:vAlign w:val="bottom"/>
            <w:shd w:val="clear" w:color="auto" w:fill="CEFFE7"/>
          </w:tcPr>
          <w:p>
            <w:pPr>
              <w:spacing w:after="0"/>
              <w:rPr>
                <w:sz w:val="18"/>
                <w:szCs w:val="18"/>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12,678</w:t>
            </w:r>
          </w:p>
        </w:tc>
        <w:tc>
          <w:tcPr>
            <w:tcW w:w="100" w:type="dxa"/>
            <w:vAlign w:val="bottom"/>
            <w:shd w:val="clear" w:color="auto" w:fill="CEFFE7"/>
          </w:tcPr>
          <w:p>
            <w:pPr>
              <w:spacing w:after="0"/>
              <w:rPr>
                <w:sz w:val="18"/>
                <w:szCs w:val="18"/>
                <w:color w:val="auto"/>
              </w:rPr>
            </w:pPr>
          </w:p>
        </w:tc>
        <w:tc>
          <w:tcPr>
            <w:tcW w:w="140" w:type="dxa"/>
            <w:vAlign w:val="bottom"/>
            <w:shd w:val="clear" w:color="auto" w:fill="CEFFE7"/>
          </w:tcPr>
          <w:p>
            <w:pPr>
              <w:spacing w:after="0"/>
              <w:rPr>
                <w:sz w:val="18"/>
                <w:szCs w:val="18"/>
                <w:color w:val="auto"/>
              </w:rPr>
            </w:pPr>
          </w:p>
        </w:tc>
        <w:tc>
          <w:tcPr>
            <w:tcW w:w="1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12,787</w:t>
            </w:r>
          </w:p>
        </w:tc>
        <w:tc>
          <w:tcPr>
            <w:tcW w:w="420" w:type="dxa"/>
            <w:vAlign w:val="bottom"/>
            <w:shd w:val="clear" w:color="auto" w:fill="CEFFE7"/>
          </w:tcPr>
          <w:p>
            <w:pPr>
              <w:spacing w:after="0"/>
              <w:rPr>
                <w:sz w:val="18"/>
                <w:szCs w:val="18"/>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10,966</w:t>
            </w:r>
          </w:p>
        </w:tc>
        <w:tc>
          <w:tcPr>
            <w:tcW w:w="120" w:type="dxa"/>
            <w:vAlign w:val="bottom"/>
            <w:shd w:val="clear" w:color="auto" w:fill="CEFFE7"/>
          </w:tcPr>
          <w:p>
            <w:pPr>
              <w:spacing w:after="0"/>
              <w:rPr>
                <w:sz w:val="18"/>
                <w:szCs w:val="18"/>
                <w:color w:val="auto"/>
              </w:rPr>
            </w:pPr>
          </w:p>
        </w:tc>
        <w:tc>
          <w:tcPr>
            <w:tcW w:w="1520" w:type="dxa"/>
            <w:vAlign w:val="bottom"/>
            <w:shd w:val="clear" w:color="auto" w:fill="CEFFE7"/>
          </w:tcPr>
          <w:p>
            <w:pPr>
              <w:spacing w:after="0"/>
              <w:rPr>
                <w:sz w:val="18"/>
                <w:szCs w:val="18"/>
                <w:color w:val="auto"/>
              </w:rPr>
            </w:pPr>
          </w:p>
        </w:tc>
        <w:tc>
          <w:tcPr>
            <w:tcW w:w="88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00" w:type="dxa"/>
            <w:vAlign w:val="bottom"/>
            <w:tcBorders>
              <w:bottom w:val="single" w:sz="8" w:color="CEFFE7"/>
            </w:tcBorders>
          </w:tcPr>
          <w:p>
            <w:pPr>
              <w:spacing w:after="0"/>
              <w:rPr>
                <w:sz w:val="14"/>
                <w:szCs w:val="14"/>
                <w:color w:val="auto"/>
              </w:rPr>
            </w:pPr>
          </w:p>
        </w:tc>
        <w:tc>
          <w:tcPr>
            <w:tcW w:w="120" w:type="dxa"/>
            <w:vAlign w:val="bottom"/>
            <w:tcBorders>
              <w:bottom w:val="single" w:sz="8" w:color="CEFFE7"/>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EFFE7"/>
            </w:tcBorders>
          </w:tcPr>
          <w:p>
            <w:pPr>
              <w:spacing w:after="0"/>
              <w:rPr>
                <w:sz w:val="14"/>
                <w:szCs w:val="14"/>
                <w:color w:val="auto"/>
              </w:rPr>
            </w:pPr>
          </w:p>
        </w:tc>
        <w:tc>
          <w:tcPr>
            <w:tcW w:w="1520" w:type="dxa"/>
            <w:vAlign w:val="bottom"/>
            <w:tcBorders>
              <w:bottom w:val="single" w:sz="8" w:color="CEFFE7"/>
            </w:tcBorders>
          </w:tcPr>
          <w:p>
            <w:pPr>
              <w:spacing w:after="0"/>
              <w:rPr>
                <w:sz w:val="14"/>
                <w:szCs w:val="14"/>
                <w:color w:val="auto"/>
              </w:rPr>
            </w:pPr>
          </w:p>
        </w:tc>
        <w:tc>
          <w:tcPr>
            <w:tcW w:w="880" w:type="dxa"/>
            <w:vAlign w:val="bottom"/>
            <w:tcBorders>
              <w:bottom w:val="single" w:sz="8" w:color="CEFFE7"/>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820" w:type="dxa"/>
            <w:vAlign w:val="bottom"/>
            <w:gridSpan w:val="2"/>
            <w:shd w:val="clear" w:color="auto" w:fill="CEFFE7"/>
          </w:tcPr>
          <w:p>
            <w:pPr>
              <w:ind w:left="220"/>
              <w:spacing w:after="0" w:line="158" w:lineRule="exact"/>
              <w:rPr>
                <w:sz w:val="20"/>
                <w:szCs w:val="20"/>
                <w:color w:val="auto"/>
              </w:rPr>
            </w:pPr>
            <w:r>
              <w:rPr>
                <w:rFonts w:ascii="Arial" w:cs="Arial" w:eastAsia="Arial" w:hAnsi="Arial"/>
                <w:sz w:val="16"/>
                <w:szCs w:val="16"/>
                <w:color w:val="auto"/>
              </w:rPr>
              <w:t>Total Gas Revenue &amp; Gross Margin (non-</w:t>
            </w:r>
          </w:p>
        </w:tc>
        <w:tc>
          <w:tcPr>
            <w:tcW w:w="220" w:type="dxa"/>
            <w:vAlign w:val="bottom"/>
            <w:vMerge w:val="restart"/>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186,050</w:t>
            </w:r>
          </w:p>
        </w:tc>
        <w:tc>
          <w:tcPr>
            <w:tcW w:w="360" w:type="dxa"/>
            <w:vAlign w:val="bottom"/>
            <w:vMerge w:val="restart"/>
            <w:shd w:val="clear" w:color="auto" w:fill="CEFFE7"/>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161,110</w:t>
            </w:r>
          </w:p>
        </w:tc>
        <w:tc>
          <w:tcPr>
            <w:tcW w:w="100" w:type="dxa"/>
            <w:vAlign w:val="bottom"/>
            <w:shd w:val="clear" w:color="auto" w:fill="CEFFE7"/>
          </w:tcPr>
          <w:p>
            <w:pPr>
              <w:spacing w:after="0"/>
              <w:rPr>
                <w:sz w:val="13"/>
                <w:szCs w:val="13"/>
                <w:color w:val="auto"/>
              </w:rPr>
            </w:pPr>
          </w:p>
        </w:tc>
        <w:tc>
          <w:tcPr>
            <w:tcW w:w="1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122,935</w:t>
            </w:r>
          </w:p>
        </w:tc>
        <w:tc>
          <w:tcPr>
            <w:tcW w:w="420" w:type="dxa"/>
            <w:vAlign w:val="bottom"/>
            <w:vMerge w:val="restart"/>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116,488</w:t>
            </w:r>
          </w:p>
        </w:tc>
        <w:tc>
          <w:tcPr>
            <w:tcW w:w="120" w:type="dxa"/>
            <w:vAlign w:val="bottom"/>
            <w:shd w:val="clear" w:color="auto" w:fill="CEFFE7"/>
          </w:tcPr>
          <w:p>
            <w:pPr>
              <w:spacing w:after="0"/>
              <w:rPr>
                <w:sz w:val="13"/>
                <w:szCs w:val="13"/>
                <w:color w:val="auto"/>
              </w:rPr>
            </w:pPr>
          </w:p>
        </w:tc>
        <w:tc>
          <w:tcPr>
            <w:tcW w:w="1520" w:type="dxa"/>
            <w:vAlign w:val="bottom"/>
            <w:shd w:val="clear" w:color="auto" w:fill="CEFFE7"/>
          </w:tcPr>
          <w:p>
            <w:pPr>
              <w:spacing w:after="0"/>
              <w:rPr>
                <w:sz w:val="13"/>
                <w:szCs w:val="13"/>
                <w:color w:val="auto"/>
              </w:rPr>
            </w:pPr>
          </w:p>
        </w:tc>
        <w:tc>
          <w:tcPr>
            <w:tcW w:w="880" w:type="dxa"/>
            <w:vAlign w:val="bottom"/>
            <w:shd w:val="clear" w:color="auto" w:fill="CEFFE7"/>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820" w:type="dxa"/>
            <w:vAlign w:val="bottom"/>
            <w:tcBorders>
              <w:bottom w:val="single" w:sz="8" w:color="CEFFE7"/>
            </w:tcBorders>
            <w:gridSpan w:val="2"/>
            <w:shd w:val="clear" w:color="auto" w:fill="CEFFE7"/>
          </w:tcPr>
          <w:p>
            <w:pPr>
              <w:ind w:left="220"/>
              <w:spacing w:after="0" w:line="174" w:lineRule="exact"/>
              <w:rPr>
                <w:sz w:val="20"/>
                <w:szCs w:val="20"/>
                <w:color w:val="auto"/>
              </w:rPr>
            </w:pPr>
            <w:r>
              <w:rPr>
                <w:rFonts w:ascii="Arial" w:cs="Arial" w:eastAsia="Arial" w:hAnsi="Arial"/>
                <w:sz w:val="16"/>
                <w:szCs w:val="16"/>
                <w:color w:val="auto"/>
              </w:rPr>
              <w:t>GAAP)</w:t>
            </w:r>
          </w:p>
        </w:tc>
        <w:tc>
          <w:tcPr>
            <w:tcW w:w="220" w:type="dxa"/>
            <w:vAlign w:val="bottom"/>
            <w:tcBorders>
              <w:bottom w:val="single" w:sz="8" w:color="auto"/>
            </w:tcBorders>
            <w:vMerge w:val="continue"/>
            <w:shd w:val="clear" w:color="auto" w:fill="CEFFE7"/>
          </w:tcPr>
          <w:p>
            <w:pPr>
              <w:spacing w:after="0"/>
              <w:rPr>
                <w:sz w:val="16"/>
                <w:szCs w:val="16"/>
                <w:color w:val="auto"/>
              </w:rPr>
            </w:pPr>
          </w:p>
        </w:tc>
        <w:tc>
          <w:tcPr>
            <w:tcW w:w="980" w:type="dxa"/>
            <w:vAlign w:val="bottom"/>
            <w:tcBorders>
              <w:bottom w:val="single" w:sz="8" w:color="auto"/>
            </w:tcBorders>
            <w:vMerge w:val="continue"/>
            <w:shd w:val="clear" w:color="auto" w:fill="CEFFE7"/>
          </w:tcPr>
          <w:p>
            <w:pPr>
              <w:spacing w:after="0"/>
              <w:rPr>
                <w:sz w:val="16"/>
                <w:szCs w:val="16"/>
                <w:color w:val="auto"/>
              </w:rPr>
            </w:pPr>
          </w:p>
        </w:tc>
        <w:tc>
          <w:tcPr>
            <w:tcW w:w="360" w:type="dxa"/>
            <w:vAlign w:val="bottom"/>
            <w:tcBorders>
              <w:bottom w:val="single" w:sz="8" w:color="auto"/>
            </w:tcBorders>
            <w:vMerge w:val="continue"/>
            <w:shd w:val="clear" w:color="auto" w:fill="CEFFE7"/>
          </w:tcPr>
          <w:p>
            <w:pPr>
              <w:spacing w:after="0"/>
              <w:rPr>
                <w:sz w:val="16"/>
                <w:szCs w:val="16"/>
                <w:color w:val="auto"/>
              </w:rPr>
            </w:pPr>
          </w:p>
        </w:tc>
        <w:tc>
          <w:tcPr>
            <w:tcW w:w="840" w:type="dxa"/>
            <w:vAlign w:val="bottom"/>
            <w:tcBorders>
              <w:bottom w:val="single" w:sz="8" w:color="auto"/>
            </w:tcBorders>
            <w:vMerge w:val="continue"/>
            <w:shd w:val="clear" w:color="auto" w:fill="CEFFE7"/>
          </w:tcPr>
          <w:p>
            <w:pPr>
              <w:spacing w:after="0"/>
              <w:rPr>
                <w:sz w:val="16"/>
                <w:szCs w:val="16"/>
                <w:color w:val="auto"/>
              </w:rPr>
            </w:pPr>
          </w:p>
        </w:tc>
        <w:tc>
          <w:tcPr>
            <w:tcW w:w="100" w:type="dxa"/>
            <w:vAlign w:val="bottom"/>
            <w:tcBorders>
              <w:bottom w:val="single" w:sz="8" w:color="CEFFE7"/>
            </w:tcBorders>
            <w:shd w:val="clear" w:color="auto" w:fill="CEFFE7"/>
          </w:tcPr>
          <w:p>
            <w:pPr>
              <w:spacing w:after="0"/>
              <w:rPr>
                <w:sz w:val="16"/>
                <w:szCs w:val="16"/>
                <w:color w:val="auto"/>
              </w:rPr>
            </w:pPr>
          </w:p>
        </w:tc>
        <w:tc>
          <w:tcPr>
            <w:tcW w:w="140" w:type="dxa"/>
            <w:vAlign w:val="bottom"/>
            <w:tcBorders>
              <w:bottom w:val="single" w:sz="8" w:color="auto"/>
            </w:tcBorders>
            <w:vMerge w:val="continue"/>
            <w:shd w:val="clear" w:color="auto" w:fill="CEFFE7"/>
          </w:tcPr>
          <w:p>
            <w:pPr>
              <w:spacing w:after="0"/>
              <w:rPr>
                <w:sz w:val="16"/>
                <w:szCs w:val="16"/>
                <w:color w:val="auto"/>
              </w:rPr>
            </w:pPr>
          </w:p>
        </w:tc>
        <w:tc>
          <w:tcPr>
            <w:tcW w:w="1060" w:type="dxa"/>
            <w:vAlign w:val="bottom"/>
            <w:tcBorders>
              <w:bottom w:val="single" w:sz="8" w:color="auto"/>
            </w:tcBorders>
            <w:vMerge w:val="continue"/>
            <w:shd w:val="clear" w:color="auto" w:fill="CEFFE7"/>
          </w:tcPr>
          <w:p>
            <w:pPr>
              <w:spacing w:after="0"/>
              <w:rPr>
                <w:sz w:val="16"/>
                <w:szCs w:val="16"/>
                <w:color w:val="auto"/>
              </w:rPr>
            </w:pPr>
          </w:p>
        </w:tc>
        <w:tc>
          <w:tcPr>
            <w:tcW w:w="420" w:type="dxa"/>
            <w:vAlign w:val="bottom"/>
            <w:tcBorders>
              <w:bottom w:val="single" w:sz="8" w:color="auto"/>
            </w:tcBorders>
            <w:vMerge w:val="continue"/>
            <w:shd w:val="clear" w:color="auto" w:fill="CEFFE7"/>
          </w:tcPr>
          <w:p>
            <w:pPr>
              <w:spacing w:after="0"/>
              <w:rPr>
                <w:sz w:val="16"/>
                <w:szCs w:val="16"/>
                <w:color w:val="auto"/>
              </w:rPr>
            </w:pPr>
          </w:p>
        </w:tc>
        <w:tc>
          <w:tcPr>
            <w:tcW w:w="780" w:type="dxa"/>
            <w:vAlign w:val="bottom"/>
            <w:tcBorders>
              <w:bottom w:val="single" w:sz="8" w:color="auto"/>
            </w:tcBorders>
            <w:vMerge w:val="continue"/>
            <w:shd w:val="clear" w:color="auto" w:fill="CEFFE7"/>
          </w:tcPr>
          <w:p>
            <w:pPr>
              <w:spacing w:after="0"/>
              <w:rPr>
                <w:sz w:val="16"/>
                <w:szCs w:val="16"/>
                <w:color w:val="auto"/>
              </w:rPr>
            </w:pPr>
          </w:p>
        </w:tc>
        <w:tc>
          <w:tcPr>
            <w:tcW w:w="120" w:type="dxa"/>
            <w:vAlign w:val="bottom"/>
            <w:tcBorders>
              <w:bottom w:val="single" w:sz="8" w:color="CEFFE7"/>
            </w:tcBorders>
            <w:shd w:val="clear" w:color="auto" w:fill="CEFFE7"/>
          </w:tcPr>
          <w:p>
            <w:pPr>
              <w:spacing w:after="0"/>
              <w:rPr>
                <w:sz w:val="16"/>
                <w:szCs w:val="16"/>
                <w:color w:val="auto"/>
              </w:rPr>
            </w:pPr>
          </w:p>
        </w:tc>
        <w:tc>
          <w:tcPr>
            <w:tcW w:w="1520" w:type="dxa"/>
            <w:vAlign w:val="bottom"/>
            <w:tcBorders>
              <w:bottom w:val="single" w:sz="8" w:color="CEFFE7"/>
            </w:tcBorders>
            <w:shd w:val="clear" w:color="auto" w:fill="CEFFE7"/>
          </w:tcPr>
          <w:p>
            <w:pPr>
              <w:spacing w:after="0"/>
              <w:rPr>
                <w:sz w:val="16"/>
                <w:szCs w:val="16"/>
                <w:color w:val="auto"/>
              </w:rPr>
            </w:pPr>
          </w:p>
        </w:tc>
        <w:tc>
          <w:tcPr>
            <w:tcW w:w="880" w:type="dxa"/>
            <w:vAlign w:val="bottom"/>
            <w:tcBorders>
              <w:bottom w:val="single" w:sz="8" w:color="CEFFE7"/>
            </w:tcBorders>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98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40" w:type="dxa"/>
            <w:vAlign w:val="bottom"/>
            <w:tcBorders>
              <w:top w:val="single" w:sz="8" w:color="CEFFE7"/>
              <w:bottom w:val="single" w:sz="8" w:color="auto"/>
            </w:tcBorders>
          </w:tcPr>
          <w:p>
            <w:pPr>
              <w:spacing w:after="0" w:line="20" w:lineRule="exact"/>
              <w:rPr>
                <w:sz w:val="1"/>
                <w:szCs w:val="1"/>
                <w:color w:val="auto"/>
              </w:rPr>
            </w:pPr>
          </w:p>
        </w:tc>
        <w:tc>
          <w:tcPr>
            <w:tcW w:w="1060" w:type="dxa"/>
            <w:vAlign w:val="bottom"/>
            <w:tcBorders>
              <w:top w:val="single" w:sz="8" w:color="CEFFE7"/>
              <w:bottom w:val="single" w:sz="8" w:color="auto"/>
            </w:tcBorders>
          </w:tcPr>
          <w:p>
            <w:pPr>
              <w:spacing w:after="0" w:line="20" w:lineRule="exact"/>
              <w:rPr>
                <w:sz w:val="1"/>
                <w:szCs w:val="1"/>
                <w:color w:val="auto"/>
              </w:rPr>
            </w:pPr>
          </w:p>
        </w:tc>
        <w:tc>
          <w:tcPr>
            <w:tcW w:w="420" w:type="dxa"/>
            <w:vAlign w:val="bottom"/>
            <w:tcBorders>
              <w:top w:val="single" w:sz="8" w:color="CEFFE7"/>
              <w:bottom w:val="single" w:sz="8" w:color="auto"/>
            </w:tcBorders>
          </w:tcPr>
          <w:p>
            <w:pPr>
              <w:spacing w:after="0" w:line="20" w:lineRule="exact"/>
              <w:rPr>
                <w:sz w:val="1"/>
                <w:szCs w:val="1"/>
                <w:color w:val="auto"/>
              </w:rPr>
            </w:pPr>
          </w:p>
        </w:tc>
        <w:tc>
          <w:tcPr>
            <w:tcW w:w="780" w:type="dxa"/>
            <w:vAlign w:val="bottom"/>
            <w:tcBorders>
              <w:top w:val="single" w:sz="8" w:color="CEFFE7"/>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1520" w:type="dxa"/>
            <w:vAlign w:val="bottom"/>
            <w:tcBorders>
              <w:top w:val="single" w:sz="8" w:color="CEFFE7"/>
            </w:tcBorders>
          </w:tcPr>
          <w:p>
            <w:pPr>
              <w:spacing w:after="0" w:line="20" w:lineRule="exact"/>
              <w:rPr>
                <w:sz w:val="1"/>
                <w:szCs w:val="1"/>
                <w:color w:val="auto"/>
              </w:rPr>
            </w:pPr>
          </w:p>
        </w:tc>
        <w:tc>
          <w:tcPr>
            <w:tcW w:w="880" w:type="dxa"/>
            <w:vAlign w:val="bottom"/>
            <w:tcBorders>
              <w:top w:val="single" w:sz="8" w:color="CEFFE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right"/>
              <w:ind w:right="4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4"/>
        </w:trPr>
        <w:tc>
          <w:tcPr>
            <w:tcW w:w="3840" w:type="dxa"/>
            <w:vAlign w:val="bottom"/>
            <w:gridSpan w:val="3"/>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6"/>
        </w:trPr>
        <w:tc>
          <w:tcPr>
            <w:tcW w:w="1360" w:type="dxa"/>
            <w:vAlign w:val="bottom"/>
            <w:tcBorders>
              <w:top w:val="single" w:sz="8" w:color="0000FF"/>
            </w:tcBorders>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3"/>
          </w:tcPr>
          <w:p>
            <w:pPr>
              <w:jc w:val="center"/>
              <w:ind w:right="39"/>
              <w:spacing w:after="0"/>
              <w:rPr>
                <w:sz w:val="20"/>
                <w:szCs w:val="20"/>
                <w:color w:val="auto"/>
              </w:rPr>
            </w:pPr>
            <w:r>
              <w:rPr>
                <w:rFonts w:ascii="Arial" w:cs="Arial" w:eastAsia="Arial" w:hAnsi="Arial"/>
                <w:sz w:val="16"/>
                <w:szCs w:val="16"/>
                <w:color w:val="auto"/>
              </w:rPr>
              <w:t>Gross Margin (non-GAAP) (in</w:t>
            </w:r>
          </w:p>
        </w:tc>
        <w:tc>
          <w:tcPr>
            <w:tcW w:w="120" w:type="dxa"/>
            <w:vAlign w:val="bottom"/>
          </w:tcPr>
          <w:p>
            <w:pPr>
              <w:spacing w:after="0"/>
              <w:rPr>
                <w:sz w:val="24"/>
                <w:szCs w:val="24"/>
                <w:color w:val="auto"/>
              </w:rPr>
            </w:pPr>
          </w:p>
        </w:tc>
        <w:tc>
          <w:tcPr>
            <w:tcW w:w="2400" w:type="dxa"/>
            <w:vAlign w:val="bottom"/>
            <w:gridSpan w:val="2"/>
          </w:tcPr>
          <w:p>
            <w:pPr>
              <w:jc w:val="center"/>
              <w:spacing w:after="0"/>
              <w:rPr>
                <w:sz w:val="20"/>
                <w:szCs w:val="20"/>
                <w:color w:val="auto"/>
              </w:rPr>
            </w:pPr>
            <w:r>
              <w:rPr>
                <w:rFonts w:ascii="Arial" w:cs="Arial" w:eastAsia="Arial" w:hAnsi="Arial"/>
                <w:sz w:val="16"/>
                <w:szCs w:val="16"/>
                <w:color w:val="auto"/>
              </w:rPr>
              <w:t>Gas Utilities Quantities Sold &amp;</w:t>
            </w:r>
          </w:p>
        </w:tc>
        <w:tc>
          <w:tcPr>
            <w:tcW w:w="0" w:type="dxa"/>
            <w:vAlign w:val="bottom"/>
          </w:tcPr>
          <w:p>
            <w:pPr>
              <w:spacing w:after="0"/>
              <w:rPr>
                <w:sz w:val="1"/>
                <w:szCs w:val="1"/>
                <w:color w:val="auto"/>
              </w:rPr>
            </w:pPr>
          </w:p>
        </w:tc>
      </w:tr>
      <w:tr>
        <w:trPr>
          <w:trHeight w:val="198"/>
        </w:trPr>
        <w:tc>
          <w:tcPr>
            <w:tcW w:w="13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6"/>
                <w:szCs w:val="16"/>
                <w:color w:val="auto"/>
              </w:rPr>
              <w:t>Revenue (in thousands)</w:t>
            </w: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left="579"/>
              <w:spacing w:after="0"/>
              <w:rPr>
                <w:sz w:val="20"/>
                <w:szCs w:val="20"/>
                <w:color w:val="auto"/>
              </w:rPr>
            </w:pPr>
            <w:r>
              <w:rPr>
                <w:rFonts w:ascii="Arial" w:cs="Arial" w:eastAsia="Arial" w:hAnsi="Arial"/>
                <w:sz w:val="16"/>
                <w:szCs w:val="16"/>
                <w:color w:val="auto"/>
              </w:rPr>
              <w:t>thousands)</w:t>
            </w: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Transported (Dth)</w:t>
            </w:r>
          </w:p>
        </w:tc>
        <w:tc>
          <w:tcPr>
            <w:tcW w:w="0" w:type="dxa"/>
            <w:vAlign w:val="bottom"/>
          </w:tcPr>
          <w:p>
            <w:pPr>
              <w:spacing w:after="0"/>
              <w:rPr>
                <w:sz w:val="1"/>
                <w:szCs w:val="1"/>
                <w:color w:val="auto"/>
              </w:rPr>
            </w:pPr>
          </w:p>
        </w:tc>
      </w:tr>
      <w:tr>
        <w:trPr>
          <w:trHeight w:val="174"/>
        </w:trPr>
        <w:tc>
          <w:tcPr>
            <w:tcW w:w="13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gridSpan w:val="4"/>
          </w:tcPr>
          <w:p>
            <w:pPr>
              <w:jc w:val="center"/>
              <w:ind w:right="320"/>
              <w:spacing w:after="0" w:line="174" w:lineRule="exact"/>
              <w:rPr>
                <w:sz w:val="20"/>
                <w:szCs w:val="20"/>
                <w:color w:val="auto"/>
              </w:rPr>
            </w:pPr>
            <w:r>
              <w:rPr>
                <w:rFonts w:ascii="Arial" w:cs="Arial" w:eastAsia="Arial" w:hAnsi="Arial"/>
                <w:sz w:val="16"/>
                <w:szCs w:val="16"/>
                <w:color w:val="auto"/>
              </w:rPr>
              <w:t>Six Months Ended</w:t>
            </w:r>
          </w:p>
        </w:tc>
        <w:tc>
          <w:tcPr>
            <w:tcW w:w="120" w:type="dxa"/>
            <w:vAlign w:val="bottom"/>
          </w:tcPr>
          <w:p>
            <w:pPr>
              <w:spacing w:after="0"/>
              <w:rPr>
                <w:sz w:val="15"/>
                <w:szCs w:val="15"/>
                <w:color w:val="auto"/>
              </w:rPr>
            </w:pPr>
          </w:p>
        </w:tc>
        <w:tc>
          <w:tcPr>
            <w:tcW w:w="2280" w:type="dxa"/>
            <w:vAlign w:val="bottom"/>
            <w:gridSpan w:val="3"/>
          </w:tcPr>
          <w:p>
            <w:pPr>
              <w:jc w:val="center"/>
              <w:ind w:right="19"/>
              <w:spacing w:after="0" w:line="174" w:lineRule="exact"/>
              <w:rPr>
                <w:sz w:val="20"/>
                <w:szCs w:val="20"/>
                <w:color w:val="auto"/>
              </w:rPr>
            </w:pPr>
            <w:r>
              <w:rPr>
                <w:rFonts w:ascii="Arial" w:cs="Arial" w:eastAsia="Arial" w:hAnsi="Arial"/>
                <w:sz w:val="16"/>
                <w:szCs w:val="16"/>
                <w:color w:val="auto"/>
              </w:rPr>
              <w:t>Six Months Ended</w:t>
            </w:r>
          </w:p>
        </w:tc>
        <w:tc>
          <w:tcPr>
            <w:tcW w:w="120" w:type="dxa"/>
            <w:vAlign w:val="bottom"/>
          </w:tcPr>
          <w:p>
            <w:pPr>
              <w:spacing w:after="0"/>
              <w:rPr>
                <w:sz w:val="15"/>
                <w:szCs w:val="15"/>
                <w:color w:val="auto"/>
              </w:rPr>
            </w:pPr>
          </w:p>
        </w:tc>
        <w:tc>
          <w:tcPr>
            <w:tcW w:w="2400" w:type="dxa"/>
            <w:vAlign w:val="bottom"/>
            <w:gridSpan w:val="2"/>
          </w:tcPr>
          <w:p>
            <w:pPr>
              <w:jc w:val="center"/>
              <w:spacing w:after="0" w:line="174" w:lineRule="exact"/>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195"/>
        </w:trPr>
        <w:tc>
          <w:tcPr>
            <w:tcW w:w="13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left="559"/>
              <w:spacing w:after="0"/>
              <w:rPr>
                <w:sz w:val="20"/>
                <w:szCs w:val="20"/>
                <w:color w:val="auto"/>
              </w:rPr>
            </w:pPr>
            <w:r>
              <w:rPr>
                <w:rFonts w:ascii="Arial" w:cs="Arial" w:eastAsia="Arial" w:hAnsi="Arial"/>
                <w:sz w:val="16"/>
                <w:szCs w:val="16"/>
                <w:color w:val="auto"/>
              </w:rPr>
              <w:t>June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left="599"/>
              <w:spacing w:after="0"/>
              <w:rPr>
                <w:sz w:val="20"/>
                <w:szCs w:val="20"/>
                <w:color w:val="auto"/>
              </w:rPr>
            </w:pPr>
            <w:r>
              <w:rPr>
                <w:rFonts w:ascii="Arial" w:cs="Arial" w:eastAsia="Arial" w:hAnsi="Arial"/>
                <w:sz w:val="16"/>
                <w:szCs w:val="16"/>
                <w:color w:val="auto"/>
              </w:rPr>
              <w:t>June 30,</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2"/>
          </w:tcPr>
          <w:p>
            <w:pPr>
              <w:jc w:val="center"/>
              <w:spacing w:after="0"/>
              <w:rPr>
                <w:sz w:val="20"/>
                <w:szCs w:val="20"/>
                <w:color w:val="auto"/>
              </w:rPr>
            </w:pPr>
            <w:r>
              <w:rPr>
                <w:rFonts w:ascii="Arial" w:cs="Arial" w:eastAsia="Arial" w:hAnsi="Arial"/>
                <w:sz w:val="16"/>
                <w:szCs w:val="16"/>
                <w:color w:val="auto"/>
              </w:rPr>
              <w:t>June 30,</w:t>
            </w:r>
          </w:p>
        </w:tc>
        <w:tc>
          <w:tcPr>
            <w:tcW w:w="0" w:type="dxa"/>
            <w:vAlign w:val="bottom"/>
          </w:tcPr>
          <w:p>
            <w:pPr>
              <w:spacing w:after="0"/>
              <w:rPr>
                <w:sz w:val="1"/>
                <w:szCs w:val="1"/>
                <w:color w:val="auto"/>
              </w:rPr>
            </w:pPr>
          </w:p>
        </w:tc>
      </w:tr>
      <w:tr>
        <w:trPr>
          <w:trHeight w:val="219"/>
        </w:trPr>
        <w:tc>
          <w:tcPr>
            <w:tcW w:w="13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2021</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2021</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95"/>
              </w:rPr>
              <w:t>2020</w:t>
            </w:r>
          </w:p>
        </w:tc>
        <w:tc>
          <w:tcPr>
            <w:tcW w:w="140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6"/>
                <w:szCs w:val="16"/>
                <w:color w:val="auto"/>
              </w:rPr>
              <w:t>2021</w:t>
            </w:r>
          </w:p>
        </w:tc>
        <w:tc>
          <w:tcPr>
            <w:tcW w:w="11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45"/>
        </w:trPr>
        <w:tc>
          <w:tcPr>
            <w:tcW w:w="1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Residential</w:t>
            </w:r>
          </w:p>
        </w:tc>
        <w:tc>
          <w:tcPr>
            <w:tcW w:w="200" w:type="dxa"/>
            <w:vAlign w:val="bottom"/>
            <w:shd w:val="clear" w:color="auto" w:fill="CEFFE7"/>
          </w:tcPr>
          <w:p>
            <w:pPr>
              <w:jc w:val="right"/>
              <w:ind w:right="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332,767</w:t>
            </w:r>
          </w:p>
        </w:tc>
        <w:tc>
          <w:tcPr>
            <w:tcW w:w="36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290,471</w:t>
            </w:r>
          </w:p>
        </w:tc>
        <w:tc>
          <w:tcPr>
            <w:tcW w:w="100" w:type="dxa"/>
            <w:vAlign w:val="bottom"/>
            <w:shd w:val="clear" w:color="auto" w:fill="CEFFE7"/>
          </w:tcPr>
          <w:p>
            <w:pPr>
              <w:spacing w:after="0"/>
              <w:rPr>
                <w:sz w:val="18"/>
                <w:szCs w:val="18"/>
                <w:color w:val="auto"/>
              </w:rPr>
            </w:pP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170,536</w:t>
            </w:r>
          </w:p>
        </w:tc>
        <w:tc>
          <w:tcPr>
            <w:tcW w:w="42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159,489</w:t>
            </w:r>
          </w:p>
        </w:tc>
        <w:tc>
          <w:tcPr>
            <w:tcW w:w="1400" w:type="dxa"/>
            <w:vAlign w:val="bottom"/>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39,143,789</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36,732,630</w:t>
            </w:r>
          </w:p>
        </w:tc>
        <w:tc>
          <w:tcPr>
            <w:tcW w:w="0" w:type="dxa"/>
            <w:vAlign w:val="bottom"/>
          </w:tcPr>
          <w:p>
            <w:pPr>
              <w:spacing w:after="0"/>
              <w:rPr>
                <w:sz w:val="1"/>
                <w:szCs w:val="1"/>
                <w:color w:val="auto"/>
              </w:rPr>
            </w:pPr>
          </w:p>
        </w:tc>
      </w:tr>
      <w:tr>
        <w:trPr>
          <w:trHeight w:val="213"/>
        </w:trPr>
        <w:tc>
          <w:tcPr>
            <w:tcW w:w="3840" w:type="dxa"/>
            <w:vAlign w:val="bottom"/>
            <w:gridSpan w:val="3"/>
          </w:tcPr>
          <w:p>
            <w:pPr>
              <w:ind w:left="20"/>
              <w:spacing w:after="0"/>
              <w:rPr>
                <w:sz w:val="20"/>
                <w:szCs w:val="20"/>
                <w:color w:val="auto"/>
              </w:rPr>
            </w:pPr>
            <w:r>
              <w:rPr>
                <w:rFonts w:ascii="Arial" w:cs="Arial" w:eastAsia="Arial" w:hAnsi="Arial"/>
                <w:sz w:val="16"/>
                <w:szCs w:val="16"/>
                <w:color w:val="auto"/>
              </w:rPr>
              <w:t>Commercial</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127,977</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107,677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52,448</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48,855</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18,306,252</w:t>
            </w:r>
          </w:p>
        </w:tc>
        <w:tc>
          <w:tcPr>
            <w:tcW w:w="1120" w:type="dxa"/>
            <w:vAlign w:val="bottom"/>
          </w:tcPr>
          <w:p>
            <w:pPr>
              <w:jc w:val="right"/>
              <w:spacing w:after="0"/>
              <w:rPr>
                <w:sz w:val="20"/>
                <w:szCs w:val="20"/>
                <w:color w:val="auto"/>
              </w:rPr>
            </w:pPr>
            <w:r>
              <w:rPr>
                <w:rFonts w:ascii="Arial" w:cs="Arial" w:eastAsia="Arial" w:hAnsi="Arial"/>
                <w:sz w:val="16"/>
                <w:szCs w:val="16"/>
                <w:color w:val="auto"/>
              </w:rPr>
              <w:t>16,800,332</w:t>
            </w:r>
          </w:p>
        </w:tc>
        <w:tc>
          <w:tcPr>
            <w:tcW w:w="0" w:type="dxa"/>
            <w:vAlign w:val="bottom"/>
          </w:tcPr>
          <w:p>
            <w:pPr>
              <w:spacing w:after="0"/>
              <w:rPr>
                <w:sz w:val="1"/>
                <w:szCs w:val="1"/>
                <w:color w:val="auto"/>
              </w:rPr>
            </w:pPr>
          </w:p>
        </w:tc>
      </w:tr>
      <w:tr>
        <w:trPr>
          <w:trHeight w:val="219"/>
        </w:trPr>
        <w:tc>
          <w:tcPr>
            <w:tcW w:w="384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Industrial</w:t>
            </w:r>
          </w:p>
        </w:tc>
        <w:tc>
          <w:tcPr>
            <w:tcW w:w="20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10,713</w:t>
            </w:r>
          </w:p>
        </w:tc>
        <w:tc>
          <w:tcPr>
            <w:tcW w:w="360" w:type="dxa"/>
            <w:vAlign w:val="bottom"/>
            <w:shd w:val="clear" w:color="auto" w:fill="CEFFE7"/>
          </w:tcPr>
          <w:p>
            <w:pPr>
              <w:spacing w:after="0"/>
              <w:rPr>
                <w:sz w:val="19"/>
                <w:szCs w:val="19"/>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11,259</w:t>
            </w:r>
          </w:p>
        </w:tc>
        <w:tc>
          <w:tcPr>
            <w:tcW w:w="10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3,189</w:t>
            </w:r>
          </w:p>
        </w:tc>
        <w:tc>
          <w:tcPr>
            <w:tcW w:w="420" w:type="dxa"/>
            <w:vAlign w:val="bottom"/>
            <w:shd w:val="clear" w:color="auto" w:fill="CEFFE7"/>
          </w:tcPr>
          <w:p>
            <w:pPr>
              <w:spacing w:after="0"/>
              <w:rPr>
                <w:sz w:val="19"/>
                <w:szCs w:val="19"/>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4,183</w:t>
            </w:r>
          </w:p>
        </w:tc>
        <w:tc>
          <w:tcPr>
            <w:tcW w:w="1400" w:type="dxa"/>
            <w:vAlign w:val="bottom"/>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2,235,961</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3,097,605</w:t>
            </w:r>
          </w:p>
        </w:tc>
        <w:tc>
          <w:tcPr>
            <w:tcW w:w="0" w:type="dxa"/>
            <w:vAlign w:val="bottom"/>
          </w:tcPr>
          <w:p>
            <w:pPr>
              <w:spacing w:after="0"/>
              <w:rPr>
                <w:sz w:val="1"/>
                <w:szCs w:val="1"/>
                <w:color w:val="auto"/>
              </w:rPr>
            </w:pPr>
          </w:p>
        </w:tc>
      </w:tr>
      <w:tr>
        <w:trPr>
          <w:trHeight w:val="213"/>
        </w:trPr>
        <w:tc>
          <w:tcPr>
            <w:tcW w:w="3840" w:type="dxa"/>
            <w:vAlign w:val="bottom"/>
            <w:tcBorders>
              <w:bottom w:val="single" w:sz="8" w:color="CEFFE7"/>
            </w:tcBorders>
            <w:gridSpan w:val="3"/>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EFFE7"/>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w:t>
            </w:r>
          </w:p>
        </w:tc>
        <w:tc>
          <w:tcPr>
            <w:tcW w:w="120" w:type="dxa"/>
            <w:vAlign w:val="bottom"/>
            <w:tcBorders>
              <w:bottom w:val="single" w:sz="8" w:color="CEFFE7"/>
            </w:tcBorders>
          </w:tcPr>
          <w:p>
            <w:pPr>
              <w:spacing w:after="0"/>
              <w:rPr>
                <w:sz w:val="18"/>
                <w:szCs w:val="18"/>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840" w:type="dxa"/>
            <w:vAlign w:val="bottom"/>
            <w:gridSpan w:val="3"/>
            <w:shd w:val="clear" w:color="auto" w:fill="CEFFE7"/>
          </w:tcPr>
          <w:p>
            <w:pPr>
              <w:ind w:left="220"/>
              <w:spacing w:after="0"/>
              <w:rPr>
                <w:sz w:val="20"/>
                <w:szCs w:val="20"/>
                <w:color w:val="auto"/>
              </w:rPr>
            </w:pPr>
            <w:r>
              <w:rPr>
                <w:rFonts w:ascii="Arial" w:cs="Arial" w:eastAsia="Arial" w:hAnsi="Arial"/>
                <w:sz w:val="16"/>
                <w:szCs w:val="16"/>
                <w:color w:val="auto"/>
              </w:rPr>
              <w:t>Total Distribution</w:t>
            </w:r>
          </w:p>
        </w:tc>
        <w:tc>
          <w:tcPr>
            <w:tcW w:w="20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470,567</w:t>
            </w:r>
          </w:p>
        </w:tc>
        <w:tc>
          <w:tcPr>
            <w:tcW w:w="360" w:type="dxa"/>
            <w:vAlign w:val="bottom"/>
            <w:shd w:val="clear" w:color="auto" w:fill="CEFFE7"/>
          </w:tcPr>
          <w:p>
            <w:pPr>
              <w:spacing w:after="0"/>
              <w:rPr>
                <w:sz w:val="18"/>
                <w:szCs w:val="18"/>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408,992</w:t>
            </w:r>
          </w:p>
        </w:tc>
        <w:tc>
          <w:tcPr>
            <w:tcW w:w="1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225,283</w:t>
            </w:r>
          </w:p>
        </w:tc>
        <w:tc>
          <w:tcPr>
            <w:tcW w:w="420" w:type="dxa"/>
            <w:vAlign w:val="bottom"/>
            <w:shd w:val="clear" w:color="auto" w:fill="CEFFE7"/>
          </w:tcPr>
          <w:p>
            <w:pPr>
              <w:spacing w:after="0"/>
              <w:rPr>
                <w:sz w:val="18"/>
                <w:szCs w:val="18"/>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212,112</w:t>
            </w:r>
          </w:p>
        </w:tc>
        <w:tc>
          <w:tcPr>
            <w:tcW w:w="1400" w:type="dxa"/>
            <w:vAlign w:val="bottom"/>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59,686,002</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56,630,567</w:t>
            </w:r>
          </w:p>
        </w:tc>
        <w:tc>
          <w:tcPr>
            <w:tcW w:w="0" w:type="dxa"/>
            <w:vAlign w:val="bottom"/>
          </w:tcPr>
          <w:p>
            <w:pPr>
              <w:spacing w:after="0"/>
              <w:rPr>
                <w:sz w:val="1"/>
                <w:szCs w:val="1"/>
                <w:color w:val="auto"/>
              </w:rPr>
            </w:pPr>
          </w:p>
        </w:tc>
      </w:tr>
      <w:tr>
        <w:trPr>
          <w:trHeight w:val="145"/>
        </w:trPr>
        <w:tc>
          <w:tcPr>
            <w:tcW w:w="13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Transportation and Transmission</w:t>
            </w:r>
          </w:p>
        </w:tc>
        <w:tc>
          <w:tcPr>
            <w:tcW w:w="20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79,975</w:t>
            </w:r>
          </w:p>
        </w:tc>
        <w:tc>
          <w:tcPr>
            <w:tcW w:w="360" w:type="dxa"/>
            <w:vAlign w:val="bottom"/>
            <w:shd w:val="clear" w:color="auto" w:fill="CEFFE7"/>
          </w:tcPr>
          <w:p>
            <w:pPr>
              <w:spacing w:after="0"/>
              <w:rPr>
                <w:sz w:val="18"/>
                <w:szCs w:val="18"/>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75,337</w:t>
            </w:r>
          </w:p>
        </w:tc>
        <w:tc>
          <w:tcPr>
            <w:tcW w:w="1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79,975</w:t>
            </w:r>
          </w:p>
        </w:tc>
        <w:tc>
          <w:tcPr>
            <w:tcW w:w="420" w:type="dxa"/>
            <w:vAlign w:val="bottom"/>
            <w:shd w:val="clear" w:color="auto" w:fill="CEFFE7"/>
          </w:tcPr>
          <w:p>
            <w:pPr>
              <w:spacing w:after="0"/>
              <w:rPr>
                <w:sz w:val="18"/>
                <w:szCs w:val="18"/>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75,308</w:t>
            </w:r>
          </w:p>
        </w:tc>
        <w:tc>
          <w:tcPr>
            <w:tcW w:w="1400" w:type="dxa"/>
            <w:vAlign w:val="bottom"/>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79,388,652</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75,299,008</w:t>
            </w:r>
          </w:p>
        </w:tc>
        <w:tc>
          <w:tcPr>
            <w:tcW w:w="0" w:type="dxa"/>
            <w:vAlign w:val="bottom"/>
          </w:tcPr>
          <w:p>
            <w:pPr>
              <w:spacing w:after="0"/>
              <w:rPr>
                <w:sz w:val="1"/>
                <w:szCs w:val="1"/>
                <w:color w:val="auto"/>
              </w:rPr>
            </w:pPr>
          </w:p>
        </w:tc>
      </w:tr>
      <w:tr>
        <w:trPr>
          <w:trHeight w:val="162"/>
        </w:trPr>
        <w:tc>
          <w:tcPr>
            <w:tcW w:w="3820" w:type="dxa"/>
            <w:vAlign w:val="bottom"/>
            <w:tcBorders>
              <w:bottom w:val="single" w:sz="8" w:color="CEFFE7"/>
            </w:tcBorders>
            <w:gridSpan w:val="2"/>
          </w:tcPr>
          <w:p>
            <w:pPr>
              <w:spacing w:after="0"/>
              <w:rPr>
                <w:sz w:val="14"/>
                <w:szCs w:val="14"/>
                <w:color w:val="auto"/>
              </w:rPr>
            </w:pPr>
          </w:p>
        </w:tc>
        <w:tc>
          <w:tcPr>
            <w:tcW w:w="20" w:type="dxa"/>
            <w:vAlign w:val="bottom"/>
            <w:tcBorders>
              <w:bottom w:val="single" w:sz="8" w:color="CEFFE7"/>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EFFE7"/>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3840" w:type="dxa"/>
            <w:vAlign w:val="bottom"/>
            <w:gridSpan w:val="3"/>
            <w:shd w:val="clear" w:color="auto" w:fill="CEFFE7"/>
          </w:tcPr>
          <w:p>
            <w:pPr>
              <w:ind w:left="220"/>
              <w:spacing w:after="0"/>
              <w:rPr>
                <w:sz w:val="20"/>
                <w:szCs w:val="20"/>
                <w:color w:val="auto"/>
              </w:rPr>
            </w:pPr>
            <w:r>
              <w:rPr>
                <w:rFonts w:ascii="Arial" w:cs="Arial" w:eastAsia="Arial" w:hAnsi="Arial"/>
                <w:sz w:val="16"/>
                <w:szCs w:val="16"/>
                <w:color w:val="auto"/>
              </w:rPr>
              <w:t>Total Regulated</w:t>
            </w:r>
          </w:p>
        </w:tc>
        <w:tc>
          <w:tcPr>
            <w:tcW w:w="200" w:type="dxa"/>
            <w:vAlign w:val="bottom"/>
            <w:shd w:val="clear" w:color="auto" w:fill="CEFFE7"/>
          </w:tcPr>
          <w:p>
            <w:pPr>
              <w:spacing w:after="0"/>
              <w:rPr>
                <w:sz w:val="23"/>
                <w:szCs w:val="23"/>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550,542</w:t>
            </w:r>
          </w:p>
        </w:tc>
        <w:tc>
          <w:tcPr>
            <w:tcW w:w="360" w:type="dxa"/>
            <w:vAlign w:val="bottom"/>
            <w:shd w:val="clear" w:color="auto" w:fill="CEFFE7"/>
          </w:tcPr>
          <w:p>
            <w:pPr>
              <w:spacing w:after="0"/>
              <w:rPr>
                <w:sz w:val="23"/>
                <w:szCs w:val="23"/>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484,329</w:t>
            </w:r>
          </w:p>
        </w:tc>
        <w:tc>
          <w:tcPr>
            <w:tcW w:w="100" w:type="dxa"/>
            <w:vAlign w:val="bottom"/>
            <w:shd w:val="clear" w:color="auto" w:fill="CEFFE7"/>
          </w:tcPr>
          <w:p>
            <w:pPr>
              <w:spacing w:after="0"/>
              <w:rPr>
                <w:sz w:val="23"/>
                <w:szCs w:val="23"/>
                <w:color w:val="auto"/>
              </w:rPr>
            </w:pPr>
          </w:p>
        </w:tc>
        <w:tc>
          <w:tcPr>
            <w:tcW w:w="120" w:type="dxa"/>
            <w:vAlign w:val="bottom"/>
            <w:shd w:val="clear" w:color="auto" w:fill="CEFFE7"/>
          </w:tcPr>
          <w:p>
            <w:pPr>
              <w:spacing w:after="0"/>
              <w:rPr>
                <w:sz w:val="23"/>
                <w:szCs w:val="23"/>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305,258</w:t>
            </w:r>
          </w:p>
        </w:tc>
        <w:tc>
          <w:tcPr>
            <w:tcW w:w="420" w:type="dxa"/>
            <w:vAlign w:val="bottom"/>
            <w:shd w:val="clear" w:color="auto" w:fill="CEFFE7"/>
          </w:tcPr>
          <w:p>
            <w:pPr>
              <w:spacing w:after="0"/>
              <w:rPr>
                <w:sz w:val="23"/>
                <w:szCs w:val="23"/>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287,420</w:t>
            </w:r>
          </w:p>
        </w:tc>
        <w:tc>
          <w:tcPr>
            <w:tcW w:w="1400" w:type="dxa"/>
            <w:vAlign w:val="bottom"/>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139,074,654</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131,929,575</w:t>
            </w:r>
          </w:p>
        </w:tc>
        <w:tc>
          <w:tcPr>
            <w:tcW w:w="0" w:type="dxa"/>
            <w:vAlign w:val="bottom"/>
          </w:tcPr>
          <w:p>
            <w:pPr>
              <w:spacing w:after="0"/>
              <w:rPr>
                <w:sz w:val="1"/>
                <w:szCs w:val="1"/>
                <w:color w:val="auto"/>
              </w:rPr>
            </w:pPr>
          </w:p>
        </w:tc>
      </w:tr>
      <w:tr>
        <w:trPr>
          <w:trHeight w:val="109"/>
        </w:trPr>
        <w:tc>
          <w:tcPr>
            <w:tcW w:w="1360" w:type="dxa"/>
            <w:vAlign w:val="bottom"/>
            <w:tcBorders>
              <w:top w:val="single" w:sz="8" w:color="CEFFE7"/>
            </w:tcBorders>
          </w:tcPr>
          <w:p>
            <w:pPr>
              <w:spacing w:after="0"/>
              <w:rPr>
                <w:sz w:val="9"/>
                <w:szCs w:val="9"/>
                <w:color w:val="auto"/>
              </w:rPr>
            </w:pPr>
          </w:p>
        </w:tc>
        <w:tc>
          <w:tcPr>
            <w:tcW w:w="2460" w:type="dxa"/>
            <w:vAlign w:val="bottom"/>
            <w:tcBorders>
              <w:top w:val="single" w:sz="8" w:color="CEFFE7"/>
            </w:tcBorders>
          </w:tcPr>
          <w:p>
            <w:pPr>
              <w:spacing w:after="0"/>
              <w:rPr>
                <w:sz w:val="9"/>
                <w:szCs w:val="9"/>
                <w:color w:val="auto"/>
              </w:rPr>
            </w:pPr>
          </w:p>
        </w:tc>
        <w:tc>
          <w:tcPr>
            <w:tcW w:w="20" w:type="dxa"/>
            <w:vAlign w:val="bottom"/>
            <w:tcBorders>
              <w:top w:val="single" w:sz="8" w:color="CEFFE7"/>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Borders>
              <w:top w:val="single" w:sz="8" w:color="CEFFE7"/>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Borders>
              <w:top w:val="single" w:sz="8" w:color="CEFFE7"/>
            </w:tcBorders>
          </w:tcPr>
          <w:p>
            <w:pPr>
              <w:spacing w:after="0"/>
              <w:rPr>
                <w:sz w:val="9"/>
                <w:szCs w:val="9"/>
                <w:color w:val="auto"/>
              </w:rPr>
            </w:pPr>
          </w:p>
        </w:tc>
        <w:tc>
          <w:tcPr>
            <w:tcW w:w="128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Non-regulated Services</w:t>
            </w:r>
          </w:p>
        </w:tc>
        <w:tc>
          <w:tcPr>
            <w:tcW w:w="200" w:type="dxa"/>
            <w:vAlign w:val="bottom"/>
            <w:shd w:val="clear" w:color="auto" w:fill="CEFFE7"/>
          </w:tcPr>
          <w:p>
            <w:pPr>
              <w:spacing w:after="0"/>
              <w:rPr>
                <w:sz w:val="18"/>
                <w:szCs w:val="18"/>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38,027</w:t>
            </w:r>
          </w:p>
        </w:tc>
        <w:tc>
          <w:tcPr>
            <w:tcW w:w="360" w:type="dxa"/>
            <w:vAlign w:val="bottom"/>
            <w:shd w:val="clear" w:color="auto" w:fill="CEFFE7"/>
          </w:tcPr>
          <w:p>
            <w:pPr>
              <w:spacing w:after="0"/>
              <w:rPr>
                <w:sz w:val="18"/>
                <w:szCs w:val="18"/>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37,554</w:t>
            </w:r>
          </w:p>
        </w:tc>
        <w:tc>
          <w:tcPr>
            <w:tcW w:w="10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27,146</w:t>
            </w:r>
          </w:p>
        </w:tc>
        <w:tc>
          <w:tcPr>
            <w:tcW w:w="420" w:type="dxa"/>
            <w:vAlign w:val="bottom"/>
            <w:shd w:val="clear" w:color="auto" w:fill="CEFFE7"/>
          </w:tcPr>
          <w:p>
            <w:pPr>
              <w:spacing w:after="0"/>
              <w:rPr>
                <w:sz w:val="18"/>
                <w:szCs w:val="18"/>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34,480</w:t>
            </w:r>
          </w:p>
        </w:tc>
        <w:tc>
          <w:tcPr>
            <w:tcW w:w="120" w:type="dxa"/>
            <w:vAlign w:val="bottom"/>
            <w:shd w:val="clear" w:color="auto" w:fill="CEFFE7"/>
          </w:tcPr>
          <w:p>
            <w:pPr>
              <w:spacing w:after="0"/>
              <w:rPr>
                <w:sz w:val="18"/>
                <w:szCs w:val="18"/>
                <w:color w:val="auto"/>
              </w:rPr>
            </w:pPr>
          </w:p>
        </w:tc>
        <w:tc>
          <w:tcPr>
            <w:tcW w:w="1280" w:type="dxa"/>
            <w:vAlign w:val="bottom"/>
            <w:shd w:val="clear" w:color="auto" w:fill="CEFFE7"/>
          </w:tcPr>
          <w:p>
            <w:pPr>
              <w:spacing w:after="0"/>
              <w:rPr>
                <w:sz w:val="18"/>
                <w:szCs w:val="18"/>
                <w:color w:val="auto"/>
              </w:rPr>
            </w:pPr>
          </w:p>
        </w:tc>
        <w:tc>
          <w:tcPr>
            <w:tcW w:w="1120" w:type="dxa"/>
            <w:vAlign w:val="bottom"/>
            <w:shd w:val="clear" w:color="auto" w:fill="CEFFE7"/>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20" w:type="dxa"/>
            <w:vAlign w:val="bottom"/>
            <w:tcBorders>
              <w:bottom w:val="single" w:sz="8" w:color="CEFFE7"/>
            </w:tcBorders>
            <w:gridSpan w:val="2"/>
          </w:tcPr>
          <w:p>
            <w:pPr>
              <w:spacing w:after="0"/>
              <w:rPr>
                <w:sz w:val="14"/>
                <w:szCs w:val="14"/>
                <w:color w:val="auto"/>
              </w:rPr>
            </w:pPr>
          </w:p>
        </w:tc>
        <w:tc>
          <w:tcPr>
            <w:tcW w:w="20" w:type="dxa"/>
            <w:vAlign w:val="bottom"/>
            <w:tcBorders>
              <w:bottom w:val="single" w:sz="8" w:color="CEFFE7"/>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CEFFE7"/>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EFFE7"/>
            </w:tcBorders>
          </w:tcPr>
          <w:p>
            <w:pPr>
              <w:spacing w:after="0"/>
              <w:rPr>
                <w:sz w:val="14"/>
                <w:szCs w:val="14"/>
                <w:color w:val="auto"/>
              </w:rPr>
            </w:pPr>
          </w:p>
        </w:tc>
        <w:tc>
          <w:tcPr>
            <w:tcW w:w="1280" w:type="dxa"/>
            <w:vAlign w:val="bottom"/>
            <w:tcBorders>
              <w:bottom w:val="single" w:sz="8" w:color="CEFFE7"/>
            </w:tcBorders>
          </w:tcPr>
          <w:p>
            <w:pPr>
              <w:spacing w:after="0"/>
              <w:rPr>
                <w:sz w:val="14"/>
                <w:szCs w:val="14"/>
                <w:color w:val="auto"/>
              </w:rPr>
            </w:pPr>
          </w:p>
        </w:tc>
        <w:tc>
          <w:tcPr>
            <w:tcW w:w="1120" w:type="dxa"/>
            <w:vAlign w:val="bottom"/>
            <w:tcBorders>
              <w:bottom w:val="single" w:sz="8" w:color="CEFFE7"/>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840" w:type="dxa"/>
            <w:vAlign w:val="bottom"/>
            <w:gridSpan w:val="3"/>
            <w:shd w:val="clear" w:color="auto" w:fill="CEFFE7"/>
          </w:tcPr>
          <w:p>
            <w:pPr>
              <w:ind w:left="220"/>
              <w:spacing w:after="0" w:line="158" w:lineRule="exact"/>
              <w:rPr>
                <w:sz w:val="20"/>
                <w:szCs w:val="20"/>
                <w:color w:val="auto"/>
              </w:rPr>
            </w:pPr>
            <w:r>
              <w:rPr>
                <w:rFonts w:ascii="Arial" w:cs="Arial" w:eastAsia="Arial" w:hAnsi="Arial"/>
                <w:sz w:val="16"/>
                <w:szCs w:val="16"/>
                <w:color w:val="auto"/>
              </w:rPr>
              <w:t>Total Gas Revenue &amp; Gross Margin (non-</w:t>
            </w:r>
          </w:p>
        </w:tc>
        <w:tc>
          <w:tcPr>
            <w:tcW w:w="200" w:type="dxa"/>
            <w:vAlign w:val="bottom"/>
            <w:vMerge w:val="restart"/>
            <w:shd w:val="clear" w:color="auto" w:fill="CEFFE7"/>
          </w:tcPr>
          <w:p>
            <w:pPr>
              <w:jc w:val="right"/>
              <w:ind w:right="21"/>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588,569</w:t>
            </w:r>
          </w:p>
        </w:tc>
        <w:tc>
          <w:tcPr>
            <w:tcW w:w="360" w:type="dxa"/>
            <w:vAlign w:val="bottom"/>
            <w:vMerge w:val="restart"/>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521,883</w:t>
            </w:r>
          </w:p>
        </w:tc>
        <w:tc>
          <w:tcPr>
            <w:tcW w:w="100" w:type="dxa"/>
            <w:vAlign w:val="bottom"/>
            <w:shd w:val="clear" w:color="auto" w:fill="CEFFE7"/>
          </w:tcPr>
          <w:p>
            <w:pPr>
              <w:spacing w:after="0"/>
              <w:rPr>
                <w:sz w:val="13"/>
                <w:szCs w:val="13"/>
                <w:color w:val="auto"/>
              </w:rPr>
            </w:pPr>
          </w:p>
        </w:tc>
        <w:tc>
          <w:tcPr>
            <w:tcW w:w="1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332,404</w:t>
            </w:r>
          </w:p>
        </w:tc>
        <w:tc>
          <w:tcPr>
            <w:tcW w:w="420" w:type="dxa"/>
            <w:vAlign w:val="bottom"/>
            <w:vMerge w:val="restart"/>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321,900</w:t>
            </w:r>
          </w:p>
        </w:tc>
        <w:tc>
          <w:tcPr>
            <w:tcW w:w="120" w:type="dxa"/>
            <w:vAlign w:val="bottom"/>
            <w:shd w:val="clear" w:color="auto" w:fill="CEFFE7"/>
          </w:tcPr>
          <w:p>
            <w:pPr>
              <w:spacing w:after="0"/>
              <w:rPr>
                <w:sz w:val="13"/>
                <w:szCs w:val="13"/>
                <w:color w:val="auto"/>
              </w:rPr>
            </w:pPr>
          </w:p>
        </w:tc>
        <w:tc>
          <w:tcPr>
            <w:tcW w:w="1280" w:type="dxa"/>
            <w:vAlign w:val="bottom"/>
            <w:shd w:val="clear" w:color="auto" w:fill="CEFFE7"/>
          </w:tcPr>
          <w:p>
            <w:pPr>
              <w:spacing w:after="0"/>
              <w:rPr>
                <w:sz w:val="13"/>
                <w:szCs w:val="13"/>
                <w:color w:val="auto"/>
              </w:rPr>
            </w:pPr>
          </w:p>
        </w:tc>
        <w:tc>
          <w:tcPr>
            <w:tcW w:w="1120" w:type="dxa"/>
            <w:vAlign w:val="bottom"/>
            <w:shd w:val="clear" w:color="auto" w:fill="CEFFE7"/>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840" w:type="dxa"/>
            <w:vAlign w:val="bottom"/>
            <w:tcBorders>
              <w:bottom w:val="single" w:sz="8" w:color="CEFFE7"/>
            </w:tcBorders>
            <w:gridSpan w:val="3"/>
            <w:shd w:val="clear" w:color="auto" w:fill="CEFFE7"/>
          </w:tcPr>
          <w:p>
            <w:pPr>
              <w:ind w:left="220"/>
              <w:spacing w:after="0" w:line="174" w:lineRule="exact"/>
              <w:rPr>
                <w:sz w:val="20"/>
                <w:szCs w:val="20"/>
                <w:color w:val="auto"/>
              </w:rPr>
            </w:pPr>
            <w:r>
              <w:rPr>
                <w:rFonts w:ascii="Arial" w:cs="Arial" w:eastAsia="Arial" w:hAnsi="Arial"/>
                <w:sz w:val="16"/>
                <w:szCs w:val="16"/>
                <w:color w:val="auto"/>
              </w:rPr>
              <w:t>GAAP)</w:t>
            </w:r>
          </w:p>
        </w:tc>
        <w:tc>
          <w:tcPr>
            <w:tcW w:w="200" w:type="dxa"/>
            <w:vAlign w:val="bottom"/>
            <w:tcBorders>
              <w:bottom w:val="single" w:sz="8" w:color="auto"/>
            </w:tcBorders>
            <w:vMerge w:val="continue"/>
            <w:shd w:val="clear" w:color="auto" w:fill="CEFFE7"/>
          </w:tcPr>
          <w:p>
            <w:pPr>
              <w:spacing w:after="0"/>
              <w:rPr>
                <w:sz w:val="16"/>
                <w:szCs w:val="16"/>
                <w:color w:val="auto"/>
              </w:rPr>
            </w:pPr>
          </w:p>
        </w:tc>
        <w:tc>
          <w:tcPr>
            <w:tcW w:w="980" w:type="dxa"/>
            <w:vAlign w:val="bottom"/>
            <w:tcBorders>
              <w:bottom w:val="single" w:sz="8" w:color="auto"/>
            </w:tcBorders>
            <w:vMerge w:val="continue"/>
            <w:shd w:val="clear" w:color="auto" w:fill="CEFFE7"/>
          </w:tcPr>
          <w:p>
            <w:pPr>
              <w:spacing w:after="0"/>
              <w:rPr>
                <w:sz w:val="16"/>
                <w:szCs w:val="16"/>
                <w:color w:val="auto"/>
              </w:rPr>
            </w:pPr>
          </w:p>
        </w:tc>
        <w:tc>
          <w:tcPr>
            <w:tcW w:w="360" w:type="dxa"/>
            <w:vAlign w:val="bottom"/>
            <w:tcBorders>
              <w:bottom w:val="single" w:sz="8" w:color="auto"/>
            </w:tcBorders>
            <w:vMerge w:val="continue"/>
            <w:shd w:val="clear" w:color="auto" w:fill="CEFFE7"/>
          </w:tcPr>
          <w:p>
            <w:pPr>
              <w:spacing w:after="0"/>
              <w:rPr>
                <w:sz w:val="16"/>
                <w:szCs w:val="16"/>
                <w:color w:val="auto"/>
              </w:rPr>
            </w:pPr>
          </w:p>
        </w:tc>
        <w:tc>
          <w:tcPr>
            <w:tcW w:w="840" w:type="dxa"/>
            <w:vAlign w:val="bottom"/>
            <w:tcBorders>
              <w:bottom w:val="single" w:sz="8" w:color="auto"/>
            </w:tcBorders>
            <w:vMerge w:val="continue"/>
            <w:shd w:val="clear" w:color="auto" w:fill="CEFFE7"/>
          </w:tcPr>
          <w:p>
            <w:pPr>
              <w:spacing w:after="0"/>
              <w:rPr>
                <w:sz w:val="16"/>
                <w:szCs w:val="16"/>
                <w:color w:val="auto"/>
              </w:rPr>
            </w:pPr>
          </w:p>
        </w:tc>
        <w:tc>
          <w:tcPr>
            <w:tcW w:w="100" w:type="dxa"/>
            <w:vAlign w:val="bottom"/>
            <w:tcBorders>
              <w:bottom w:val="single" w:sz="8" w:color="CEFFE7"/>
            </w:tcBorders>
            <w:shd w:val="clear" w:color="auto" w:fill="CEFFE7"/>
          </w:tcPr>
          <w:p>
            <w:pPr>
              <w:spacing w:after="0"/>
              <w:rPr>
                <w:sz w:val="16"/>
                <w:szCs w:val="16"/>
                <w:color w:val="auto"/>
              </w:rPr>
            </w:pPr>
          </w:p>
        </w:tc>
        <w:tc>
          <w:tcPr>
            <w:tcW w:w="120" w:type="dxa"/>
            <w:vAlign w:val="bottom"/>
            <w:tcBorders>
              <w:bottom w:val="single" w:sz="8" w:color="auto"/>
            </w:tcBorders>
            <w:vMerge w:val="continue"/>
            <w:shd w:val="clear" w:color="auto" w:fill="CEFFE7"/>
          </w:tcPr>
          <w:p>
            <w:pPr>
              <w:spacing w:after="0"/>
              <w:rPr>
                <w:sz w:val="16"/>
                <w:szCs w:val="16"/>
                <w:color w:val="auto"/>
              </w:rPr>
            </w:pPr>
          </w:p>
        </w:tc>
        <w:tc>
          <w:tcPr>
            <w:tcW w:w="1080" w:type="dxa"/>
            <w:vAlign w:val="bottom"/>
            <w:tcBorders>
              <w:bottom w:val="single" w:sz="8" w:color="auto"/>
            </w:tcBorders>
            <w:vMerge w:val="continue"/>
            <w:shd w:val="clear" w:color="auto" w:fill="CEFFE7"/>
          </w:tcPr>
          <w:p>
            <w:pPr>
              <w:spacing w:after="0"/>
              <w:rPr>
                <w:sz w:val="16"/>
                <w:szCs w:val="16"/>
                <w:color w:val="auto"/>
              </w:rPr>
            </w:pPr>
          </w:p>
        </w:tc>
        <w:tc>
          <w:tcPr>
            <w:tcW w:w="420" w:type="dxa"/>
            <w:vAlign w:val="bottom"/>
            <w:tcBorders>
              <w:bottom w:val="single" w:sz="8" w:color="auto"/>
            </w:tcBorders>
            <w:vMerge w:val="continue"/>
            <w:shd w:val="clear" w:color="auto" w:fill="CEFFE7"/>
          </w:tcPr>
          <w:p>
            <w:pPr>
              <w:spacing w:after="0"/>
              <w:rPr>
                <w:sz w:val="16"/>
                <w:szCs w:val="16"/>
                <w:color w:val="auto"/>
              </w:rPr>
            </w:pPr>
          </w:p>
        </w:tc>
        <w:tc>
          <w:tcPr>
            <w:tcW w:w="780" w:type="dxa"/>
            <w:vAlign w:val="bottom"/>
            <w:tcBorders>
              <w:bottom w:val="single" w:sz="8" w:color="auto"/>
            </w:tcBorders>
            <w:vMerge w:val="continue"/>
            <w:shd w:val="clear" w:color="auto" w:fill="CEFFE7"/>
          </w:tcPr>
          <w:p>
            <w:pPr>
              <w:spacing w:after="0"/>
              <w:rPr>
                <w:sz w:val="16"/>
                <w:szCs w:val="16"/>
                <w:color w:val="auto"/>
              </w:rPr>
            </w:pPr>
          </w:p>
        </w:tc>
        <w:tc>
          <w:tcPr>
            <w:tcW w:w="120" w:type="dxa"/>
            <w:vAlign w:val="bottom"/>
            <w:tcBorders>
              <w:bottom w:val="single" w:sz="8" w:color="CEFFE7"/>
            </w:tcBorders>
            <w:shd w:val="clear" w:color="auto" w:fill="CEFFE7"/>
          </w:tcPr>
          <w:p>
            <w:pPr>
              <w:spacing w:after="0"/>
              <w:rPr>
                <w:sz w:val="16"/>
                <w:szCs w:val="16"/>
                <w:color w:val="auto"/>
              </w:rPr>
            </w:pPr>
          </w:p>
        </w:tc>
        <w:tc>
          <w:tcPr>
            <w:tcW w:w="1280" w:type="dxa"/>
            <w:vAlign w:val="bottom"/>
            <w:tcBorders>
              <w:bottom w:val="single" w:sz="8" w:color="CEFFE7"/>
            </w:tcBorders>
            <w:shd w:val="clear" w:color="auto" w:fill="CEFFE7"/>
          </w:tcPr>
          <w:p>
            <w:pPr>
              <w:spacing w:after="0"/>
              <w:rPr>
                <w:sz w:val="16"/>
                <w:szCs w:val="16"/>
                <w:color w:val="auto"/>
              </w:rPr>
            </w:pPr>
          </w:p>
        </w:tc>
        <w:tc>
          <w:tcPr>
            <w:tcW w:w="1120" w:type="dxa"/>
            <w:vAlign w:val="bottom"/>
            <w:tcBorders>
              <w:bottom w:val="single" w:sz="8" w:color="CEFFE7"/>
            </w:tcBorders>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EFFE7"/>
            </w:tcBorders>
          </w:tcPr>
          <w:p>
            <w:pPr>
              <w:spacing w:after="0" w:line="20" w:lineRule="exact"/>
              <w:rPr>
                <w:sz w:val="1"/>
                <w:szCs w:val="1"/>
                <w:color w:val="auto"/>
              </w:rPr>
            </w:pPr>
          </w:p>
        </w:tc>
        <w:tc>
          <w:tcPr>
            <w:tcW w:w="246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980" w:type="dxa"/>
            <w:vAlign w:val="bottom"/>
            <w:tcBorders>
              <w:top w:val="single" w:sz="8" w:color="CEFFE7"/>
              <w:bottom w:val="single" w:sz="8" w:color="auto"/>
            </w:tcBorders>
          </w:tcPr>
          <w:p>
            <w:pPr>
              <w:spacing w:after="0" w:line="20" w:lineRule="exact"/>
              <w:rPr>
                <w:sz w:val="1"/>
                <w:szCs w:val="1"/>
                <w:color w:val="auto"/>
              </w:rPr>
            </w:pPr>
          </w:p>
        </w:tc>
        <w:tc>
          <w:tcPr>
            <w:tcW w:w="360" w:type="dxa"/>
            <w:vAlign w:val="bottom"/>
            <w:tcBorders>
              <w:top w:val="single" w:sz="8" w:color="CEFFE7"/>
              <w:bottom w:val="single" w:sz="8" w:color="auto"/>
            </w:tcBorders>
          </w:tcPr>
          <w:p>
            <w:pPr>
              <w:spacing w:after="0" w:line="20" w:lineRule="exact"/>
              <w:rPr>
                <w:sz w:val="1"/>
                <w:szCs w:val="1"/>
                <w:color w:val="auto"/>
              </w:rPr>
            </w:pPr>
          </w:p>
        </w:tc>
        <w:tc>
          <w:tcPr>
            <w:tcW w:w="840" w:type="dxa"/>
            <w:vAlign w:val="bottom"/>
            <w:tcBorders>
              <w:top w:val="single" w:sz="8" w:color="CEFFE7"/>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bottom w:val="single" w:sz="8" w:color="auto"/>
            </w:tcBorders>
          </w:tcPr>
          <w:p>
            <w:pPr>
              <w:spacing w:after="0" w:line="20" w:lineRule="exact"/>
              <w:rPr>
                <w:sz w:val="1"/>
                <w:szCs w:val="1"/>
                <w:color w:val="auto"/>
              </w:rPr>
            </w:pPr>
          </w:p>
        </w:tc>
        <w:tc>
          <w:tcPr>
            <w:tcW w:w="2280" w:type="dxa"/>
            <w:vAlign w:val="bottom"/>
            <w:tcBorders>
              <w:top w:val="single" w:sz="8" w:color="CEFFE7"/>
              <w:bottom w:val="single" w:sz="8" w:color="auto"/>
            </w:tcBorders>
            <w:gridSpan w:val="3"/>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2400" w:type="dxa"/>
            <w:vAlign w:val="bottom"/>
            <w:tcBorders>
              <w:top w:val="single" w:sz="8" w:color="CEFFE7"/>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1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3"/>
          </w:tcPr>
          <w:p>
            <w:pPr>
              <w:jc w:val="center"/>
              <w:ind w:right="39"/>
              <w:spacing w:after="0"/>
              <w:rPr>
                <w:sz w:val="20"/>
                <w:szCs w:val="20"/>
                <w:color w:val="auto"/>
              </w:rPr>
            </w:pPr>
            <w:r>
              <w:rPr>
                <w:rFonts w:ascii="Arial" w:cs="Arial" w:eastAsia="Arial" w:hAnsi="Arial"/>
                <w:sz w:val="16"/>
                <w:szCs w:val="16"/>
                <w:color w:val="auto"/>
              </w:rPr>
              <w:t>Gross Margin (non-GAAP) (in</w:t>
            </w:r>
          </w:p>
        </w:tc>
        <w:tc>
          <w:tcPr>
            <w:tcW w:w="120" w:type="dxa"/>
            <w:vAlign w:val="bottom"/>
          </w:tcPr>
          <w:p>
            <w:pPr>
              <w:spacing w:after="0"/>
              <w:rPr>
                <w:sz w:val="24"/>
                <w:szCs w:val="24"/>
                <w:color w:val="auto"/>
              </w:rPr>
            </w:pPr>
          </w:p>
        </w:tc>
        <w:tc>
          <w:tcPr>
            <w:tcW w:w="2400" w:type="dxa"/>
            <w:vAlign w:val="bottom"/>
            <w:gridSpan w:val="2"/>
          </w:tcPr>
          <w:p>
            <w:pPr>
              <w:jc w:val="center"/>
              <w:spacing w:after="0"/>
              <w:rPr>
                <w:sz w:val="20"/>
                <w:szCs w:val="20"/>
                <w:color w:val="auto"/>
              </w:rPr>
            </w:pPr>
            <w:r>
              <w:rPr>
                <w:rFonts w:ascii="Arial" w:cs="Arial" w:eastAsia="Arial" w:hAnsi="Arial"/>
                <w:sz w:val="16"/>
                <w:szCs w:val="16"/>
                <w:color w:val="auto"/>
              </w:rPr>
              <w:t>Gas Utilities Quantities Sold &amp;</w:t>
            </w:r>
          </w:p>
        </w:tc>
        <w:tc>
          <w:tcPr>
            <w:tcW w:w="0" w:type="dxa"/>
            <w:vAlign w:val="bottom"/>
          </w:tcPr>
          <w:p>
            <w:pPr>
              <w:spacing w:after="0"/>
              <w:rPr>
                <w:sz w:val="1"/>
                <w:szCs w:val="1"/>
                <w:color w:val="auto"/>
              </w:rPr>
            </w:pPr>
          </w:p>
        </w:tc>
      </w:tr>
      <w:tr>
        <w:trPr>
          <w:trHeight w:val="198"/>
        </w:trPr>
        <w:tc>
          <w:tcPr>
            <w:tcW w:w="13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6"/>
                <w:szCs w:val="16"/>
                <w:color w:val="auto"/>
              </w:rPr>
              <w:t>Revenue (in thousands)</w:t>
            </w: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left="579"/>
              <w:spacing w:after="0"/>
              <w:rPr>
                <w:sz w:val="20"/>
                <w:szCs w:val="20"/>
                <w:color w:val="auto"/>
              </w:rPr>
            </w:pPr>
            <w:r>
              <w:rPr>
                <w:rFonts w:ascii="Arial" w:cs="Arial" w:eastAsia="Arial" w:hAnsi="Arial"/>
                <w:sz w:val="16"/>
                <w:szCs w:val="16"/>
                <w:color w:val="auto"/>
              </w:rPr>
              <w:t>thousands)</w:t>
            </w: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Transported (Dth)</w:t>
            </w:r>
          </w:p>
        </w:tc>
        <w:tc>
          <w:tcPr>
            <w:tcW w:w="0" w:type="dxa"/>
            <w:vAlign w:val="bottom"/>
          </w:tcPr>
          <w:p>
            <w:pPr>
              <w:spacing w:after="0"/>
              <w:rPr>
                <w:sz w:val="1"/>
                <w:szCs w:val="1"/>
                <w:color w:val="auto"/>
              </w:rPr>
            </w:pPr>
          </w:p>
        </w:tc>
      </w:tr>
      <w:tr>
        <w:trPr>
          <w:trHeight w:val="174"/>
        </w:trPr>
        <w:tc>
          <w:tcPr>
            <w:tcW w:w="13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gridSpan w:val="4"/>
          </w:tcPr>
          <w:p>
            <w:pPr>
              <w:jc w:val="center"/>
              <w:ind w:right="320"/>
              <w:spacing w:after="0" w:line="174" w:lineRule="exact"/>
              <w:rPr>
                <w:sz w:val="20"/>
                <w:szCs w:val="20"/>
                <w:color w:val="auto"/>
              </w:rPr>
            </w:pPr>
            <w:r>
              <w:rPr>
                <w:rFonts w:ascii="Arial" w:cs="Arial" w:eastAsia="Arial" w:hAnsi="Arial"/>
                <w:sz w:val="16"/>
                <w:szCs w:val="16"/>
                <w:color w:val="auto"/>
              </w:rPr>
              <w:t>Three Months Ended</w:t>
            </w:r>
          </w:p>
        </w:tc>
        <w:tc>
          <w:tcPr>
            <w:tcW w:w="120" w:type="dxa"/>
            <w:vAlign w:val="bottom"/>
          </w:tcPr>
          <w:p>
            <w:pPr>
              <w:spacing w:after="0"/>
              <w:rPr>
                <w:sz w:val="15"/>
                <w:szCs w:val="15"/>
                <w:color w:val="auto"/>
              </w:rPr>
            </w:pPr>
          </w:p>
        </w:tc>
        <w:tc>
          <w:tcPr>
            <w:tcW w:w="2280" w:type="dxa"/>
            <w:vAlign w:val="bottom"/>
            <w:gridSpan w:val="3"/>
          </w:tcPr>
          <w:p>
            <w:pPr>
              <w:jc w:val="center"/>
              <w:ind w:right="19"/>
              <w:spacing w:after="0" w:line="174" w:lineRule="exact"/>
              <w:rPr>
                <w:sz w:val="20"/>
                <w:szCs w:val="20"/>
                <w:color w:val="auto"/>
              </w:rPr>
            </w:pPr>
            <w:r>
              <w:rPr>
                <w:rFonts w:ascii="Arial" w:cs="Arial" w:eastAsia="Arial" w:hAnsi="Arial"/>
                <w:sz w:val="16"/>
                <w:szCs w:val="16"/>
                <w:color w:val="auto"/>
              </w:rPr>
              <w:t>Three Months Ended</w:t>
            </w:r>
          </w:p>
        </w:tc>
        <w:tc>
          <w:tcPr>
            <w:tcW w:w="120" w:type="dxa"/>
            <w:vAlign w:val="bottom"/>
          </w:tcPr>
          <w:p>
            <w:pPr>
              <w:spacing w:after="0"/>
              <w:rPr>
                <w:sz w:val="15"/>
                <w:szCs w:val="15"/>
                <w:color w:val="auto"/>
              </w:rPr>
            </w:pPr>
          </w:p>
        </w:tc>
        <w:tc>
          <w:tcPr>
            <w:tcW w:w="2400" w:type="dxa"/>
            <w:vAlign w:val="bottom"/>
            <w:gridSpan w:val="2"/>
          </w:tcPr>
          <w:p>
            <w:pPr>
              <w:jc w:val="center"/>
              <w:spacing w:after="0" w:line="174" w:lineRule="exact"/>
              <w:rPr>
                <w:sz w:val="20"/>
                <w:szCs w:val="20"/>
                <w:color w:val="auto"/>
              </w:rPr>
            </w:pPr>
            <w:r>
              <w:rPr>
                <w:rFonts w:ascii="Arial" w:cs="Arial" w:eastAsia="Arial" w:hAnsi="Arial"/>
                <w:sz w:val="16"/>
                <w:szCs w:val="16"/>
                <w:color w:val="auto"/>
              </w:rPr>
              <w:t>Three Months Ended</w:t>
            </w:r>
          </w:p>
        </w:tc>
        <w:tc>
          <w:tcPr>
            <w:tcW w:w="0" w:type="dxa"/>
            <w:vAlign w:val="bottom"/>
          </w:tcPr>
          <w:p>
            <w:pPr>
              <w:spacing w:after="0"/>
              <w:rPr>
                <w:sz w:val="1"/>
                <w:szCs w:val="1"/>
                <w:color w:val="auto"/>
              </w:rPr>
            </w:pPr>
          </w:p>
        </w:tc>
      </w:tr>
      <w:tr>
        <w:trPr>
          <w:trHeight w:val="195"/>
        </w:trPr>
        <w:tc>
          <w:tcPr>
            <w:tcW w:w="13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left="519"/>
              <w:spacing w:after="0"/>
              <w:rPr>
                <w:sz w:val="20"/>
                <w:szCs w:val="20"/>
                <w:color w:val="auto"/>
              </w:rPr>
            </w:pPr>
            <w:r>
              <w:rPr>
                <w:rFonts w:ascii="Arial" w:cs="Arial" w:eastAsia="Arial" w:hAnsi="Arial"/>
                <w:sz w:val="16"/>
                <w:szCs w:val="16"/>
                <w:color w:val="auto"/>
              </w:rPr>
              <w:t>June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left="599"/>
              <w:spacing w:after="0"/>
              <w:rPr>
                <w:sz w:val="20"/>
                <w:szCs w:val="20"/>
                <w:color w:val="auto"/>
              </w:rPr>
            </w:pPr>
            <w:r>
              <w:rPr>
                <w:rFonts w:ascii="Arial" w:cs="Arial" w:eastAsia="Arial" w:hAnsi="Arial"/>
                <w:sz w:val="16"/>
                <w:szCs w:val="16"/>
                <w:color w:val="auto"/>
              </w:rPr>
              <w:t>June 30,</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2"/>
          </w:tcPr>
          <w:p>
            <w:pPr>
              <w:jc w:val="center"/>
              <w:spacing w:after="0"/>
              <w:rPr>
                <w:sz w:val="20"/>
                <w:szCs w:val="20"/>
                <w:color w:val="auto"/>
              </w:rPr>
            </w:pPr>
            <w:r>
              <w:rPr>
                <w:rFonts w:ascii="Arial" w:cs="Arial" w:eastAsia="Arial" w:hAnsi="Arial"/>
                <w:sz w:val="16"/>
                <w:szCs w:val="16"/>
                <w:color w:val="auto"/>
              </w:rPr>
              <w:t>June 30,</w:t>
            </w:r>
          </w:p>
        </w:tc>
        <w:tc>
          <w:tcPr>
            <w:tcW w:w="0" w:type="dxa"/>
            <w:vAlign w:val="bottom"/>
          </w:tcPr>
          <w:p>
            <w:pPr>
              <w:spacing w:after="0"/>
              <w:rPr>
                <w:sz w:val="1"/>
                <w:szCs w:val="1"/>
                <w:color w:val="auto"/>
              </w:rPr>
            </w:pPr>
          </w:p>
        </w:tc>
      </w:tr>
      <w:tr>
        <w:trPr>
          <w:trHeight w:val="219"/>
        </w:trPr>
        <w:tc>
          <w:tcPr>
            <w:tcW w:w="13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2021</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2021</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95"/>
              </w:rPr>
              <w:t>2020</w:t>
            </w:r>
          </w:p>
        </w:tc>
        <w:tc>
          <w:tcPr>
            <w:tcW w:w="140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6"/>
                <w:szCs w:val="16"/>
                <w:color w:val="auto"/>
              </w:rPr>
              <w:t>2021</w:t>
            </w:r>
          </w:p>
        </w:tc>
        <w:tc>
          <w:tcPr>
            <w:tcW w:w="11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Arkansas Gas</w:t>
            </w:r>
          </w:p>
        </w:tc>
        <w:tc>
          <w:tcPr>
            <w:tcW w:w="200" w:type="dxa"/>
            <w:vAlign w:val="bottom"/>
            <w:shd w:val="clear" w:color="auto" w:fill="CEFFE7"/>
          </w:tcPr>
          <w:p>
            <w:pPr>
              <w:jc w:val="right"/>
              <w:ind w:right="41"/>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32,994</w:t>
            </w:r>
          </w:p>
        </w:tc>
        <w:tc>
          <w:tcPr>
            <w:tcW w:w="360" w:type="dxa"/>
            <w:vAlign w:val="bottom"/>
            <w:shd w:val="clear" w:color="auto" w:fill="CEFFE7"/>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28,733</w:t>
            </w:r>
          </w:p>
        </w:tc>
        <w:tc>
          <w:tcPr>
            <w:tcW w:w="100" w:type="dxa"/>
            <w:vAlign w:val="bottom"/>
            <w:shd w:val="clear" w:color="auto" w:fill="CEFFE7"/>
          </w:tcPr>
          <w:p>
            <w:pPr>
              <w:spacing w:after="0"/>
              <w:rPr>
                <w:sz w:val="18"/>
                <w:szCs w:val="18"/>
                <w:color w:val="auto"/>
              </w:rPr>
            </w:pP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22,902</w:t>
            </w:r>
          </w:p>
        </w:tc>
        <w:tc>
          <w:tcPr>
            <w:tcW w:w="42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21,906</w:t>
            </w:r>
          </w:p>
        </w:tc>
        <w:tc>
          <w:tcPr>
            <w:tcW w:w="1400" w:type="dxa"/>
            <w:vAlign w:val="bottom"/>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5,718,417</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4,906,236</w:t>
            </w:r>
          </w:p>
        </w:tc>
        <w:tc>
          <w:tcPr>
            <w:tcW w:w="0" w:type="dxa"/>
            <w:vAlign w:val="bottom"/>
          </w:tcPr>
          <w:p>
            <w:pPr>
              <w:spacing w:after="0"/>
              <w:rPr>
                <w:sz w:val="1"/>
                <w:szCs w:val="1"/>
                <w:color w:val="auto"/>
              </w:rPr>
            </w:pPr>
          </w:p>
        </w:tc>
      </w:tr>
      <w:tr>
        <w:trPr>
          <w:trHeight w:val="213"/>
        </w:trPr>
        <w:tc>
          <w:tcPr>
            <w:tcW w:w="3840" w:type="dxa"/>
            <w:vAlign w:val="bottom"/>
            <w:gridSpan w:val="3"/>
          </w:tcPr>
          <w:p>
            <w:pPr>
              <w:ind w:left="20"/>
              <w:spacing w:after="0"/>
              <w:rPr>
                <w:sz w:val="20"/>
                <w:szCs w:val="20"/>
                <w:color w:val="auto"/>
              </w:rPr>
            </w:pPr>
            <w:r>
              <w:rPr>
                <w:rFonts w:ascii="Arial" w:cs="Arial" w:eastAsia="Arial" w:hAnsi="Arial"/>
                <w:sz w:val="16"/>
                <w:szCs w:val="16"/>
                <w:color w:val="auto"/>
              </w:rPr>
              <w:t>Colorado Gas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34,190</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28,613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20,610</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18,807</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5,957,285</w:t>
            </w:r>
          </w:p>
        </w:tc>
        <w:tc>
          <w:tcPr>
            <w:tcW w:w="1120" w:type="dxa"/>
            <w:vAlign w:val="bottom"/>
          </w:tcPr>
          <w:p>
            <w:pPr>
              <w:jc w:val="right"/>
              <w:spacing w:after="0"/>
              <w:rPr>
                <w:sz w:val="20"/>
                <w:szCs w:val="20"/>
                <w:color w:val="auto"/>
              </w:rPr>
            </w:pPr>
            <w:r>
              <w:rPr>
                <w:rFonts w:ascii="Arial" w:cs="Arial" w:eastAsia="Arial" w:hAnsi="Arial"/>
                <w:sz w:val="16"/>
                <w:szCs w:val="16"/>
                <w:color w:val="auto"/>
              </w:rPr>
              <w:t>5,046,844</w:t>
            </w:r>
          </w:p>
        </w:tc>
        <w:tc>
          <w:tcPr>
            <w:tcW w:w="0" w:type="dxa"/>
            <w:vAlign w:val="bottom"/>
          </w:tcPr>
          <w:p>
            <w:pPr>
              <w:spacing w:after="0"/>
              <w:rPr>
                <w:sz w:val="1"/>
                <w:szCs w:val="1"/>
                <w:color w:val="auto"/>
              </w:rPr>
            </w:pPr>
          </w:p>
        </w:tc>
      </w:tr>
      <w:tr>
        <w:trPr>
          <w:trHeight w:val="219"/>
        </w:trPr>
        <w:tc>
          <w:tcPr>
            <w:tcW w:w="384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Iowa Gas</w:t>
            </w:r>
          </w:p>
        </w:tc>
        <w:tc>
          <w:tcPr>
            <w:tcW w:w="20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29,831</w:t>
            </w:r>
          </w:p>
        </w:tc>
        <w:tc>
          <w:tcPr>
            <w:tcW w:w="360" w:type="dxa"/>
            <w:vAlign w:val="bottom"/>
            <w:shd w:val="clear" w:color="auto" w:fill="CEFFE7"/>
          </w:tcPr>
          <w:p>
            <w:pPr>
              <w:spacing w:after="0"/>
              <w:rPr>
                <w:sz w:val="19"/>
                <w:szCs w:val="19"/>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21,407</w:t>
            </w:r>
          </w:p>
        </w:tc>
        <w:tc>
          <w:tcPr>
            <w:tcW w:w="10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16,009</w:t>
            </w:r>
          </w:p>
        </w:tc>
        <w:tc>
          <w:tcPr>
            <w:tcW w:w="420" w:type="dxa"/>
            <w:vAlign w:val="bottom"/>
            <w:shd w:val="clear" w:color="auto" w:fill="CEFFE7"/>
          </w:tcPr>
          <w:p>
            <w:pPr>
              <w:spacing w:after="0"/>
              <w:rPr>
                <w:sz w:val="19"/>
                <w:szCs w:val="19"/>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14,355</w:t>
            </w:r>
          </w:p>
        </w:tc>
        <w:tc>
          <w:tcPr>
            <w:tcW w:w="1400" w:type="dxa"/>
            <w:vAlign w:val="bottom"/>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7,016,613</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5,521,119</w:t>
            </w:r>
          </w:p>
        </w:tc>
        <w:tc>
          <w:tcPr>
            <w:tcW w:w="0" w:type="dxa"/>
            <w:vAlign w:val="bottom"/>
          </w:tcPr>
          <w:p>
            <w:pPr>
              <w:spacing w:after="0"/>
              <w:rPr>
                <w:sz w:val="1"/>
                <w:szCs w:val="1"/>
                <w:color w:val="auto"/>
              </w:rPr>
            </w:pPr>
          </w:p>
        </w:tc>
      </w:tr>
      <w:tr>
        <w:trPr>
          <w:trHeight w:val="213"/>
        </w:trPr>
        <w:tc>
          <w:tcPr>
            <w:tcW w:w="3840" w:type="dxa"/>
            <w:vAlign w:val="bottom"/>
            <w:gridSpan w:val="3"/>
          </w:tcPr>
          <w:p>
            <w:pPr>
              <w:ind w:left="20"/>
              <w:spacing w:after="0"/>
              <w:rPr>
                <w:sz w:val="20"/>
                <w:szCs w:val="20"/>
                <w:color w:val="auto"/>
              </w:rPr>
            </w:pPr>
            <w:r>
              <w:rPr>
                <w:rFonts w:ascii="Arial" w:cs="Arial" w:eastAsia="Arial" w:hAnsi="Arial"/>
                <w:sz w:val="16"/>
                <w:szCs w:val="16"/>
                <w:color w:val="auto"/>
              </w:rPr>
              <w:t>Kansas Gas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21,163</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18,486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12,744</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12,460</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7,155,427</w:t>
            </w:r>
          </w:p>
        </w:tc>
        <w:tc>
          <w:tcPr>
            <w:tcW w:w="1120" w:type="dxa"/>
            <w:vAlign w:val="bottom"/>
          </w:tcPr>
          <w:p>
            <w:pPr>
              <w:jc w:val="right"/>
              <w:spacing w:after="0"/>
              <w:rPr>
                <w:sz w:val="20"/>
                <w:szCs w:val="20"/>
                <w:color w:val="auto"/>
              </w:rPr>
            </w:pPr>
            <w:r>
              <w:rPr>
                <w:rFonts w:ascii="Arial" w:cs="Arial" w:eastAsia="Arial" w:hAnsi="Arial"/>
                <w:sz w:val="16"/>
                <w:szCs w:val="16"/>
                <w:color w:val="auto"/>
              </w:rPr>
              <w:t>6,722,914</w:t>
            </w:r>
          </w:p>
        </w:tc>
        <w:tc>
          <w:tcPr>
            <w:tcW w:w="0" w:type="dxa"/>
            <w:vAlign w:val="bottom"/>
          </w:tcPr>
          <w:p>
            <w:pPr>
              <w:spacing w:after="0"/>
              <w:rPr>
                <w:sz w:val="1"/>
                <w:szCs w:val="1"/>
                <w:color w:val="auto"/>
              </w:rPr>
            </w:pPr>
          </w:p>
        </w:tc>
      </w:tr>
      <w:tr>
        <w:trPr>
          <w:trHeight w:val="219"/>
        </w:trPr>
        <w:tc>
          <w:tcPr>
            <w:tcW w:w="384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Nebraska Gas</w:t>
            </w:r>
          </w:p>
        </w:tc>
        <w:tc>
          <w:tcPr>
            <w:tcW w:w="20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43,037</w:t>
            </w:r>
          </w:p>
        </w:tc>
        <w:tc>
          <w:tcPr>
            <w:tcW w:w="360" w:type="dxa"/>
            <w:vAlign w:val="bottom"/>
            <w:shd w:val="clear" w:color="auto" w:fill="CEFFE7"/>
          </w:tcPr>
          <w:p>
            <w:pPr>
              <w:spacing w:after="0"/>
              <w:rPr>
                <w:sz w:val="19"/>
                <w:szCs w:val="19"/>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40,466</w:t>
            </w:r>
          </w:p>
        </w:tc>
        <w:tc>
          <w:tcPr>
            <w:tcW w:w="10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32,095</w:t>
            </w:r>
          </w:p>
        </w:tc>
        <w:tc>
          <w:tcPr>
            <w:tcW w:w="420" w:type="dxa"/>
            <w:vAlign w:val="bottom"/>
            <w:shd w:val="clear" w:color="auto" w:fill="CEFFE7"/>
          </w:tcPr>
          <w:p>
            <w:pPr>
              <w:spacing w:after="0"/>
              <w:rPr>
                <w:sz w:val="19"/>
                <w:szCs w:val="19"/>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30,719</w:t>
            </w:r>
          </w:p>
        </w:tc>
        <w:tc>
          <w:tcPr>
            <w:tcW w:w="1400" w:type="dxa"/>
            <w:vAlign w:val="bottom"/>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15,822,880</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13,822,478</w:t>
            </w:r>
          </w:p>
        </w:tc>
        <w:tc>
          <w:tcPr>
            <w:tcW w:w="0" w:type="dxa"/>
            <w:vAlign w:val="bottom"/>
          </w:tcPr>
          <w:p>
            <w:pPr>
              <w:spacing w:after="0"/>
              <w:rPr>
                <w:sz w:val="1"/>
                <w:szCs w:val="1"/>
                <w:color w:val="auto"/>
              </w:rPr>
            </w:pPr>
          </w:p>
        </w:tc>
      </w:tr>
      <w:tr>
        <w:trPr>
          <w:trHeight w:val="213"/>
        </w:trPr>
        <w:tc>
          <w:tcPr>
            <w:tcW w:w="382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Wyoming Gas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24,835</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23,405</w:t>
            </w:r>
          </w:p>
        </w:tc>
        <w:tc>
          <w:tcPr>
            <w:tcW w:w="100" w:type="dxa"/>
            <w:vAlign w:val="bottom"/>
            <w:tcBorders>
              <w:bottom w:val="single" w:sz="8" w:color="CEFFE7"/>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18,575</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18,241</w:t>
            </w:r>
          </w:p>
        </w:tc>
        <w:tc>
          <w:tcPr>
            <w:tcW w:w="120" w:type="dxa"/>
            <w:vAlign w:val="bottom"/>
            <w:tcBorders>
              <w:bottom w:val="single" w:sz="8" w:color="CEFFE7"/>
            </w:tcBorders>
          </w:tcPr>
          <w:p>
            <w:pPr>
              <w:spacing w:after="0"/>
              <w:rPr>
                <w:sz w:val="18"/>
                <w:szCs w:val="18"/>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6,810,246</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8,727,827</w:t>
            </w:r>
          </w:p>
        </w:tc>
        <w:tc>
          <w:tcPr>
            <w:tcW w:w="0" w:type="dxa"/>
            <w:vAlign w:val="bottom"/>
          </w:tcPr>
          <w:p>
            <w:pPr>
              <w:spacing w:after="0"/>
              <w:rPr>
                <w:sz w:val="1"/>
                <w:szCs w:val="1"/>
                <w:color w:val="auto"/>
              </w:rPr>
            </w:pPr>
          </w:p>
        </w:tc>
      </w:tr>
      <w:tr>
        <w:trPr>
          <w:trHeight w:val="160"/>
        </w:trPr>
        <w:tc>
          <w:tcPr>
            <w:tcW w:w="3840" w:type="dxa"/>
            <w:vAlign w:val="bottom"/>
            <w:gridSpan w:val="3"/>
            <w:shd w:val="clear" w:color="auto" w:fill="CEFFE7"/>
          </w:tcPr>
          <w:p>
            <w:pPr>
              <w:ind w:left="220"/>
              <w:spacing w:after="0" w:line="161" w:lineRule="exact"/>
              <w:rPr>
                <w:sz w:val="20"/>
                <w:szCs w:val="20"/>
                <w:color w:val="auto"/>
              </w:rPr>
            </w:pPr>
            <w:r>
              <w:rPr>
                <w:rFonts w:ascii="Arial" w:cs="Arial" w:eastAsia="Arial" w:hAnsi="Arial"/>
                <w:sz w:val="16"/>
                <w:szCs w:val="16"/>
                <w:color w:val="auto"/>
              </w:rPr>
              <w:t>Total Gas Revenue &amp; Gross Margin (non-</w:t>
            </w:r>
          </w:p>
        </w:tc>
        <w:tc>
          <w:tcPr>
            <w:tcW w:w="200" w:type="dxa"/>
            <w:vAlign w:val="bottom"/>
            <w:vMerge w:val="restart"/>
            <w:shd w:val="clear" w:color="auto" w:fill="CEFFE7"/>
          </w:tcPr>
          <w:p>
            <w:pPr>
              <w:jc w:val="right"/>
              <w:ind w:right="41"/>
              <w:spacing w:after="0"/>
              <w:rPr>
                <w:sz w:val="20"/>
                <w:szCs w:val="20"/>
                <w:color w:val="auto"/>
              </w:rPr>
            </w:pPr>
            <w:r>
              <w:rPr>
                <w:rFonts w:ascii="Arial" w:cs="Arial" w:eastAsia="Arial" w:hAnsi="Arial"/>
                <w:sz w:val="15"/>
                <w:szCs w:val="15"/>
                <w:color w:val="auto"/>
                <w:w w:val="71"/>
              </w:rPr>
              <w:t>$</w:t>
            </w:r>
          </w:p>
        </w:tc>
        <w:tc>
          <w:tcPr>
            <w:tcW w:w="9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186,050</w:t>
            </w:r>
          </w:p>
        </w:tc>
        <w:tc>
          <w:tcPr>
            <w:tcW w:w="360" w:type="dxa"/>
            <w:vAlign w:val="bottom"/>
            <w:vMerge w:val="restart"/>
            <w:shd w:val="clear" w:color="auto" w:fill="CEFFE7"/>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161,110</w:t>
            </w:r>
          </w:p>
        </w:tc>
        <w:tc>
          <w:tcPr>
            <w:tcW w:w="100" w:type="dxa"/>
            <w:vAlign w:val="bottom"/>
            <w:shd w:val="clear" w:color="auto" w:fill="CEFFE7"/>
          </w:tcPr>
          <w:p>
            <w:pPr>
              <w:spacing w:after="0"/>
              <w:rPr>
                <w:sz w:val="13"/>
                <w:szCs w:val="13"/>
                <w:color w:val="auto"/>
              </w:rPr>
            </w:pPr>
          </w:p>
        </w:tc>
        <w:tc>
          <w:tcPr>
            <w:tcW w:w="1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122,935</w:t>
            </w:r>
          </w:p>
        </w:tc>
        <w:tc>
          <w:tcPr>
            <w:tcW w:w="420" w:type="dxa"/>
            <w:vAlign w:val="bottom"/>
            <w:vMerge w:val="restart"/>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116,488</w:t>
            </w:r>
          </w:p>
        </w:tc>
        <w:tc>
          <w:tcPr>
            <w:tcW w:w="1400" w:type="dxa"/>
            <w:vAlign w:val="bottom"/>
            <w:gridSpan w:val="2"/>
            <w:vMerge w:val="restart"/>
            <w:shd w:val="clear" w:color="auto" w:fill="CEFFE7"/>
          </w:tcPr>
          <w:p>
            <w:pPr>
              <w:jc w:val="right"/>
              <w:ind w:right="79"/>
              <w:spacing w:after="0"/>
              <w:rPr>
                <w:sz w:val="20"/>
                <w:szCs w:val="20"/>
                <w:color w:val="auto"/>
              </w:rPr>
            </w:pPr>
            <w:r>
              <w:rPr>
                <w:rFonts w:ascii="Arial" w:cs="Arial" w:eastAsia="Arial" w:hAnsi="Arial"/>
                <w:sz w:val="16"/>
                <w:szCs w:val="16"/>
                <w:color w:val="auto"/>
              </w:rPr>
              <w:t>48,480,868</w:t>
            </w:r>
          </w:p>
        </w:tc>
        <w:tc>
          <w:tcPr>
            <w:tcW w:w="11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44,747,418</w:t>
            </w:r>
          </w:p>
        </w:tc>
        <w:tc>
          <w:tcPr>
            <w:tcW w:w="0" w:type="dxa"/>
            <w:vAlign w:val="bottom"/>
          </w:tcPr>
          <w:p>
            <w:pPr>
              <w:spacing w:after="0"/>
              <w:rPr>
                <w:sz w:val="1"/>
                <w:szCs w:val="1"/>
                <w:color w:val="auto"/>
              </w:rPr>
            </w:pPr>
          </w:p>
        </w:tc>
      </w:tr>
      <w:tr>
        <w:trPr>
          <w:trHeight w:val="194"/>
        </w:trPr>
        <w:tc>
          <w:tcPr>
            <w:tcW w:w="3840" w:type="dxa"/>
            <w:vAlign w:val="bottom"/>
            <w:gridSpan w:val="3"/>
            <w:shd w:val="clear" w:color="auto" w:fill="CEFFE7"/>
          </w:tcPr>
          <w:p>
            <w:pPr>
              <w:ind w:left="220"/>
              <w:spacing w:after="0" w:line="174" w:lineRule="exact"/>
              <w:rPr>
                <w:sz w:val="20"/>
                <w:szCs w:val="20"/>
                <w:color w:val="auto"/>
              </w:rPr>
            </w:pPr>
            <w:r>
              <w:rPr>
                <w:rFonts w:ascii="Arial" w:cs="Arial" w:eastAsia="Arial" w:hAnsi="Arial"/>
                <w:sz w:val="16"/>
                <w:szCs w:val="16"/>
                <w:color w:val="auto"/>
              </w:rPr>
              <w:t>GAAP)</w:t>
            </w:r>
          </w:p>
        </w:tc>
        <w:tc>
          <w:tcPr>
            <w:tcW w:w="200" w:type="dxa"/>
            <w:vAlign w:val="bottom"/>
            <w:vMerge w:val="continue"/>
            <w:shd w:val="clear" w:color="auto" w:fill="CEFFE7"/>
          </w:tcPr>
          <w:p>
            <w:pPr>
              <w:spacing w:after="0"/>
              <w:rPr>
                <w:sz w:val="16"/>
                <w:szCs w:val="16"/>
                <w:color w:val="auto"/>
              </w:rPr>
            </w:pPr>
          </w:p>
        </w:tc>
        <w:tc>
          <w:tcPr>
            <w:tcW w:w="980" w:type="dxa"/>
            <w:vAlign w:val="bottom"/>
            <w:vMerge w:val="continue"/>
            <w:shd w:val="clear" w:color="auto" w:fill="CEFFE7"/>
          </w:tcPr>
          <w:p>
            <w:pPr>
              <w:spacing w:after="0"/>
              <w:rPr>
                <w:sz w:val="16"/>
                <w:szCs w:val="16"/>
                <w:color w:val="auto"/>
              </w:rPr>
            </w:pPr>
          </w:p>
        </w:tc>
        <w:tc>
          <w:tcPr>
            <w:tcW w:w="360" w:type="dxa"/>
            <w:vAlign w:val="bottom"/>
            <w:vMerge w:val="continue"/>
            <w:shd w:val="clear" w:color="auto" w:fill="CEFFE7"/>
          </w:tcPr>
          <w:p>
            <w:pPr>
              <w:spacing w:after="0"/>
              <w:rPr>
                <w:sz w:val="16"/>
                <w:szCs w:val="16"/>
                <w:color w:val="auto"/>
              </w:rPr>
            </w:pPr>
          </w:p>
        </w:tc>
        <w:tc>
          <w:tcPr>
            <w:tcW w:w="840" w:type="dxa"/>
            <w:vAlign w:val="bottom"/>
            <w:vMerge w:val="continue"/>
            <w:shd w:val="clear" w:color="auto" w:fill="CEFFE7"/>
          </w:tcPr>
          <w:p>
            <w:pPr>
              <w:spacing w:after="0"/>
              <w:rPr>
                <w:sz w:val="16"/>
                <w:szCs w:val="16"/>
                <w:color w:val="auto"/>
              </w:rPr>
            </w:pPr>
          </w:p>
        </w:tc>
        <w:tc>
          <w:tcPr>
            <w:tcW w:w="100" w:type="dxa"/>
            <w:vAlign w:val="bottom"/>
            <w:shd w:val="clear" w:color="auto" w:fill="CEFFE7"/>
          </w:tcPr>
          <w:p>
            <w:pPr>
              <w:spacing w:after="0"/>
              <w:rPr>
                <w:sz w:val="16"/>
                <w:szCs w:val="16"/>
                <w:color w:val="auto"/>
              </w:rPr>
            </w:pPr>
          </w:p>
        </w:tc>
        <w:tc>
          <w:tcPr>
            <w:tcW w:w="120" w:type="dxa"/>
            <w:vAlign w:val="bottom"/>
            <w:vMerge w:val="continue"/>
            <w:shd w:val="clear" w:color="auto" w:fill="CEFFE7"/>
          </w:tcPr>
          <w:p>
            <w:pPr>
              <w:spacing w:after="0"/>
              <w:rPr>
                <w:sz w:val="16"/>
                <w:szCs w:val="16"/>
                <w:color w:val="auto"/>
              </w:rPr>
            </w:pPr>
          </w:p>
        </w:tc>
        <w:tc>
          <w:tcPr>
            <w:tcW w:w="1080" w:type="dxa"/>
            <w:vAlign w:val="bottom"/>
            <w:vMerge w:val="continue"/>
            <w:shd w:val="clear" w:color="auto" w:fill="CEFFE7"/>
          </w:tcPr>
          <w:p>
            <w:pPr>
              <w:spacing w:after="0"/>
              <w:rPr>
                <w:sz w:val="16"/>
                <w:szCs w:val="16"/>
                <w:color w:val="auto"/>
              </w:rPr>
            </w:pPr>
          </w:p>
        </w:tc>
        <w:tc>
          <w:tcPr>
            <w:tcW w:w="420" w:type="dxa"/>
            <w:vAlign w:val="bottom"/>
            <w:vMerge w:val="continue"/>
            <w:shd w:val="clear" w:color="auto" w:fill="CEFFE7"/>
          </w:tcPr>
          <w:p>
            <w:pPr>
              <w:spacing w:after="0"/>
              <w:rPr>
                <w:sz w:val="16"/>
                <w:szCs w:val="16"/>
                <w:color w:val="auto"/>
              </w:rPr>
            </w:pPr>
          </w:p>
        </w:tc>
        <w:tc>
          <w:tcPr>
            <w:tcW w:w="780" w:type="dxa"/>
            <w:vAlign w:val="bottom"/>
            <w:vMerge w:val="continue"/>
            <w:shd w:val="clear" w:color="auto" w:fill="CEFFE7"/>
          </w:tcPr>
          <w:p>
            <w:pPr>
              <w:spacing w:after="0"/>
              <w:rPr>
                <w:sz w:val="16"/>
                <w:szCs w:val="16"/>
                <w:color w:val="auto"/>
              </w:rPr>
            </w:pPr>
          </w:p>
        </w:tc>
        <w:tc>
          <w:tcPr>
            <w:tcW w:w="1400" w:type="dxa"/>
            <w:vAlign w:val="bottom"/>
            <w:gridSpan w:val="2"/>
            <w:vMerge w:val="continue"/>
            <w:shd w:val="clear" w:color="auto" w:fill="CEFFE7"/>
          </w:tcPr>
          <w:p>
            <w:pPr>
              <w:spacing w:after="0"/>
              <w:rPr>
                <w:sz w:val="16"/>
                <w:szCs w:val="16"/>
                <w:color w:val="auto"/>
              </w:rPr>
            </w:pPr>
          </w:p>
        </w:tc>
        <w:tc>
          <w:tcPr>
            <w:tcW w:w="1120" w:type="dxa"/>
            <w:vAlign w:val="bottom"/>
            <w:vMerge w:val="continue"/>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EFFE7"/>
            </w:tcBorders>
          </w:tcPr>
          <w:p>
            <w:pPr>
              <w:spacing w:after="0" w:line="20" w:lineRule="exact"/>
              <w:rPr>
                <w:sz w:val="1"/>
                <w:szCs w:val="1"/>
                <w:color w:val="auto"/>
              </w:rPr>
            </w:pPr>
          </w:p>
        </w:tc>
        <w:tc>
          <w:tcPr>
            <w:tcW w:w="246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24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6"/>
        </w:trPr>
        <w:tc>
          <w:tcPr>
            <w:tcW w:w="1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3"/>
          </w:tcPr>
          <w:p>
            <w:pPr>
              <w:jc w:val="center"/>
              <w:ind w:right="39"/>
              <w:spacing w:after="0"/>
              <w:rPr>
                <w:sz w:val="20"/>
                <w:szCs w:val="20"/>
                <w:color w:val="auto"/>
              </w:rPr>
            </w:pPr>
            <w:r>
              <w:rPr>
                <w:rFonts w:ascii="Arial" w:cs="Arial" w:eastAsia="Arial" w:hAnsi="Arial"/>
                <w:sz w:val="16"/>
                <w:szCs w:val="16"/>
                <w:color w:val="auto"/>
              </w:rPr>
              <w:t>Gross Margin (non-GAAP) (in</w:t>
            </w:r>
          </w:p>
        </w:tc>
        <w:tc>
          <w:tcPr>
            <w:tcW w:w="120" w:type="dxa"/>
            <w:vAlign w:val="bottom"/>
          </w:tcPr>
          <w:p>
            <w:pPr>
              <w:spacing w:after="0"/>
              <w:rPr>
                <w:sz w:val="24"/>
                <w:szCs w:val="24"/>
                <w:color w:val="auto"/>
              </w:rPr>
            </w:pPr>
          </w:p>
        </w:tc>
        <w:tc>
          <w:tcPr>
            <w:tcW w:w="2400" w:type="dxa"/>
            <w:vAlign w:val="bottom"/>
            <w:gridSpan w:val="2"/>
          </w:tcPr>
          <w:p>
            <w:pPr>
              <w:jc w:val="center"/>
              <w:spacing w:after="0"/>
              <w:rPr>
                <w:sz w:val="20"/>
                <w:szCs w:val="20"/>
                <w:color w:val="auto"/>
              </w:rPr>
            </w:pPr>
            <w:r>
              <w:rPr>
                <w:rFonts w:ascii="Arial" w:cs="Arial" w:eastAsia="Arial" w:hAnsi="Arial"/>
                <w:sz w:val="16"/>
                <w:szCs w:val="16"/>
                <w:color w:val="auto"/>
              </w:rPr>
              <w:t>Gas Utilities Quantities Sold &amp;</w:t>
            </w:r>
          </w:p>
        </w:tc>
        <w:tc>
          <w:tcPr>
            <w:tcW w:w="0" w:type="dxa"/>
            <w:vAlign w:val="bottom"/>
          </w:tcPr>
          <w:p>
            <w:pPr>
              <w:spacing w:after="0"/>
              <w:rPr>
                <w:sz w:val="1"/>
                <w:szCs w:val="1"/>
                <w:color w:val="auto"/>
              </w:rPr>
            </w:pPr>
          </w:p>
        </w:tc>
      </w:tr>
      <w:tr>
        <w:trPr>
          <w:trHeight w:val="198"/>
        </w:trPr>
        <w:tc>
          <w:tcPr>
            <w:tcW w:w="13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6"/>
                <w:szCs w:val="16"/>
                <w:color w:val="auto"/>
              </w:rPr>
              <w:t>Revenue (in thousands)</w:t>
            </w: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left="579"/>
              <w:spacing w:after="0"/>
              <w:rPr>
                <w:sz w:val="20"/>
                <w:szCs w:val="20"/>
                <w:color w:val="auto"/>
              </w:rPr>
            </w:pPr>
            <w:r>
              <w:rPr>
                <w:rFonts w:ascii="Arial" w:cs="Arial" w:eastAsia="Arial" w:hAnsi="Arial"/>
                <w:sz w:val="16"/>
                <w:szCs w:val="16"/>
                <w:color w:val="auto"/>
              </w:rPr>
              <w:t>thousands)</w:t>
            </w: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Transported (Dth)</w:t>
            </w:r>
          </w:p>
        </w:tc>
        <w:tc>
          <w:tcPr>
            <w:tcW w:w="0" w:type="dxa"/>
            <w:vAlign w:val="bottom"/>
          </w:tcPr>
          <w:p>
            <w:pPr>
              <w:spacing w:after="0"/>
              <w:rPr>
                <w:sz w:val="1"/>
                <w:szCs w:val="1"/>
                <w:color w:val="auto"/>
              </w:rPr>
            </w:pPr>
          </w:p>
        </w:tc>
      </w:tr>
      <w:tr>
        <w:trPr>
          <w:trHeight w:val="174"/>
        </w:trPr>
        <w:tc>
          <w:tcPr>
            <w:tcW w:w="13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gridSpan w:val="4"/>
          </w:tcPr>
          <w:p>
            <w:pPr>
              <w:jc w:val="center"/>
              <w:ind w:right="320"/>
              <w:spacing w:after="0" w:line="174" w:lineRule="exact"/>
              <w:rPr>
                <w:sz w:val="20"/>
                <w:szCs w:val="20"/>
                <w:color w:val="auto"/>
              </w:rPr>
            </w:pPr>
            <w:r>
              <w:rPr>
                <w:rFonts w:ascii="Arial" w:cs="Arial" w:eastAsia="Arial" w:hAnsi="Arial"/>
                <w:sz w:val="16"/>
                <w:szCs w:val="16"/>
                <w:color w:val="auto"/>
              </w:rPr>
              <w:t>Six Months Ended</w:t>
            </w:r>
          </w:p>
        </w:tc>
        <w:tc>
          <w:tcPr>
            <w:tcW w:w="120" w:type="dxa"/>
            <w:vAlign w:val="bottom"/>
          </w:tcPr>
          <w:p>
            <w:pPr>
              <w:spacing w:after="0"/>
              <w:rPr>
                <w:sz w:val="15"/>
                <w:szCs w:val="15"/>
                <w:color w:val="auto"/>
              </w:rPr>
            </w:pPr>
          </w:p>
        </w:tc>
        <w:tc>
          <w:tcPr>
            <w:tcW w:w="2280" w:type="dxa"/>
            <w:vAlign w:val="bottom"/>
            <w:gridSpan w:val="3"/>
          </w:tcPr>
          <w:p>
            <w:pPr>
              <w:jc w:val="center"/>
              <w:ind w:right="19"/>
              <w:spacing w:after="0" w:line="174" w:lineRule="exact"/>
              <w:rPr>
                <w:sz w:val="20"/>
                <w:szCs w:val="20"/>
                <w:color w:val="auto"/>
              </w:rPr>
            </w:pPr>
            <w:r>
              <w:rPr>
                <w:rFonts w:ascii="Arial" w:cs="Arial" w:eastAsia="Arial" w:hAnsi="Arial"/>
                <w:sz w:val="16"/>
                <w:szCs w:val="16"/>
                <w:color w:val="auto"/>
              </w:rPr>
              <w:t>Six Months Ended</w:t>
            </w:r>
          </w:p>
        </w:tc>
        <w:tc>
          <w:tcPr>
            <w:tcW w:w="120" w:type="dxa"/>
            <w:vAlign w:val="bottom"/>
          </w:tcPr>
          <w:p>
            <w:pPr>
              <w:spacing w:after="0"/>
              <w:rPr>
                <w:sz w:val="15"/>
                <w:szCs w:val="15"/>
                <w:color w:val="auto"/>
              </w:rPr>
            </w:pPr>
          </w:p>
        </w:tc>
        <w:tc>
          <w:tcPr>
            <w:tcW w:w="2400" w:type="dxa"/>
            <w:vAlign w:val="bottom"/>
            <w:gridSpan w:val="2"/>
          </w:tcPr>
          <w:p>
            <w:pPr>
              <w:jc w:val="center"/>
              <w:spacing w:after="0" w:line="174" w:lineRule="exact"/>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195"/>
        </w:trPr>
        <w:tc>
          <w:tcPr>
            <w:tcW w:w="13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left="559"/>
              <w:spacing w:after="0"/>
              <w:rPr>
                <w:sz w:val="20"/>
                <w:szCs w:val="20"/>
                <w:color w:val="auto"/>
              </w:rPr>
            </w:pPr>
            <w:r>
              <w:rPr>
                <w:rFonts w:ascii="Arial" w:cs="Arial" w:eastAsia="Arial" w:hAnsi="Arial"/>
                <w:sz w:val="16"/>
                <w:szCs w:val="16"/>
                <w:color w:val="auto"/>
              </w:rPr>
              <w:t>June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left="599"/>
              <w:spacing w:after="0"/>
              <w:rPr>
                <w:sz w:val="20"/>
                <w:szCs w:val="20"/>
                <w:color w:val="auto"/>
              </w:rPr>
            </w:pPr>
            <w:r>
              <w:rPr>
                <w:rFonts w:ascii="Arial" w:cs="Arial" w:eastAsia="Arial" w:hAnsi="Arial"/>
                <w:sz w:val="16"/>
                <w:szCs w:val="16"/>
                <w:color w:val="auto"/>
              </w:rPr>
              <w:t>June 30,</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2"/>
          </w:tcPr>
          <w:p>
            <w:pPr>
              <w:jc w:val="center"/>
              <w:spacing w:after="0"/>
              <w:rPr>
                <w:sz w:val="20"/>
                <w:szCs w:val="20"/>
                <w:color w:val="auto"/>
              </w:rPr>
            </w:pPr>
            <w:r>
              <w:rPr>
                <w:rFonts w:ascii="Arial" w:cs="Arial" w:eastAsia="Arial" w:hAnsi="Arial"/>
                <w:sz w:val="16"/>
                <w:szCs w:val="16"/>
                <w:color w:val="auto"/>
              </w:rPr>
              <w:t>June 30,</w:t>
            </w:r>
          </w:p>
        </w:tc>
        <w:tc>
          <w:tcPr>
            <w:tcW w:w="0" w:type="dxa"/>
            <w:vAlign w:val="bottom"/>
          </w:tcPr>
          <w:p>
            <w:pPr>
              <w:spacing w:after="0"/>
              <w:rPr>
                <w:sz w:val="1"/>
                <w:szCs w:val="1"/>
                <w:color w:val="auto"/>
              </w:rPr>
            </w:pPr>
          </w:p>
        </w:tc>
      </w:tr>
      <w:tr>
        <w:trPr>
          <w:trHeight w:val="219"/>
        </w:trPr>
        <w:tc>
          <w:tcPr>
            <w:tcW w:w="136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2021</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2021</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95"/>
              </w:rPr>
              <w:t>2020</w:t>
            </w:r>
          </w:p>
        </w:tc>
        <w:tc>
          <w:tcPr>
            <w:tcW w:w="140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6"/>
                <w:szCs w:val="16"/>
                <w:color w:val="auto"/>
              </w:rPr>
              <w:t>2021</w:t>
            </w:r>
          </w:p>
        </w:tc>
        <w:tc>
          <w:tcPr>
            <w:tcW w:w="11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40"/>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Arkansas Gas</w:t>
            </w:r>
          </w:p>
        </w:tc>
        <w:tc>
          <w:tcPr>
            <w:tcW w:w="200" w:type="dxa"/>
            <w:vAlign w:val="bottom"/>
            <w:shd w:val="clear" w:color="auto" w:fill="CEFFE7"/>
          </w:tcPr>
          <w:p>
            <w:pPr>
              <w:jc w:val="right"/>
              <w:ind w:right="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119,988</w:t>
            </w:r>
          </w:p>
        </w:tc>
        <w:tc>
          <w:tcPr>
            <w:tcW w:w="360" w:type="dxa"/>
            <w:vAlign w:val="bottom"/>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103,578</w:t>
            </w:r>
          </w:p>
        </w:tc>
        <w:tc>
          <w:tcPr>
            <w:tcW w:w="100" w:type="dxa"/>
            <w:vAlign w:val="bottom"/>
            <w:shd w:val="clear" w:color="auto" w:fill="CEFFE7"/>
          </w:tcPr>
          <w:p>
            <w:pPr>
              <w:spacing w:after="0"/>
              <w:rPr>
                <w:sz w:val="18"/>
                <w:szCs w:val="18"/>
                <w:color w:val="auto"/>
              </w:rPr>
            </w:pP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74,851</w:t>
            </w:r>
          </w:p>
        </w:tc>
        <w:tc>
          <w:tcPr>
            <w:tcW w:w="42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70,761</w:t>
            </w:r>
          </w:p>
        </w:tc>
        <w:tc>
          <w:tcPr>
            <w:tcW w:w="1400" w:type="dxa"/>
            <w:vAlign w:val="bottom"/>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19,025,151</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15,869,184</w:t>
            </w:r>
          </w:p>
        </w:tc>
        <w:tc>
          <w:tcPr>
            <w:tcW w:w="0" w:type="dxa"/>
            <w:vAlign w:val="bottom"/>
          </w:tcPr>
          <w:p>
            <w:pPr>
              <w:spacing w:after="0"/>
              <w:rPr>
                <w:sz w:val="1"/>
                <w:szCs w:val="1"/>
                <w:color w:val="auto"/>
              </w:rPr>
            </w:pPr>
          </w:p>
        </w:tc>
      </w:tr>
      <w:tr>
        <w:trPr>
          <w:trHeight w:val="213"/>
        </w:trPr>
        <w:tc>
          <w:tcPr>
            <w:tcW w:w="3840" w:type="dxa"/>
            <w:vAlign w:val="bottom"/>
            <w:gridSpan w:val="3"/>
          </w:tcPr>
          <w:p>
            <w:pPr>
              <w:ind w:left="20"/>
              <w:spacing w:after="0"/>
              <w:rPr>
                <w:sz w:val="20"/>
                <w:szCs w:val="20"/>
                <w:color w:val="auto"/>
              </w:rPr>
            </w:pPr>
            <w:r>
              <w:rPr>
                <w:rFonts w:ascii="Arial" w:cs="Arial" w:eastAsia="Arial" w:hAnsi="Arial"/>
                <w:sz w:val="16"/>
                <w:szCs w:val="16"/>
                <w:color w:val="auto"/>
              </w:rPr>
              <w:t>Colorado Gas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113,312</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101,219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58,822</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56,813</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19,323,300</w:t>
            </w:r>
          </w:p>
        </w:tc>
        <w:tc>
          <w:tcPr>
            <w:tcW w:w="1120" w:type="dxa"/>
            <w:vAlign w:val="bottom"/>
          </w:tcPr>
          <w:p>
            <w:pPr>
              <w:jc w:val="right"/>
              <w:spacing w:after="0"/>
              <w:rPr>
                <w:sz w:val="20"/>
                <w:szCs w:val="20"/>
                <w:color w:val="auto"/>
              </w:rPr>
            </w:pPr>
            <w:r>
              <w:rPr>
                <w:rFonts w:ascii="Arial" w:cs="Arial" w:eastAsia="Arial" w:hAnsi="Arial"/>
                <w:sz w:val="16"/>
                <w:szCs w:val="16"/>
                <w:color w:val="auto"/>
              </w:rPr>
              <w:t>18,143,249</w:t>
            </w:r>
          </w:p>
        </w:tc>
        <w:tc>
          <w:tcPr>
            <w:tcW w:w="0" w:type="dxa"/>
            <w:vAlign w:val="bottom"/>
          </w:tcPr>
          <w:p>
            <w:pPr>
              <w:spacing w:after="0"/>
              <w:rPr>
                <w:sz w:val="1"/>
                <w:szCs w:val="1"/>
                <w:color w:val="auto"/>
              </w:rPr>
            </w:pPr>
          </w:p>
        </w:tc>
      </w:tr>
      <w:tr>
        <w:trPr>
          <w:trHeight w:val="219"/>
        </w:trPr>
        <w:tc>
          <w:tcPr>
            <w:tcW w:w="384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Iowa Gas</w:t>
            </w:r>
          </w:p>
        </w:tc>
        <w:tc>
          <w:tcPr>
            <w:tcW w:w="20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86,585</w:t>
            </w:r>
          </w:p>
        </w:tc>
        <w:tc>
          <w:tcPr>
            <w:tcW w:w="360" w:type="dxa"/>
            <w:vAlign w:val="bottom"/>
            <w:shd w:val="clear" w:color="auto" w:fill="CEFFE7"/>
          </w:tcPr>
          <w:p>
            <w:pPr>
              <w:spacing w:after="0"/>
              <w:rPr>
                <w:sz w:val="19"/>
                <w:szCs w:val="19"/>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76,231</w:t>
            </w:r>
          </w:p>
        </w:tc>
        <w:tc>
          <w:tcPr>
            <w:tcW w:w="10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38,640</w:t>
            </w:r>
          </w:p>
        </w:tc>
        <w:tc>
          <w:tcPr>
            <w:tcW w:w="420" w:type="dxa"/>
            <w:vAlign w:val="bottom"/>
            <w:shd w:val="clear" w:color="auto" w:fill="CEFFE7"/>
          </w:tcPr>
          <w:p>
            <w:pPr>
              <w:spacing w:after="0"/>
              <w:rPr>
                <w:sz w:val="19"/>
                <w:szCs w:val="19"/>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35,683</w:t>
            </w:r>
          </w:p>
        </w:tc>
        <w:tc>
          <w:tcPr>
            <w:tcW w:w="1400" w:type="dxa"/>
            <w:vAlign w:val="bottom"/>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21,330,586</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19,801,392</w:t>
            </w:r>
          </w:p>
        </w:tc>
        <w:tc>
          <w:tcPr>
            <w:tcW w:w="0" w:type="dxa"/>
            <w:vAlign w:val="bottom"/>
          </w:tcPr>
          <w:p>
            <w:pPr>
              <w:spacing w:after="0"/>
              <w:rPr>
                <w:sz w:val="1"/>
                <w:szCs w:val="1"/>
                <w:color w:val="auto"/>
              </w:rPr>
            </w:pPr>
          </w:p>
        </w:tc>
      </w:tr>
      <w:tr>
        <w:trPr>
          <w:trHeight w:val="213"/>
        </w:trPr>
        <w:tc>
          <w:tcPr>
            <w:tcW w:w="3840" w:type="dxa"/>
            <w:vAlign w:val="bottom"/>
            <w:gridSpan w:val="3"/>
          </w:tcPr>
          <w:p>
            <w:pPr>
              <w:ind w:left="20"/>
              <w:spacing w:after="0"/>
              <w:rPr>
                <w:sz w:val="20"/>
                <w:szCs w:val="20"/>
                <w:color w:val="auto"/>
              </w:rPr>
            </w:pPr>
            <w:r>
              <w:rPr>
                <w:rFonts w:ascii="Arial" w:cs="Arial" w:eastAsia="Arial" w:hAnsi="Arial"/>
                <w:sz w:val="16"/>
                <w:szCs w:val="16"/>
                <w:color w:val="auto"/>
              </w:rPr>
              <w:t>Kansas Gas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61,226</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51,980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31,510</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31,063</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17,618,224</w:t>
            </w:r>
          </w:p>
        </w:tc>
        <w:tc>
          <w:tcPr>
            <w:tcW w:w="1120" w:type="dxa"/>
            <w:vAlign w:val="bottom"/>
          </w:tcPr>
          <w:p>
            <w:pPr>
              <w:jc w:val="right"/>
              <w:spacing w:after="0"/>
              <w:rPr>
                <w:sz w:val="20"/>
                <w:szCs w:val="20"/>
                <w:color w:val="auto"/>
              </w:rPr>
            </w:pPr>
            <w:r>
              <w:rPr>
                <w:rFonts w:ascii="Arial" w:cs="Arial" w:eastAsia="Arial" w:hAnsi="Arial"/>
                <w:sz w:val="16"/>
                <w:szCs w:val="16"/>
                <w:color w:val="auto"/>
              </w:rPr>
              <w:t>16,637,772</w:t>
            </w:r>
          </w:p>
        </w:tc>
        <w:tc>
          <w:tcPr>
            <w:tcW w:w="0" w:type="dxa"/>
            <w:vAlign w:val="bottom"/>
          </w:tcPr>
          <w:p>
            <w:pPr>
              <w:spacing w:after="0"/>
              <w:rPr>
                <w:sz w:val="1"/>
                <w:szCs w:val="1"/>
                <w:color w:val="auto"/>
              </w:rPr>
            </w:pPr>
          </w:p>
        </w:tc>
      </w:tr>
      <w:tr>
        <w:trPr>
          <w:trHeight w:val="219"/>
        </w:trPr>
        <w:tc>
          <w:tcPr>
            <w:tcW w:w="3840" w:type="dxa"/>
            <w:vAlign w:val="bottom"/>
            <w:gridSpan w:val="3"/>
            <w:shd w:val="clear" w:color="auto" w:fill="CEFFE7"/>
          </w:tcPr>
          <w:p>
            <w:pPr>
              <w:ind w:left="20"/>
              <w:spacing w:after="0"/>
              <w:rPr>
                <w:sz w:val="20"/>
                <w:szCs w:val="20"/>
                <w:color w:val="auto"/>
              </w:rPr>
            </w:pPr>
            <w:r>
              <w:rPr>
                <w:rFonts w:ascii="Arial" w:cs="Arial" w:eastAsia="Arial" w:hAnsi="Arial"/>
                <w:sz w:val="16"/>
                <w:szCs w:val="16"/>
                <w:color w:val="auto"/>
              </w:rPr>
              <w:t>Nebraska Gas</w:t>
            </w:r>
          </w:p>
        </w:tc>
        <w:tc>
          <w:tcPr>
            <w:tcW w:w="20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136,135</w:t>
            </w:r>
          </w:p>
        </w:tc>
        <w:tc>
          <w:tcPr>
            <w:tcW w:w="360" w:type="dxa"/>
            <w:vAlign w:val="bottom"/>
            <w:shd w:val="clear" w:color="auto" w:fill="CEFFE7"/>
          </w:tcPr>
          <w:p>
            <w:pPr>
              <w:spacing w:after="0"/>
              <w:rPr>
                <w:sz w:val="19"/>
                <w:szCs w:val="19"/>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124,132</w:t>
            </w:r>
          </w:p>
        </w:tc>
        <w:tc>
          <w:tcPr>
            <w:tcW w:w="10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82,027</w:t>
            </w:r>
          </w:p>
        </w:tc>
        <w:tc>
          <w:tcPr>
            <w:tcW w:w="420" w:type="dxa"/>
            <w:vAlign w:val="bottom"/>
            <w:shd w:val="clear" w:color="auto" w:fill="CEFFE7"/>
          </w:tcPr>
          <w:p>
            <w:pPr>
              <w:spacing w:after="0"/>
              <w:rPr>
                <w:sz w:val="19"/>
                <w:szCs w:val="19"/>
                <w:color w:val="auto"/>
              </w:rPr>
            </w:pPr>
          </w:p>
        </w:tc>
        <w:tc>
          <w:tcPr>
            <w:tcW w:w="7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82,385</w:t>
            </w:r>
          </w:p>
        </w:tc>
        <w:tc>
          <w:tcPr>
            <w:tcW w:w="1400" w:type="dxa"/>
            <w:vAlign w:val="bottom"/>
            <w:gridSpan w:val="2"/>
            <w:shd w:val="clear" w:color="auto" w:fill="CEFFE7"/>
          </w:tcPr>
          <w:p>
            <w:pPr>
              <w:jc w:val="right"/>
              <w:ind w:right="79"/>
              <w:spacing w:after="0"/>
              <w:rPr>
                <w:sz w:val="20"/>
                <w:szCs w:val="20"/>
                <w:color w:val="auto"/>
              </w:rPr>
            </w:pPr>
            <w:r>
              <w:rPr>
                <w:rFonts w:ascii="Arial" w:cs="Arial" w:eastAsia="Arial" w:hAnsi="Arial"/>
                <w:sz w:val="16"/>
                <w:szCs w:val="16"/>
                <w:color w:val="auto"/>
              </w:rPr>
              <w:t>43,106,981</w:t>
            </w: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40,331,514</w:t>
            </w:r>
          </w:p>
        </w:tc>
        <w:tc>
          <w:tcPr>
            <w:tcW w:w="0" w:type="dxa"/>
            <w:vAlign w:val="bottom"/>
          </w:tcPr>
          <w:p>
            <w:pPr>
              <w:spacing w:after="0"/>
              <w:rPr>
                <w:sz w:val="1"/>
                <w:szCs w:val="1"/>
                <w:color w:val="auto"/>
              </w:rPr>
            </w:pPr>
          </w:p>
        </w:tc>
      </w:tr>
      <w:tr>
        <w:trPr>
          <w:trHeight w:val="213"/>
        </w:trPr>
        <w:tc>
          <w:tcPr>
            <w:tcW w:w="3840" w:type="dxa"/>
            <w:vAlign w:val="bottom"/>
            <w:tcBorders>
              <w:bottom w:val="single" w:sz="8" w:color="CEFFE7"/>
            </w:tcBorders>
            <w:gridSpan w:val="3"/>
          </w:tcPr>
          <w:p>
            <w:pPr>
              <w:ind w:left="20"/>
              <w:spacing w:after="0"/>
              <w:rPr>
                <w:sz w:val="20"/>
                <w:szCs w:val="20"/>
                <w:color w:val="auto"/>
              </w:rPr>
            </w:pPr>
            <w:r>
              <w:rPr>
                <w:rFonts w:ascii="Arial" w:cs="Arial" w:eastAsia="Arial" w:hAnsi="Arial"/>
                <w:sz w:val="16"/>
                <w:szCs w:val="16"/>
                <w:color w:val="auto"/>
              </w:rPr>
              <w:t>Wyoming Gas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71,323</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64,743</w:t>
            </w:r>
          </w:p>
        </w:tc>
        <w:tc>
          <w:tcPr>
            <w:tcW w:w="100" w:type="dxa"/>
            <w:vAlign w:val="bottom"/>
            <w:tcBorders>
              <w:bottom w:val="single" w:sz="8" w:color="CEFFE7"/>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46,554</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45,195</w:t>
            </w:r>
          </w:p>
        </w:tc>
        <w:tc>
          <w:tcPr>
            <w:tcW w:w="120" w:type="dxa"/>
            <w:vAlign w:val="bottom"/>
            <w:tcBorders>
              <w:bottom w:val="single" w:sz="8" w:color="CEFFE7"/>
            </w:tcBorders>
          </w:tcPr>
          <w:p>
            <w:pPr>
              <w:spacing w:after="0"/>
              <w:rPr>
                <w:sz w:val="18"/>
                <w:szCs w:val="18"/>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18,670,412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21,146,464</w:t>
            </w:r>
          </w:p>
        </w:tc>
        <w:tc>
          <w:tcPr>
            <w:tcW w:w="0" w:type="dxa"/>
            <w:vAlign w:val="bottom"/>
          </w:tcPr>
          <w:p>
            <w:pPr>
              <w:spacing w:after="0"/>
              <w:rPr>
                <w:sz w:val="1"/>
                <w:szCs w:val="1"/>
                <w:color w:val="auto"/>
              </w:rPr>
            </w:pPr>
          </w:p>
        </w:tc>
      </w:tr>
      <w:tr>
        <w:trPr>
          <w:trHeight w:val="160"/>
        </w:trPr>
        <w:tc>
          <w:tcPr>
            <w:tcW w:w="3840" w:type="dxa"/>
            <w:vAlign w:val="bottom"/>
            <w:gridSpan w:val="3"/>
            <w:shd w:val="clear" w:color="auto" w:fill="CEFFE7"/>
          </w:tcPr>
          <w:p>
            <w:pPr>
              <w:ind w:left="220"/>
              <w:spacing w:after="0" w:line="161" w:lineRule="exact"/>
              <w:rPr>
                <w:sz w:val="20"/>
                <w:szCs w:val="20"/>
                <w:color w:val="auto"/>
              </w:rPr>
            </w:pPr>
            <w:r>
              <w:rPr>
                <w:rFonts w:ascii="Arial" w:cs="Arial" w:eastAsia="Arial" w:hAnsi="Arial"/>
                <w:sz w:val="16"/>
                <w:szCs w:val="16"/>
                <w:color w:val="auto"/>
              </w:rPr>
              <w:t>Total Gas Revenue &amp; Gross Margin (non-</w:t>
            </w:r>
          </w:p>
        </w:tc>
        <w:tc>
          <w:tcPr>
            <w:tcW w:w="200" w:type="dxa"/>
            <w:vAlign w:val="bottom"/>
            <w:vMerge w:val="restart"/>
            <w:shd w:val="clear" w:color="auto" w:fill="CEFFE7"/>
          </w:tcPr>
          <w:p>
            <w:pPr>
              <w:jc w:val="right"/>
              <w:ind w:right="21"/>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588,569</w:t>
            </w:r>
          </w:p>
        </w:tc>
        <w:tc>
          <w:tcPr>
            <w:tcW w:w="360" w:type="dxa"/>
            <w:vAlign w:val="bottom"/>
            <w:vMerge w:val="restart"/>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521,883</w:t>
            </w:r>
          </w:p>
        </w:tc>
        <w:tc>
          <w:tcPr>
            <w:tcW w:w="100" w:type="dxa"/>
            <w:vAlign w:val="bottom"/>
            <w:shd w:val="clear" w:color="auto" w:fill="CEFFE7"/>
          </w:tcPr>
          <w:p>
            <w:pPr>
              <w:spacing w:after="0"/>
              <w:rPr>
                <w:sz w:val="13"/>
                <w:szCs w:val="13"/>
                <w:color w:val="auto"/>
              </w:rPr>
            </w:pPr>
          </w:p>
        </w:tc>
        <w:tc>
          <w:tcPr>
            <w:tcW w:w="1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332,404</w:t>
            </w:r>
          </w:p>
        </w:tc>
        <w:tc>
          <w:tcPr>
            <w:tcW w:w="420" w:type="dxa"/>
            <w:vAlign w:val="bottom"/>
            <w:vMerge w:val="restart"/>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321,900</w:t>
            </w:r>
          </w:p>
        </w:tc>
        <w:tc>
          <w:tcPr>
            <w:tcW w:w="1400" w:type="dxa"/>
            <w:vAlign w:val="bottom"/>
            <w:gridSpan w:val="2"/>
            <w:vMerge w:val="restart"/>
            <w:shd w:val="clear" w:color="auto" w:fill="CEFFE7"/>
          </w:tcPr>
          <w:p>
            <w:pPr>
              <w:jc w:val="right"/>
              <w:ind w:right="79"/>
              <w:spacing w:after="0"/>
              <w:rPr>
                <w:sz w:val="20"/>
                <w:szCs w:val="20"/>
                <w:color w:val="auto"/>
              </w:rPr>
            </w:pPr>
            <w:r>
              <w:rPr>
                <w:rFonts w:ascii="Arial" w:cs="Arial" w:eastAsia="Arial" w:hAnsi="Arial"/>
                <w:sz w:val="16"/>
                <w:szCs w:val="16"/>
                <w:color w:val="auto"/>
              </w:rPr>
              <w:t>139,074,654</w:t>
            </w:r>
          </w:p>
        </w:tc>
        <w:tc>
          <w:tcPr>
            <w:tcW w:w="11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131,929,575</w:t>
            </w:r>
          </w:p>
        </w:tc>
        <w:tc>
          <w:tcPr>
            <w:tcW w:w="0" w:type="dxa"/>
            <w:vAlign w:val="bottom"/>
          </w:tcPr>
          <w:p>
            <w:pPr>
              <w:spacing w:after="0"/>
              <w:rPr>
                <w:sz w:val="1"/>
                <w:szCs w:val="1"/>
                <w:color w:val="auto"/>
              </w:rPr>
            </w:pPr>
          </w:p>
        </w:tc>
      </w:tr>
      <w:tr>
        <w:trPr>
          <w:trHeight w:val="194"/>
        </w:trPr>
        <w:tc>
          <w:tcPr>
            <w:tcW w:w="3840" w:type="dxa"/>
            <w:vAlign w:val="bottom"/>
            <w:gridSpan w:val="3"/>
            <w:shd w:val="clear" w:color="auto" w:fill="CEFFE7"/>
          </w:tcPr>
          <w:p>
            <w:pPr>
              <w:ind w:left="220"/>
              <w:spacing w:after="0" w:line="174" w:lineRule="exact"/>
              <w:rPr>
                <w:sz w:val="20"/>
                <w:szCs w:val="20"/>
                <w:color w:val="auto"/>
              </w:rPr>
            </w:pPr>
            <w:r>
              <w:rPr>
                <w:rFonts w:ascii="Arial" w:cs="Arial" w:eastAsia="Arial" w:hAnsi="Arial"/>
                <w:sz w:val="16"/>
                <w:szCs w:val="16"/>
                <w:color w:val="auto"/>
              </w:rPr>
              <w:t>GAAP)</w:t>
            </w:r>
          </w:p>
        </w:tc>
        <w:tc>
          <w:tcPr>
            <w:tcW w:w="200" w:type="dxa"/>
            <w:vAlign w:val="bottom"/>
            <w:vMerge w:val="continue"/>
            <w:shd w:val="clear" w:color="auto" w:fill="CEFFE7"/>
          </w:tcPr>
          <w:p>
            <w:pPr>
              <w:spacing w:after="0"/>
              <w:rPr>
                <w:sz w:val="16"/>
                <w:szCs w:val="16"/>
                <w:color w:val="auto"/>
              </w:rPr>
            </w:pPr>
          </w:p>
        </w:tc>
        <w:tc>
          <w:tcPr>
            <w:tcW w:w="980" w:type="dxa"/>
            <w:vAlign w:val="bottom"/>
            <w:vMerge w:val="continue"/>
            <w:shd w:val="clear" w:color="auto" w:fill="CEFFE7"/>
          </w:tcPr>
          <w:p>
            <w:pPr>
              <w:spacing w:after="0"/>
              <w:rPr>
                <w:sz w:val="16"/>
                <w:szCs w:val="16"/>
                <w:color w:val="auto"/>
              </w:rPr>
            </w:pPr>
          </w:p>
        </w:tc>
        <w:tc>
          <w:tcPr>
            <w:tcW w:w="360" w:type="dxa"/>
            <w:vAlign w:val="bottom"/>
            <w:vMerge w:val="continue"/>
            <w:shd w:val="clear" w:color="auto" w:fill="CEFFE7"/>
          </w:tcPr>
          <w:p>
            <w:pPr>
              <w:spacing w:after="0"/>
              <w:rPr>
                <w:sz w:val="16"/>
                <w:szCs w:val="16"/>
                <w:color w:val="auto"/>
              </w:rPr>
            </w:pPr>
          </w:p>
        </w:tc>
        <w:tc>
          <w:tcPr>
            <w:tcW w:w="840" w:type="dxa"/>
            <w:vAlign w:val="bottom"/>
            <w:vMerge w:val="continue"/>
            <w:shd w:val="clear" w:color="auto" w:fill="CEFFE7"/>
          </w:tcPr>
          <w:p>
            <w:pPr>
              <w:spacing w:after="0"/>
              <w:rPr>
                <w:sz w:val="16"/>
                <w:szCs w:val="16"/>
                <w:color w:val="auto"/>
              </w:rPr>
            </w:pPr>
          </w:p>
        </w:tc>
        <w:tc>
          <w:tcPr>
            <w:tcW w:w="100" w:type="dxa"/>
            <w:vAlign w:val="bottom"/>
            <w:shd w:val="clear" w:color="auto" w:fill="CEFFE7"/>
          </w:tcPr>
          <w:p>
            <w:pPr>
              <w:spacing w:after="0"/>
              <w:rPr>
                <w:sz w:val="16"/>
                <w:szCs w:val="16"/>
                <w:color w:val="auto"/>
              </w:rPr>
            </w:pPr>
          </w:p>
        </w:tc>
        <w:tc>
          <w:tcPr>
            <w:tcW w:w="120" w:type="dxa"/>
            <w:vAlign w:val="bottom"/>
            <w:vMerge w:val="continue"/>
            <w:shd w:val="clear" w:color="auto" w:fill="CEFFE7"/>
          </w:tcPr>
          <w:p>
            <w:pPr>
              <w:spacing w:after="0"/>
              <w:rPr>
                <w:sz w:val="16"/>
                <w:szCs w:val="16"/>
                <w:color w:val="auto"/>
              </w:rPr>
            </w:pPr>
          </w:p>
        </w:tc>
        <w:tc>
          <w:tcPr>
            <w:tcW w:w="1080" w:type="dxa"/>
            <w:vAlign w:val="bottom"/>
            <w:vMerge w:val="continue"/>
            <w:shd w:val="clear" w:color="auto" w:fill="CEFFE7"/>
          </w:tcPr>
          <w:p>
            <w:pPr>
              <w:spacing w:after="0"/>
              <w:rPr>
                <w:sz w:val="16"/>
                <w:szCs w:val="16"/>
                <w:color w:val="auto"/>
              </w:rPr>
            </w:pPr>
          </w:p>
        </w:tc>
        <w:tc>
          <w:tcPr>
            <w:tcW w:w="420" w:type="dxa"/>
            <w:vAlign w:val="bottom"/>
            <w:vMerge w:val="continue"/>
            <w:shd w:val="clear" w:color="auto" w:fill="CEFFE7"/>
          </w:tcPr>
          <w:p>
            <w:pPr>
              <w:spacing w:after="0"/>
              <w:rPr>
                <w:sz w:val="16"/>
                <w:szCs w:val="16"/>
                <w:color w:val="auto"/>
              </w:rPr>
            </w:pPr>
          </w:p>
        </w:tc>
        <w:tc>
          <w:tcPr>
            <w:tcW w:w="780" w:type="dxa"/>
            <w:vAlign w:val="bottom"/>
            <w:vMerge w:val="continue"/>
            <w:shd w:val="clear" w:color="auto" w:fill="CEFFE7"/>
          </w:tcPr>
          <w:p>
            <w:pPr>
              <w:spacing w:after="0"/>
              <w:rPr>
                <w:sz w:val="16"/>
                <w:szCs w:val="16"/>
                <w:color w:val="auto"/>
              </w:rPr>
            </w:pPr>
          </w:p>
        </w:tc>
        <w:tc>
          <w:tcPr>
            <w:tcW w:w="1400" w:type="dxa"/>
            <w:vAlign w:val="bottom"/>
            <w:gridSpan w:val="2"/>
            <w:vMerge w:val="continue"/>
            <w:shd w:val="clear" w:color="auto" w:fill="CEFFE7"/>
          </w:tcPr>
          <w:p>
            <w:pPr>
              <w:spacing w:after="0"/>
              <w:rPr>
                <w:sz w:val="16"/>
                <w:szCs w:val="16"/>
                <w:color w:val="auto"/>
              </w:rPr>
            </w:pPr>
          </w:p>
        </w:tc>
        <w:tc>
          <w:tcPr>
            <w:tcW w:w="1120" w:type="dxa"/>
            <w:vAlign w:val="bottom"/>
            <w:vMerge w:val="continue"/>
            <w:shd w:val="clear" w:color="auto" w:fill="CEFFE7"/>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EFFE7"/>
            </w:tcBorders>
          </w:tcPr>
          <w:p>
            <w:pPr>
              <w:spacing w:after="0" w:line="20" w:lineRule="exact"/>
              <w:rPr>
                <w:sz w:val="1"/>
                <w:szCs w:val="1"/>
                <w:color w:val="auto"/>
              </w:rPr>
            </w:pPr>
          </w:p>
        </w:tc>
        <w:tc>
          <w:tcPr>
            <w:tcW w:w="2460" w:type="dxa"/>
            <w:vAlign w:val="bottom"/>
            <w:tcBorders>
              <w:top w:val="single" w:sz="8" w:color="CEFFE7"/>
            </w:tcBorders>
          </w:tcPr>
          <w:p>
            <w:pPr>
              <w:spacing w:after="0" w:line="20" w:lineRule="exact"/>
              <w:rPr>
                <w:sz w:val="1"/>
                <w:szCs w:val="1"/>
                <w:color w:val="auto"/>
              </w:rPr>
            </w:pPr>
          </w:p>
        </w:tc>
        <w:tc>
          <w:tcPr>
            <w:tcW w:w="20" w:type="dxa"/>
            <w:vAlign w:val="bottom"/>
            <w:tcBorders>
              <w:top w:val="single" w:sz="8" w:color="CEFFE7"/>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8"/>
        </w:trPr>
        <w:tc>
          <w:tcPr>
            <w:tcW w:w="1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jc w:val="center"/>
              <w:ind w:right="25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3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920" w:type="dxa"/>
            <w:vAlign w:val="bottom"/>
            <w:gridSpan w:val="2"/>
          </w:tcPr>
          <w:p>
            <w:pPr>
              <w:jc w:val="center"/>
              <w:ind w:left="499"/>
              <w:spacing w:after="0"/>
              <w:rPr>
                <w:sz w:val="20"/>
                <w:szCs w:val="20"/>
                <w:color w:val="auto"/>
              </w:rPr>
            </w:pPr>
            <w:r>
              <w:rPr>
                <w:rFonts w:ascii="Arial" w:cs="Arial" w:eastAsia="Arial" w:hAnsi="Arial"/>
                <w:sz w:val="16"/>
                <w:szCs w:val="16"/>
                <w:color w:val="auto"/>
              </w:rPr>
              <w:t>Three Months Ended June 30,</w:t>
            </w:r>
          </w:p>
        </w:tc>
        <w:tc>
          <w:tcPr>
            <w:tcW w:w="1640" w:type="dxa"/>
            <w:vAlign w:val="bottom"/>
          </w:tcPr>
          <w:p>
            <w:pPr>
              <w:spacing w:after="0"/>
              <w:rPr>
                <w:sz w:val="16"/>
                <w:szCs w:val="16"/>
                <w:color w:val="auto"/>
              </w:rPr>
            </w:pPr>
          </w:p>
        </w:tc>
      </w:tr>
      <w:tr>
        <w:trPr>
          <w:trHeight w:val="219"/>
        </w:trPr>
        <w:tc>
          <w:tcPr>
            <w:tcW w:w="56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279"/>
              <w:spacing w:after="0"/>
              <w:rPr>
                <w:sz w:val="20"/>
                <w:szCs w:val="20"/>
                <w:color w:val="auto"/>
              </w:rPr>
            </w:pPr>
            <w:r>
              <w:rPr>
                <w:rFonts w:ascii="Arial" w:cs="Arial" w:eastAsia="Arial" w:hAnsi="Arial"/>
                <w:sz w:val="16"/>
                <w:szCs w:val="16"/>
                <w:color w:val="auto"/>
              </w:rPr>
              <w:t>2021</w:t>
            </w:r>
          </w:p>
        </w:tc>
        <w:tc>
          <w:tcPr>
            <w:tcW w:w="10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color w:val="auto"/>
              </w:rPr>
              <w:t>2020</w:t>
            </w:r>
          </w:p>
        </w:tc>
      </w:tr>
      <w:tr>
        <w:trPr>
          <w:trHeight w:val="174"/>
        </w:trPr>
        <w:tc>
          <w:tcPr>
            <w:tcW w:w="5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60" w:type="dxa"/>
            <w:vAlign w:val="bottom"/>
          </w:tcPr>
          <w:p>
            <w:pPr>
              <w:jc w:val="center"/>
              <w:ind w:left="139"/>
              <w:spacing w:after="0" w:line="174" w:lineRule="exact"/>
              <w:rPr>
                <w:sz w:val="20"/>
                <w:szCs w:val="20"/>
                <w:color w:val="auto"/>
              </w:rPr>
            </w:pPr>
            <w:r>
              <w:rPr>
                <w:rFonts w:ascii="Arial" w:cs="Arial" w:eastAsia="Arial" w:hAnsi="Arial"/>
                <w:sz w:val="16"/>
                <w:szCs w:val="16"/>
                <w:color w:val="auto"/>
              </w:rPr>
              <w:t>Variance</w:t>
            </w:r>
          </w:p>
        </w:tc>
        <w:tc>
          <w:tcPr>
            <w:tcW w:w="1060" w:type="dxa"/>
            <w:vAlign w:val="bottom"/>
          </w:tcPr>
          <w:p>
            <w:pPr>
              <w:spacing w:after="0"/>
              <w:rPr>
                <w:sz w:val="15"/>
                <w:szCs w:val="15"/>
                <w:color w:val="auto"/>
              </w:rPr>
            </w:pPr>
          </w:p>
        </w:tc>
        <w:tc>
          <w:tcPr>
            <w:tcW w:w="1640" w:type="dxa"/>
            <w:vAlign w:val="bottom"/>
          </w:tcPr>
          <w:p>
            <w:pPr>
              <w:jc w:val="center"/>
              <w:ind w:left="239"/>
              <w:spacing w:after="0" w:line="174" w:lineRule="exact"/>
              <w:rPr>
                <w:sz w:val="20"/>
                <w:szCs w:val="20"/>
                <w:color w:val="auto"/>
              </w:rPr>
            </w:pPr>
            <w:r>
              <w:rPr>
                <w:rFonts w:ascii="Arial" w:cs="Arial" w:eastAsia="Arial" w:hAnsi="Arial"/>
                <w:sz w:val="16"/>
                <w:szCs w:val="16"/>
                <w:color w:val="auto"/>
              </w:rPr>
              <w:t>Variance</w:t>
            </w:r>
          </w:p>
        </w:tc>
      </w:tr>
      <w:tr>
        <w:trPr>
          <w:trHeight w:val="198"/>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Heating Degree Days</w:t>
            </w:r>
          </w:p>
        </w:tc>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Actual</w:t>
            </w:r>
          </w:p>
        </w:tc>
        <w:tc>
          <w:tcPr>
            <w:tcW w:w="186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w w:val="99"/>
              </w:rPr>
              <w:t>from Normal</w:t>
            </w: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Actual</w:t>
            </w:r>
          </w:p>
        </w:tc>
        <w:tc>
          <w:tcPr>
            <w:tcW w:w="164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color w:val="auto"/>
                <w:w w:val="99"/>
              </w:rPr>
              <w:t>from Normal</w:t>
            </w:r>
          </w:p>
        </w:tc>
      </w:tr>
      <w:tr>
        <w:trPr>
          <w:trHeight w:val="212"/>
        </w:trPr>
        <w:tc>
          <w:tcPr>
            <w:tcW w:w="5640" w:type="dxa"/>
            <w:vAlign w:val="bottom"/>
            <w:shd w:val="clear" w:color="auto" w:fill="CEFFE7"/>
          </w:tcPr>
          <w:p>
            <w:pPr>
              <w:ind w:left="140"/>
              <w:spacing w:after="0" w:line="213" w:lineRule="exact"/>
              <w:rPr>
                <w:sz w:val="20"/>
                <w:szCs w:val="20"/>
                <w:color w:val="auto"/>
              </w:rPr>
            </w:pPr>
            <w:r>
              <w:rPr>
                <w:rFonts w:ascii="Arial" w:cs="Arial" w:eastAsia="Arial" w:hAnsi="Arial"/>
                <w:sz w:val="16"/>
                <w:szCs w:val="16"/>
                <w:color w:val="auto"/>
              </w:rPr>
              <w:t xml:space="preserve">Arkansas Gas </w:t>
            </w:r>
            <w:r>
              <w:rPr>
                <w:rFonts w:ascii="Arial" w:cs="Arial" w:eastAsia="Arial" w:hAnsi="Arial"/>
                <w:sz w:val="21"/>
                <w:szCs w:val="21"/>
                <w:color w:val="auto"/>
                <w:vertAlign w:val="superscript"/>
              </w:rPr>
              <w:t>(a)</w:t>
            </w:r>
          </w:p>
        </w:tc>
        <w:tc>
          <w:tcPr>
            <w:tcW w:w="104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w w:val="97"/>
              </w:rPr>
              <w:t>383</w:t>
            </w:r>
          </w:p>
        </w:tc>
        <w:tc>
          <w:tcPr>
            <w:tcW w:w="1860" w:type="dxa"/>
            <w:vAlign w:val="bottom"/>
            <w:shd w:val="clear" w:color="auto" w:fill="CEFFE7"/>
          </w:tcPr>
          <w:p>
            <w:pPr>
              <w:jc w:val="center"/>
              <w:ind w:left="139"/>
              <w:spacing w:after="0"/>
              <w:rPr>
                <w:sz w:val="20"/>
                <w:szCs w:val="20"/>
                <w:color w:val="auto"/>
              </w:rPr>
            </w:pPr>
            <w:r>
              <w:rPr>
                <w:rFonts w:ascii="Arial" w:cs="Arial" w:eastAsia="Arial" w:hAnsi="Arial"/>
                <w:sz w:val="16"/>
                <w:szCs w:val="16"/>
                <w:color w:val="auto"/>
                <w:w w:val="99"/>
              </w:rPr>
              <w:t>16%</w:t>
            </w:r>
          </w:p>
        </w:tc>
        <w:tc>
          <w:tcPr>
            <w:tcW w:w="1060" w:type="dxa"/>
            <w:vAlign w:val="bottom"/>
            <w:shd w:val="clear" w:color="auto" w:fill="CEFFE7"/>
          </w:tcPr>
          <w:p>
            <w:pPr>
              <w:jc w:val="center"/>
              <w:ind w:left="79"/>
              <w:spacing w:after="0"/>
              <w:rPr>
                <w:sz w:val="20"/>
                <w:szCs w:val="20"/>
                <w:color w:val="auto"/>
              </w:rPr>
            </w:pPr>
            <w:r>
              <w:rPr>
                <w:rFonts w:ascii="Arial" w:cs="Arial" w:eastAsia="Arial" w:hAnsi="Arial"/>
                <w:sz w:val="16"/>
                <w:szCs w:val="16"/>
                <w:color w:val="auto"/>
                <w:w w:val="97"/>
              </w:rPr>
              <w:t>353</w:t>
            </w:r>
          </w:p>
        </w:tc>
        <w:tc>
          <w:tcPr>
            <w:tcW w:w="1640" w:type="dxa"/>
            <w:vAlign w:val="bottom"/>
            <w:shd w:val="clear" w:color="auto" w:fill="CEFFE7"/>
          </w:tcPr>
          <w:p>
            <w:pPr>
              <w:jc w:val="center"/>
              <w:ind w:left="239"/>
              <w:spacing w:after="0"/>
              <w:rPr>
                <w:sz w:val="20"/>
                <w:szCs w:val="20"/>
                <w:color w:val="auto"/>
              </w:rPr>
            </w:pPr>
            <w:r>
              <w:rPr>
                <w:rFonts w:ascii="Arial" w:cs="Arial" w:eastAsia="Arial" w:hAnsi="Arial"/>
                <w:sz w:val="16"/>
                <w:szCs w:val="16"/>
                <w:color w:val="auto"/>
              </w:rPr>
              <w:t>7%</w:t>
            </w:r>
          </w:p>
        </w:tc>
      </w:tr>
      <w:tr>
        <w:trPr>
          <w:trHeight w:val="213"/>
        </w:trPr>
        <w:tc>
          <w:tcPr>
            <w:tcW w:w="5640" w:type="dxa"/>
            <w:vAlign w:val="bottom"/>
          </w:tcPr>
          <w:p>
            <w:pPr>
              <w:ind w:left="140"/>
              <w:spacing w:after="0"/>
              <w:rPr>
                <w:sz w:val="20"/>
                <w:szCs w:val="20"/>
                <w:color w:val="auto"/>
              </w:rPr>
            </w:pPr>
            <w:r>
              <w:rPr>
                <w:rFonts w:ascii="Arial" w:cs="Arial" w:eastAsia="Arial" w:hAnsi="Arial"/>
                <w:sz w:val="16"/>
                <w:szCs w:val="16"/>
                <w:color w:val="auto"/>
              </w:rPr>
              <w:t>Colorado Gas</w:t>
            </w:r>
          </w:p>
        </w:tc>
        <w:tc>
          <w:tcPr>
            <w:tcW w:w="1040" w:type="dxa"/>
            <w:vAlign w:val="bottom"/>
          </w:tcPr>
          <w:p>
            <w:pPr>
              <w:jc w:val="center"/>
              <w:ind w:left="179"/>
              <w:spacing w:after="0"/>
              <w:rPr>
                <w:sz w:val="20"/>
                <w:szCs w:val="20"/>
                <w:color w:val="auto"/>
              </w:rPr>
            </w:pPr>
            <w:r>
              <w:rPr>
                <w:rFonts w:ascii="Arial" w:cs="Arial" w:eastAsia="Arial" w:hAnsi="Arial"/>
                <w:sz w:val="16"/>
                <w:szCs w:val="16"/>
                <w:color w:val="auto"/>
                <w:w w:val="97"/>
              </w:rPr>
              <w:t>865</w:t>
            </w:r>
          </w:p>
        </w:tc>
        <w:tc>
          <w:tcPr>
            <w:tcW w:w="1860" w:type="dxa"/>
            <w:vAlign w:val="bottom"/>
          </w:tcPr>
          <w:p>
            <w:pPr>
              <w:jc w:val="center"/>
              <w:ind w:left="119"/>
              <w:spacing w:after="0"/>
              <w:rPr>
                <w:sz w:val="20"/>
                <w:szCs w:val="20"/>
                <w:color w:val="auto"/>
              </w:rPr>
            </w:pPr>
            <w:r>
              <w:rPr>
                <w:rFonts w:ascii="Arial" w:cs="Arial" w:eastAsia="Arial" w:hAnsi="Arial"/>
                <w:sz w:val="16"/>
                <w:szCs w:val="16"/>
                <w:color w:val="auto"/>
              </w:rPr>
              <w:t>(9)%</w:t>
            </w:r>
          </w:p>
        </w:tc>
        <w:tc>
          <w:tcPr>
            <w:tcW w:w="1060" w:type="dxa"/>
            <w:vAlign w:val="bottom"/>
          </w:tcPr>
          <w:p>
            <w:pPr>
              <w:jc w:val="center"/>
              <w:ind w:left="79"/>
              <w:spacing w:after="0"/>
              <w:rPr>
                <w:sz w:val="20"/>
                <w:szCs w:val="20"/>
                <w:color w:val="auto"/>
              </w:rPr>
            </w:pPr>
            <w:r>
              <w:rPr>
                <w:rFonts w:ascii="Arial" w:cs="Arial" w:eastAsia="Arial" w:hAnsi="Arial"/>
                <w:sz w:val="16"/>
                <w:szCs w:val="16"/>
                <w:color w:val="auto"/>
                <w:w w:val="97"/>
              </w:rPr>
              <w:t>809</w:t>
            </w:r>
          </w:p>
        </w:tc>
        <w:tc>
          <w:tcPr>
            <w:tcW w:w="1640" w:type="dxa"/>
            <w:vAlign w:val="bottom"/>
          </w:tcPr>
          <w:p>
            <w:pPr>
              <w:jc w:val="center"/>
              <w:ind w:left="239"/>
              <w:spacing w:after="0"/>
              <w:rPr>
                <w:sz w:val="20"/>
                <w:szCs w:val="20"/>
                <w:color w:val="auto"/>
              </w:rPr>
            </w:pPr>
            <w:r>
              <w:rPr>
                <w:rFonts w:ascii="Arial" w:cs="Arial" w:eastAsia="Arial" w:hAnsi="Arial"/>
                <w:sz w:val="16"/>
                <w:szCs w:val="16"/>
                <w:color w:val="auto"/>
              </w:rPr>
              <w:t>(15)%</w:t>
            </w:r>
          </w:p>
        </w:tc>
      </w:tr>
      <w:tr>
        <w:trPr>
          <w:trHeight w:val="219"/>
        </w:trPr>
        <w:tc>
          <w:tcPr>
            <w:tcW w:w="5640" w:type="dxa"/>
            <w:vAlign w:val="bottom"/>
            <w:shd w:val="clear" w:color="auto" w:fill="CEFFE7"/>
          </w:tcPr>
          <w:p>
            <w:pPr>
              <w:ind w:left="140"/>
              <w:spacing w:after="0"/>
              <w:rPr>
                <w:sz w:val="20"/>
                <w:szCs w:val="20"/>
                <w:color w:val="auto"/>
              </w:rPr>
            </w:pPr>
            <w:r>
              <w:rPr>
                <w:rFonts w:ascii="Arial" w:cs="Arial" w:eastAsia="Arial" w:hAnsi="Arial"/>
                <w:sz w:val="16"/>
                <w:szCs w:val="16"/>
                <w:color w:val="auto"/>
              </w:rPr>
              <w:t>Iowa Gas</w:t>
            </w:r>
          </w:p>
        </w:tc>
        <w:tc>
          <w:tcPr>
            <w:tcW w:w="104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w w:val="97"/>
              </w:rPr>
              <w:t>691</w:t>
            </w:r>
          </w:p>
        </w:tc>
        <w:tc>
          <w:tcPr>
            <w:tcW w:w="1860" w:type="dxa"/>
            <w:vAlign w:val="bottom"/>
            <w:shd w:val="clear" w:color="auto" w:fill="CEFFE7"/>
          </w:tcPr>
          <w:p>
            <w:pPr>
              <w:jc w:val="center"/>
              <w:ind w:left="139"/>
              <w:spacing w:after="0"/>
              <w:rPr>
                <w:sz w:val="20"/>
                <w:szCs w:val="20"/>
                <w:color w:val="auto"/>
              </w:rPr>
            </w:pPr>
            <w:r>
              <w:rPr>
                <w:rFonts w:ascii="Arial" w:cs="Arial" w:eastAsia="Arial" w:hAnsi="Arial"/>
                <w:sz w:val="16"/>
                <w:szCs w:val="16"/>
                <w:color w:val="auto"/>
              </w:rPr>
              <w:t>1%</w:t>
            </w:r>
          </w:p>
        </w:tc>
        <w:tc>
          <w:tcPr>
            <w:tcW w:w="1060" w:type="dxa"/>
            <w:vAlign w:val="bottom"/>
            <w:shd w:val="clear" w:color="auto" w:fill="CEFFE7"/>
          </w:tcPr>
          <w:p>
            <w:pPr>
              <w:jc w:val="center"/>
              <w:ind w:left="79"/>
              <w:spacing w:after="0"/>
              <w:rPr>
                <w:sz w:val="20"/>
                <w:szCs w:val="20"/>
                <w:color w:val="auto"/>
              </w:rPr>
            </w:pPr>
            <w:r>
              <w:rPr>
                <w:rFonts w:ascii="Arial" w:cs="Arial" w:eastAsia="Arial" w:hAnsi="Arial"/>
                <w:sz w:val="16"/>
                <w:szCs w:val="16"/>
                <w:color w:val="auto"/>
                <w:w w:val="97"/>
              </w:rPr>
              <w:t>783</w:t>
            </w:r>
          </w:p>
        </w:tc>
        <w:tc>
          <w:tcPr>
            <w:tcW w:w="1640" w:type="dxa"/>
            <w:vAlign w:val="bottom"/>
            <w:shd w:val="clear" w:color="auto" w:fill="CEFFE7"/>
          </w:tcPr>
          <w:p>
            <w:pPr>
              <w:jc w:val="center"/>
              <w:ind w:left="239"/>
              <w:spacing w:after="0"/>
              <w:rPr>
                <w:sz w:val="20"/>
                <w:szCs w:val="20"/>
                <w:color w:val="auto"/>
              </w:rPr>
            </w:pPr>
            <w:r>
              <w:rPr>
                <w:rFonts w:ascii="Arial" w:cs="Arial" w:eastAsia="Arial" w:hAnsi="Arial"/>
                <w:sz w:val="16"/>
                <w:szCs w:val="16"/>
                <w:color w:val="auto"/>
                <w:w w:val="99"/>
              </w:rPr>
              <w:t>14%</w:t>
            </w:r>
          </w:p>
        </w:tc>
      </w:tr>
      <w:tr>
        <w:trPr>
          <w:trHeight w:val="216"/>
        </w:trPr>
        <w:tc>
          <w:tcPr>
            <w:tcW w:w="56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Kansas Gas </w:t>
            </w:r>
            <w:r>
              <w:rPr>
                <w:rFonts w:ascii="Arial" w:cs="Arial" w:eastAsia="Arial" w:hAnsi="Arial"/>
                <w:sz w:val="21"/>
                <w:szCs w:val="21"/>
                <w:color w:val="auto"/>
                <w:vertAlign w:val="superscript"/>
              </w:rPr>
              <w:t>(a)</w:t>
            </w:r>
          </w:p>
        </w:tc>
        <w:tc>
          <w:tcPr>
            <w:tcW w:w="1040" w:type="dxa"/>
            <w:vAlign w:val="bottom"/>
          </w:tcPr>
          <w:p>
            <w:pPr>
              <w:jc w:val="center"/>
              <w:ind w:left="179"/>
              <w:spacing w:after="0"/>
              <w:rPr>
                <w:sz w:val="20"/>
                <w:szCs w:val="20"/>
                <w:color w:val="auto"/>
              </w:rPr>
            </w:pPr>
            <w:r>
              <w:rPr>
                <w:rFonts w:ascii="Arial" w:cs="Arial" w:eastAsia="Arial" w:hAnsi="Arial"/>
                <w:sz w:val="16"/>
                <w:szCs w:val="16"/>
                <w:color w:val="auto"/>
                <w:w w:val="97"/>
              </w:rPr>
              <w:t>493</w:t>
            </w:r>
          </w:p>
        </w:tc>
        <w:tc>
          <w:tcPr>
            <w:tcW w:w="1860" w:type="dxa"/>
            <w:vAlign w:val="bottom"/>
          </w:tcPr>
          <w:p>
            <w:pPr>
              <w:jc w:val="center"/>
              <w:ind w:left="139"/>
              <w:spacing w:after="0"/>
              <w:rPr>
                <w:sz w:val="20"/>
                <w:szCs w:val="20"/>
                <w:color w:val="auto"/>
              </w:rPr>
            </w:pPr>
            <w:r>
              <w:rPr>
                <w:rFonts w:ascii="Arial" w:cs="Arial" w:eastAsia="Arial" w:hAnsi="Arial"/>
                <w:sz w:val="16"/>
                <w:szCs w:val="16"/>
                <w:color w:val="auto"/>
                <w:w w:val="99"/>
              </w:rPr>
              <w:t>10%</w:t>
            </w:r>
          </w:p>
        </w:tc>
        <w:tc>
          <w:tcPr>
            <w:tcW w:w="1060" w:type="dxa"/>
            <w:vAlign w:val="bottom"/>
          </w:tcPr>
          <w:p>
            <w:pPr>
              <w:jc w:val="center"/>
              <w:ind w:left="79"/>
              <w:spacing w:after="0"/>
              <w:rPr>
                <w:sz w:val="20"/>
                <w:szCs w:val="20"/>
                <w:color w:val="auto"/>
              </w:rPr>
            </w:pPr>
            <w:r>
              <w:rPr>
                <w:rFonts w:ascii="Arial" w:cs="Arial" w:eastAsia="Arial" w:hAnsi="Arial"/>
                <w:sz w:val="16"/>
                <w:szCs w:val="16"/>
                <w:color w:val="auto"/>
                <w:w w:val="97"/>
              </w:rPr>
              <w:t>477</w:t>
            </w:r>
          </w:p>
        </w:tc>
        <w:tc>
          <w:tcPr>
            <w:tcW w:w="1640" w:type="dxa"/>
            <w:vAlign w:val="bottom"/>
          </w:tcPr>
          <w:p>
            <w:pPr>
              <w:jc w:val="center"/>
              <w:ind w:left="239"/>
              <w:spacing w:after="0"/>
              <w:rPr>
                <w:sz w:val="20"/>
                <w:szCs w:val="20"/>
                <w:color w:val="auto"/>
              </w:rPr>
            </w:pPr>
            <w:r>
              <w:rPr>
                <w:rFonts w:ascii="Arial" w:cs="Arial" w:eastAsia="Arial" w:hAnsi="Arial"/>
                <w:sz w:val="16"/>
                <w:szCs w:val="16"/>
                <w:color w:val="auto"/>
              </w:rPr>
              <w:t>7%</w:t>
            </w:r>
          </w:p>
        </w:tc>
      </w:tr>
      <w:tr>
        <w:trPr>
          <w:trHeight w:val="216"/>
        </w:trPr>
        <w:tc>
          <w:tcPr>
            <w:tcW w:w="5640" w:type="dxa"/>
            <w:vAlign w:val="bottom"/>
            <w:shd w:val="clear" w:color="auto" w:fill="CEFFE7"/>
          </w:tcPr>
          <w:p>
            <w:pPr>
              <w:ind w:left="140"/>
              <w:spacing w:after="0"/>
              <w:rPr>
                <w:sz w:val="20"/>
                <w:szCs w:val="20"/>
                <w:color w:val="auto"/>
              </w:rPr>
            </w:pPr>
            <w:r>
              <w:rPr>
                <w:rFonts w:ascii="Arial" w:cs="Arial" w:eastAsia="Arial" w:hAnsi="Arial"/>
                <w:sz w:val="16"/>
                <w:szCs w:val="16"/>
                <w:color w:val="auto"/>
              </w:rPr>
              <w:t>Nebraska Gas</w:t>
            </w:r>
          </w:p>
        </w:tc>
        <w:tc>
          <w:tcPr>
            <w:tcW w:w="104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w w:val="97"/>
              </w:rPr>
              <w:t>624</w:t>
            </w:r>
          </w:p>
        </w:tc>
        <w:tc>
          <w:tcPr>
            <w:tcW w:w="1860" w:type="dxa"/>
            <w:vAlign w:val="bottom"/>
            <w:shd w:val="clear" w:color="auto" w:fill="CEFFE7"/>
          </w:tcPr>
          <w:p>
            <w:pPr>
              <w:jc w:val="center"/>
              <w:ind w:left="119"/>
              <w:spacing w:after="0"/>
              <w:rPr>
                <w:sz w:val="20"/>
                <w:szCs w:val="20"/>
                <w:color w:val="auto"/>
              </w:rPr>
            </w:pPr>
            <w:r>
              <w:rPr>
                <w:rFonts w:ascii="Arial" w:cs="Arial" w:eastAsia="Arial" w:hAnsi="Arial"/>
                <w:sz w:val="16"/>
                <w:szCs w:val="16"/>
                <w:color w:val="auto"/>
              </w:rPr>
              <w:t>(1)%</w:t>
            </w:r>
          </w:p>
        </w:tc>
        <w:tc>
          <w:tcPr>
            <w:tcW w:w="1060" w:type="dxa"/>
            <w:vAlign w:val="bottom"/>
            <w:shd w:val="clear" w:color="auto" w:fill="CEFFE7"/>
          </w:tcPr>
          <w:p>
            <w:pPr>
              <w:jc w:val="center"/>
              <w:ind w:left="79"/>
              <w:spacing w:after="0"/>
              <w:rPr>
                <w:sz w:val="20"/>
                <w:szCs w:val="20"/>
                <w:color w:val="auto"/>
              </w:rPr>
            </w:pPr>
            <w:r>
              <w:rPr>
                <w:rFonts w:ascii="Arial" w:cs="Arial" w:eastAsia="Arial" w:hAnsi="Arial"/>
                <w:sz w:val="16"/>
                <w:szCs w:val="16"/>
                <w:color w:val="auto"/>
                <w:w w:val="97"/>
              </w:rPr>
              <w:t>692</w:t>
            </w:r>
          </w:p>
        </w:tc>
        <w:tc>
          <w:tcPr>
            <w:tcW w:w="1640" w:type="dxa"/>
            <w:vAlign w:val="bottom"/>
            <w:shd w:val="clear" w:color="auto" w:fill="CEFFE7"/>
          </w:tcPr>
          <w:p>
            <w:pPr>
              <w:jc w:val="center"/>
              <w:ind w:left="239"/>
              <w:spacing w:after="0"/>
              <w:rPr>
                <w:sz w:val="20"/>
                <w:szCs w:val="20"/>
                <w:color w:val="auto"/>
              </w:rPr>
            </w:pPr>
            <w:r>
              <w:rPr>
                <w:rFonts w:ascii="Arial" w:cs="Arial" w:eastAsia="Arial" w:hAnsi="Arial"/>
                <w:sz w:val="16"/>
                <w:szCs w:val="16"/>
                <w:color w:val="auto"/>
              </w:rPr>
              <w:t>9%</w:t>
            </w:r>
          </w:p>
        </w:tc>
      </w:tr>
      <w:tr>
        <w:trPr>
          <w:trHeight w:val="213"/>
        </w:trPr>
        <w:tc>
          <w:tcPr>
            <w:tcW w:w="5640" w:type="dxa"/>
            <w:vAlign w:val="bottom"/>
          </w:tcPr>
          <w:p>
            <w:pPr>
              <w:ind w:left="140"/>
              <w:spacing w:after="0"/>
              <w:rPr>
                <w:sz w:val="20"/>
                <w:szCs w:val="20"/>
                <w:color w:val="auto"/>
              </w:rPr>
            </w:pPr>
            <w:r>
              <w:rPr>
                <w:rFonts w:ascii="Arial" w:cs="Arial" w:eastAsia="Arial" w:hAnsi="Arial"/>
                <w:sz w:val="16"/>
                <w:szCs w:val="16"/>
                <w:color w:val="auto"/>
              </w:rPr>
              <w:t>Wyoming Gas</w:t>
            </w:r>
          </w:p>
        </w:tc>
        <w:tc>
          <w:tcPr>
            <w:tcW w:w="1040" w:type="dxa"/>
            <w:vAlign w:val="bottom"/>
          </w:tcPr>
          <w:p>
            <w:pPr>
              <w:jc w:val="center"/>
              <w:ind w:left="179"/>
              <w:spacing w:after="0"/>
              <w:rPr>
                <w:sz w:val="20"/>
                <w:szCs w:val="20"/>
                <w:color w:val="auto"/>
              </w:rPr>
            </w:pPr>
            <w:r>
              <w:rPr>
                <w:rFonts w:ascii="Arial" w:cs="Arial" w:eastAsia="Arial" w:hAnsi="Arial"/>
                <w:sz w:val="16"/>
                <w:szCs w:val="16"/>
                <w:color w:val="auto"/>
              </w:rPr>
              <w:t>1,200</w:t>
            </w:r>
          </w:p>
        </w:tc>
        <w:tc>
          <w:tcPr>
            <w:tcW w:w="1860" w:type="dxa"/>
            <w:vAlign w:val="bottom"/>
          </w:tcPr>
          <w:p>
            <w:pPr>
              <w:jc w:val="center"/>
              <w:ind w:left="119"/>
              <w:spacing w:after="0"/>
              <w:rPr>
                <w:sz w:val="20"/>
                <w:szCs w:val="20"/>
                <w:color w:val="auto"/>
              </w:rPr>
            </w:pPr>
            <w:r>
              <w:rPr>
                <w:rFonts w:ascii="Arial" w:cs="Arial" w:eastAsia="Arial" w:hAnsi="Arial"/>
                <w:sz w:val="16"/>
                <w:szCs w:val="16"/>
                <w:color w:val="auto"/>
              </w:rPr>
              <w:t>(1)%</w:t>
            </w:r>
          </w:p>
        </w:tc>
        <w:tc>
          <w:tcPr>
            <w:tcW w:w="1060" w:type="dxa"/>
            <w:vAlign w:val="bottom"/>
          </w:tcPr>
          <w:p>
            <w:pPr>
              <w:jc w:val="center"/>
              <w:ind w:left="79"/>
              <w:spacing w:after="0"/>
              <w:rPr>
                <w:sz w:val="20"/>
                <w:szCs w:val="20"/>
                <w:color w:val="auto"/>
              </w:rPr>
            </w:pPr>
            <w:r>
              <w:rPr>
                <w:rFonts w:ascii="Arial" w:cs="Arial" w:eastAsia="Arial" w:hAnsi="Arial"/>
                <w:sz w:val="16"/>
                <w:szCs w:val="16"/>
                <w:color w:val="auto"/>
              </w:rPr>
              <w:t>1,216</w:t>
            </w:r>
          </w:p>
        </w:tc>
        <w:tc>
          <w:tcPr>
            <w:tcW w:w="1640" w:type="dxa"/>
            <w:vAlign w:val="bottom"/>
          </w:tcPr>
          <w:p>
            <w:pPr>
              <w:jc w:val="center"/>
              <w:ind w:left="239"/>
              <w:spacing w:after="0"/>
              <w:rPr>
                <w:sz w:val="20"/>
                <w:szCs w:val="20"/>
                <w:color w:val="auto"/>
              </w:rPr>
            </w:pPr>
            <w:r>
              <w:rPr>
                <w:rFonts w:ascii="Arial" w:cs="Arial" w:eastAsia="Arial" w:hAnsi="Arial"/>
                <w:sz w:val="16"/>
                <w:szCs w:val="16"/>
                <w:color w:val="auto"/>
              </w:rPr>
              <w:t>—%</w:t>
            </w:r>
          </w:p>
        </w:tc>
      </w:tr>
      <w:tr>
        <w:trPr>
          <w:trHeight w:val="219"/>
        </w:trPr>
        <w:tc>
          <w:tcPr>
            <w:tcW w:w="5640" w:type="dxa"/>
            <w:vAlign w:val="bottom"/>
            <w:shd w:val="clear" w:color="auto" w:fill="CEFFE7"/>
          </w:tcPr>
          <w:p>
            <w:pPr>
              <w:ind w:left="140"/>
              <w:spacing w:after="0" w:line="219" w:lineRule="exact"/>
              <w:rPr>
                <w:sz w:val="20"/>
                <w:szCs w:val="20"/>
                <w:color w:val="auto"/>
              </w:rPr>
            </w:pPr>
            <w:r>
              <w:rPr>
                <w:rFonts w:ascii="Arial" w:cs="Arial" w:eastAsia="Arial" w:hAnsi="Arial"/>
                <w:sz w:val="16"/>
                <w:szCs w:val="16"/>
                <w:color w:val="auto"/>
              </w:rPr>
              <w:t xml:space="preserve">Combined Gas </w:t>
            </w:r>
            <w:r>
              <w:rPr>
                <w:rFonts w:ascii="Arial" w:cs="Arial" w:eastAsia="Arial" w:hAnsi="Arial"/>
                <w:sz w:val="21"/>
                <w:szCs w:val="21"/>
                <w:color w:val="auto"/>
                <w:vertAlign w:val="superscript"/>
              </w:rPr>
              <w:t>(b)</w:t>
            </w:r>
          </w:p>
        </w:tc>
        <w:tc>
          <w:tcPr>
            <w:tcW w:w="104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w w:val="97"/>
              </w:rPr>
              <w:t>739</w:t>
            </w:r>
          </w:p>
        </w:tc>
        <w:tc>
          <w:tcPr>
            <w:tcW w:w="1860" w:type="dxa"/>
            <w:vAlign w:val="bottom"/>
            <w:shd w:val="clear" w:color="auto" w:fill="CEFFE7"/>
          </w:tcPr>
          <w:p>
            <w:pPr>
              <w:jc w:val="center"/>
              <w:ind w:left="139"/>
              <w:spacing w:after="0"/>
              <w:rPr>
                <w:sz w:val="20"/>
                <w:szCs w:val="20"/>
                <w:color w:val="auto"/>
              </w:rPr>
            </w:pPr>
            <w:r>
              <w:rPr>
                <w:rFonts w:ascii="Arial" w:cs="Arial" w:eastAsia="Arial" w:hAnsi="Arial"/>
                <w:sz w:val="16"/>
                <w:szCs w:val="16"/>
                <w:color w:val="auto"/>
              </w:rPr>
              <w:t>1%</w:t>
            </w:r>
          </w:p>
        </w:tc>
        <w:tc>
          <w:tcPr>
            <w:tcW w:w="1060" w:type="dxa"/>
            <w:vAlign w:val="bottom"/>
            <w:shd w:val="clear" w:color="auto" w:fill="CEFFE7"/>
          </w:tcPr>
          <w:p>
            <w:pPr>
              <w:jc w:val="center"/>
              <w:ind w:left="79"/>
              <w:spacing w:after="0"/>
              <w:rPr>
                <w:sz w:val="20"/>
                <w:szCs w:val="20"/>
                <w:color w:val="auto"/>
              </w:rPr>
            </w:pPr>
            <w:r>
              <w:rPr>
                <w:rFonts w:ascii="Arial" w:cs="Arial" w:eastAsia="Arial" w:hAnsi="Arial"/>
                <w:sz w:val="16"/>
                <w:szCs w:val="16"/>
                <w:color w:val="auto"/>
                <w:w w:val="97"/>
              </w:rPr>
              <w:t>688</w:t>
            </w:r>
          </w:p>
        </w:tc>
        <w:tc>
          <w:tcPr>
            <w:tcW w:w="1640" w:type="dxa"/>
            <w:vAlign w:val="bottom"/>
            <w:shd w:val="clear" w:color="auto" w:fill="CEFFE7"/>
          </w:tcPr>
          <w:p>
            <w:pPr>
              <w:jc w:val="center"/>
              <w:ind w:left="239"/>
              <w:spacing w:after="0"/>
              <w:rPr>
                <w:sz w:val="20"/>
                <w:szCs w:val="20"/>
                <w:color w:val="auto"/>
              </w:rPr>
            </w:pPr>
            <w:r>
              <w:rPr>
                <w:rFonts w:ascii="Arial" w:cs="Arial" w:eastAsia="Arial" w:hAnsi="Arial"/>
                <w:sz w:val="16"/>
                <w:szCs w:val="16"/>
                <w:color w:val="auto"/>
              </w:rPr>
              <w:t>2%</w:t>
            </w:r>
          </w:p>
        </w:tc>
      </w:tr>
      <w:tr>
        <w:trPr>
          <w:trHeight w:val="629"/>
        </w:trPr>
        <w:tc>
          <w:tcPr>
            <w:tcW w:w="5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20" w:type="dxa"/>
            <w:vAlign w:val="bottom"/>
            <w:gridSpan w:val="2"/>
          </w:tcPr>
          <w:p>
            <w:pPr>
              <w:jc w:val="center"/>
              <w:ind w:left="499"/>
              <w:spacing w:after="0"/>
              <w:rPr>
                <w:sz w:val="20"/>
                <w:szCs w:val="20"/>
                <w:color w:val="auto"/>
              </w:rPr>
            </w:pPr>
            <w:r>
              <w:rPr>
                <w:rFonts w:ascii="Arial" w:cs="Arial" w:eastAsia="Arial" w:hAnsi="Arial"/>
                <w:sz w:val="16"/>
                <w:szCs w:val="16"/>
                <w:color w:val="auto"/>
              </w:rPr>
              <w:t>Six Months Ended June 30,</w:t>
            </w:r>
          </w:p>
        </w:tc>
        <w:tc>
          <w:tcPr>
            <w:tcW w:w="1640" w:type="dxa"/>
            <w:vAlign w:val="bottom"/>
          </w:tcPr>
          <w:p>
            <w:pPr>
              <w:spacing w:after="0"/>
              <w:rPr>
                <w:sz w:val="24"/>
                <w:szCs w:val="24"/>
                <w:color w:val="auto"/>
              </w:rPr>
            </w:pPr>
          </w:p>
        </w:tc>
      </w:tr>
      <w:tr>
        <w:trPr>
          <w:trHeight w:val="219"/>
        </w:trPr>
        <w:tc>
          <w:tcPr>
            <w:tcW w:w="56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279"/>
              <w:spacing w:after="0"/>
              <w:rPr>
                <w:sz w:val="20"/>
                <w:szCs w:val="20"/>
                <w:color w:val="auto"/>
              </w:rPr>
            </w:pPr>
            <w:r>
              <w:rPr>
                <w:rFonts w:ascii="Arial" w:cs="Arial" w:eastAsia="Arial" w:hAnsi="Arial"/>
                <w:sz w:val="16"/>
                <w:szCs w:val="16"/>
                <w:color w:val="auto"/>
              </w:rPr>
              <w:t>2021</w:t>
            </w:r>
          </w:p>
        </w:tc>
        <w:tc>
          <w:tcPr>
            <w:tcW w:w="10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color w:val="auto"/>
              </w:rPr>
              <w:t>2020</w:t>
            </w:r>
          </w:p>
        </w:tc>
      </w:tr>
      <w:tr>
        <w:trPr>
          <w:trHeight w:val="174"/>
        </w:trPr>
        <w:tc>
          <w:tcPr>
            <w:tcW w:w="5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60" w:type="dxa"/>
            <w:vAlign w:val="bottom"/>
          </w:tcPr>
          <w:p>
            <w:pPr>
              <w:jc w:val="center"/>
              <w:ind w:left="139"/>
              <w:spacing w:after="0" w:line="174" w:lineRule="exact"/>
              <w:rPr>
                <w:sz w:val="20"/>
                <w:szCs w:val="20"/>
                <w:color w:val="auto"/>
              </w:rPr>
            </w:pPr>
            <w:r>
              <w:rPr>
                <w:rFonts w:ascii="Arial" w:cs="Arial" w:eastAsia="Arial" w:hAnsi="Arial"/>
                <w:sz w:val="16"/>
                <w:szCs w:val="16"/>
                <w:color w:val="auto"/>
              </w:rPr>
              <w:t>Variance</w:t>
            </w:r>
          </w:p>
        </w:tc>
        <w:tc>
          <w:tcPr>
            <w:tcW w:w="1060" w:type="dxa"/>
            <w:vAlign w:val="bottom"/>
          </w:tcPr>
          <w:p>
            <w:pPr>
              <w:spacing w:after="0"/>
              <w:rPr>
                <w:sz w:val="15"/>
                <w:szCs w:val="15"/>
                <w:color w:val="auto"/>
              </w:rPr>
            </w:pPr>
          </w:p>
        </w:tc>
        <w:tc>
          <w:tcPr>
            <w:tcW w:w="1640" w:type="dxa"/>
            <w:vAlign w:val="bottom"/>
          </w:tcPr>
          <w:p>
            <w:pPr>
              <w:jc w:val="center"/>
              <w:ind w:left="239"/>
              <w:spacing w:after="0" w:line="174" w:lineRule="exact"/>
              <w:rPr>
                <w:sz w:val="20"/>
                <w:szCs w:val="20"/>
                <w:color w:val="auto"/>
              </w:rPr>
            </w:pPr>
            <w:r>
              <w:rPr>
                <w:rFonts w:ascii="Arial" w:cs="Arial" w:eastAsia="Arial" w:hAnsi="Arial"/>
                <w:sz w:val="16"/>
                <w:szCs w:val="16"/>
                <w:color w:val="auto"/>
              </w:rPr>
              <w:t>Variance</w:t>
            </w:r>
          </w:p>
        </w:tc>
      </w:tr>
      <w:tr>
        <w:trPr>
          <w:trHeight w:val="198"/>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Heating Degree Days:</w:t>
            </w:r>
          </w:p>
        </w:tc>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Actual</w:t>
            </w:r>
          </w:p>
        </w:tc>
        <w:tc>
          <w:tcPr>
            <w:tcW w:w="186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w w:val="99"/>
              </w:rPr>
              <w:t>from Normal</w:t>
            </w:r>
          </w:p>
        </w:tc>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Actual</w:t>
            </w:r>
          </w:p>
        </w:tc>
        <w:tc>
          <w:tcPr>
            <w:tcW w:w="164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color w:val="auto"/>
                <w:w w:val="99"/>
              </w:rPr>
              <w:t>from Normal</w:t>
            </w:r>
          </w:p>
        </w:tc>
      </w:tr>
      <w:tr>
        <w:trPr>
          <w:trHeight w:val="213"/>
        </w:trPr>
        <w:tc>
          <w:tcPr>
            <w:tcW w:w="5640" w:type="dxa"/>
            <w:vAlign w:val="bottom"/>
            <w:shd w:val="clear" w:color="auto" w:fill="CEFFE7"/>
          </w:tcPr>
          <w:p>
            <w:pPr>
              <w:ind w:left="140"/>
              <w:spacing w:after="0" w:line="213" w:lineRule="exact"/>
              <w:rPr>
                <w:sz w:val="20"/>
                <w:szCs w:val="20"/>
                <w:color w:val="auto"/>
              </w:rPr>
            </w:pPr>
            <w:r>
              <w:rPr>
                <w:rFonts w:ascii="Arial" w:cs="Arial" w:eastAsia="Arial" w:hAnsi="Arial"/>
                <w:sz w:val="16"/>
                <w:szCs w:val="16"/>
                <w:color w:val="auto"/>
              </w:rPr>
              <w:t xml:space="preserve">Arkansas Gas </w:t>
            </w:r>
            <w:r>
              <w:rPr>
                <w:rFonts w:ascii="Arial" w:cs="Arial" w:eastAsia="Arial" w:hAnsi="Arial"/>
                <w:sz w:val="21"/>
                <w:szCs w:val="21"/>
                <w:color w:val="auto"/>
                <w:vertAlign w:val="superscript"/>
              </w:rPr>
              <w:t>(a)</w:t>
            </w:r>
          </w:p>
        </w:tc>
        <w:tc>
          <w:tcPr>
            <w:tcW w:w="104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rPr>
              <w:t>2,504</w:t>
            </w:r>
          </w:p>
        </w:tc>
        <w:tc>
          <w:tcPr>
            <w:tcW w:w="1860" w:type="dxa"/>
            <w:vAlign w:val="bottom"/>
            <w:shd w:val="clear" w:color="auto" w:fill="CEFFE7"/>
          </w:tcPr>
          <w:p>
            <w:pPr>
              <w:jc w:val="center"/>
              <w:ind w:left="139"/>
              <w:spacing w:after="0"/>
              <w:rPr>
                <w:sz w:val="20"/>
                <w:szCs w:val="20"/>
                <w:color w:val="auto"/>
              </w:rPr>
            </w:pPr>
            <w:r>
              <w:rPr>
                <w:rFonts w:ascii="Arial" w:cs="Arial" w:eastAsia="Arial" w:hAnsi="Arial"/>
                <w:sz w:val="16"/>
                <w:szCs w:val="16"/>
                <w:color w:val="auto"/>
              </w:rPr>
              <w:t>3%</w:t>
            </w:r>
          </w:p>
        </w:tc>
        <w:tc>
          <w:tcPr>
            <w:tcW w:w="1060" w:type="dxa"/>
            <w:vAlign w:val="bottom"/>
            <w:shd w:val="clear" w:color="auto" w:fill="CEFFE7"/>
          </w:tcPr>
          <w:p>
            <w:pPr>
              <w:jc w:val="center"/>
              <w:ind w:left="79"/>
              <w:spacing w:after="0"/>
              <w:rPr>
                <w:sz w:val="20"/>
                <w:szCs w:val="20"/>
                <w:color w:val="auto"/>
              </w:rPr>
            </w:pPr>
            <w:r>
              <w:rPr>
                <w:rFonts w:ascii="Arial" w:cs="Arial" w:eastAsia="Arial" w:hAnsi="Arial"/>
                <w:sz w:val="16"/>
                <w:szCs w:val="16"/>
                <w:color w:val="auto"/>
              </w:rPr>
              <w:t>2,012</w:t>
            </w:r>
          </w:p>
        </w:tc>
        <w:tc>
          <w:tcPr>
            <w:tcW w:w="1640" w:type="dxa"/>
            <w:vAlign w:val="bottom"/>
            <w:shd w:val="clear" w:color="auto" w:fill="CEFFE7"/>
          </w:tcPr>
          <w:p>
            <w:pPr>
              <w:jc w:val="center"/>
              <w:ind w:left="239"/>
              <w:spacing w:after="0"/>
              <w:rPr>
                <w:sz w:val="20"/>
                <w:szCs w:val="20"/>
                <w:color w:val="auto"/>
              </w:rPr>
            </w:pPr>
            <w:r>
              <w:rPr>
                <w:rFonts w:ascii="Arial" w:cs="Arial" w:eastAsia="Arial" w:hAnsi="Arial"/>
                <w:sz w:val="16"/>
                <w:szCs w:val="16"/>
                <w:color w:val="auto"/>
              </w:rPr>
              <w:t>(17)%</w:t>
            </w:r>
          </w:p>
        </w:tc>
      </w:tr>
      <w:tr>
        <w:trPr>
          <w:trHeight w:val="213"/>
        </w:trPr>
        <w:tc>
          <w:tcPr>
            <w:tcW w:w="5640" w:type="dxa"/>
            <w:vAlign w:val="bottom"/>
          </w:tcPr>
          <w:p>
            <w:pPr>
              <w:ind w:left="140"/>
              <w:spacing w:after="0"/>
              <w:rPr>
                <w:sz w:val="20"/>
                <w:szCs w:val="20"/>
                <w:color w:val="auto"/>
              </w:rPr>
            </w:pPr>
            <w:r>
              <w:rPr>
                <w:rFonts w:ascii="Arial" w:cs="Arial" w:eastAsia="Arial" w:hAnsi="Arial"/>
                <w:sz w:val="16"/>
                <w:szCs w:val="16"/>
                <w:color w:val="auto"/>
              </w:rPr>
              <w:t>Colorado Gas</w:t>
            </w:r>
          </w:p>
        </w:tc>
        <w:tc>
          <w:tcPr>
            <w:tcW w:w="1040" w:type="dxa"/>
            <w:vAlign w:val="bottom"/>
          </w:tcPr>
          <w:p>
            <w:pPr>
              <w:jc w:val="center"/>
              <w:ind w:left="179"/>
              <w:spacing w:after="0"/>
              <w:rPr>
                <w:sz w:val="20"/>
                <w:szCs w:val="20"/>
                <w:color w:val="auto"/>
              </w:rPr>
            </w:pPr>
            <w:r>
              <w:rPr>
                <w:rFonts w:ascii="Arial" w:cs="Arial" w:eastAsia="Arial" w:hAnsi="Arial"/>
                <w:sz w:val="16"/>
                <w:szCs w:val="16"/>
                <w:color w:val="auto"/>
              </w:rPr>
              <w:t>3,830</w:t>
            </w:r>
          </w:p>
        </w:tc>
        <w:tc>
          <w:tcPr>
            <w:tcW w:w="1860" w:type="dxa"/>
            <w:vAlign w:val="bottom"/>
          </w:tcPr>
          <w:p>
            <w:pPr>
              <w:jc w:val="center"/>
              <w:ind w:left="119"/>
              <w:spacing w:after="0"/>
              <w:rPr>
                <w:sz w:val="20"/>
                <w:szCs w:val="20"/>
                <w:color w:val="auto"/>
              </w:rPr>
            </w:pPr>
            <w:r>
              <w:rPr>
                <w:rFonts w:ascii="Arial" w:cs="Arial" w:eastAsia="Arial" w:hAnsi="Arial"/>
                <w:sz w:val="16"/>
                <w:szCs w:val="16"/>
                <w:color w:val="auto"/>
              </w:rPr>
              <w:t>(1)%</w:t>
            </w:r>
          </w:p>
        </w:tc>
        <w:tc>
          <w:tcPr>
            <w:tcW w:w="1060" w:type="dxa"/>
            <w:vAlign w:val="bottom"/>
          </w:tcPr>
          <w:p>
            <w:pPr>
              <w:jc w:val="center"/>
              <w:ind w:left="79"/>
              <w:spacing w:after="0"/>
              <w:rPr>
                <w:sz w:val="20"/>
                <w:szCs w:val="20"/>
                <w:color w:val="auto"/>
              </w:rPr>
            </w:pPr>
            <w:r>
              <w:rPr>
                <w:rFonts w:ascii="Arial" w:cs="Arial" w:eastAsia="Arial" w:hAnsi="Arial"/>
                <w:sz w:val="16"/>
                <w:szCs w:val="16"/>
                <w:color w:val="auto"/>
              </w:rPr>
              <w:t>3,638</w:t>
            </w:r>
          </w:p>
        </w:tc>
        <w:tc>
          <w:tcPr>
            <w:tcW w:w="1640" w:type="dxa"/>
            <w:vAlign w:val="bottom"/>
          </w:tcPr>
          <w:p>
            <w:pPr>
              <w:jc w:val="center"/>
              <w:ind w:left="219"/>
              <w:spacing w:after="0"/>
              <w:rPr>
                <w:sz w:val="20"/>
                <w:szCs w:val="20"/>
                <w:color w:val="auto"/>
              </w:rPr>
            </w:pPr>
            <w:r>
              <w:rPr>
                <w:rFonts w:ascii="Arial" w:cs="Arial" w:eastAsia="Arial" w:hAnsi="Arial"/>
                <w:sz w:val="16"/>
                <w:szCs w:val="16"/>
                <w:color w:val="auto"/>
              </w:rPr>
              <w:t>(6)%</w:t>
            </w:r>
          </w:p>
        </w:tc>
      </w:tr>
      <w:tr>
        <w:trPr>
          <w:trHeight w:val="219"/>
        </w:trPr>
        <w:tc>
          <w:tcPr>
            <w:tcW w:w="5640" w:type="dxa"/>
            <w:vAlign w:val="bottom"/>
            <w:shd w:val="clear" w:color="auto" w:fill="CEFFE7"/>
          </w:tcPr>
          <w:p>
            <w:pPr>
              <w:ind w:left="140"/>
              <w:spacing w:after="0"/>
              <w:rPr>
                <w:sz w:val="20"/>
                <w:szCs w:val="20"/>
                <w:color w:val="auto"/>
              </w:rPr>
            </w:pPr>
            <w:r>
              <w:rPr>
                <w:rFonts w:ascii="Arial" w:cs="Arial" w:eastAsia="Arial" w:hAnsi="Arial"/>
                <w:sz w:val="16"/>
                <w:szCs w:val="16"/>
                <w:color w:val="auto"/>
              </w:rPr>
              <w:t>Iowa Gas</w:t>
            </w:r>
          </w:p>
        </w:tc>
        <w:tc>
          <w:tcPr>
            <w:tcW w:w="104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rPr>
              <w:t>4,113</w:t>
            </w:r>
          </w:p>
        </w:tc>
        <w:tc>
          <w:tcPr>
            <w:tcW w:w="1860" w:type="dxa"/>
            <w:vAlign w:val="bottom"/>
            <w:shd w:val="clear" w:color="auto" w:fill="CEFFE7"/>
          </w:tcPr>
          <w:p>
            <w:pPr>
              <w:jc w:val="center"/>
              <w:ind w:left="139"/>
              <w:spacing w:after="0"/>
              <w:rPr>
                <w:sz w:val="20"/>
                <w:szCs w:val="20"/>
                <w:color w:val="auto"/>
              </w:rPr>
            </w:pPr>
            <w:r>
              <w:rPr>
                <w:rFonts w:ascii="Arial" w:cs="Arial" w:eastAsia="Arial" w:hAnsi="Arial"/>
                <w:sz w:val="16"/>
                <w:szCs w:val="16"/>
                <w:color w:val="auto"/>
              </w:rPr>
              <w:t>1%</w:t>
            </w:r>
          </w:p>
        </w:tc>
        <w:tc>
          <w:tcPr>
            <w:tcW w:w="1060" w:type="dxa"/>
            <w:vAlign w:val="bottom"/>
            <w:shd w:val="clear" w:color="auto" w:fill="CEFFE7"/>
          </w:tcPr>
          <w:p>
            <w:pPr>
              <w:jc w:val="center"/>
              <w:ind w:left="79"/>
              <w:spacing w:after="0"/>
              <w:rPr>
                <w:sz w:val="20"/>
                <w:szCs w:val="20"/>
                <w:color w:val="auto"/>
              </w:rPr>
            </w:pPr>
            <w:r>
              <w:rPr>
                <w:rFonts w:ascii="Arial" w:cs="Arial" w:eastAsia="Arial" w:hAnsi="Arial"/>
                <w:sz w:val="16"/>
                <w:szCs w:val="16"/>
                <w:color w:val="auto"/>
              </w:rPr>
              <w:t>3,964</w:t>
            </w:r>
          </w:p>
        </w:tc>
        <w:tc>
          <w:tcPr>
            <w:tcW w:w="1640" w:type="dxa"/>
            <w:vAlign w:val="bottom"/>
            <w:shd w:val="clear" w:color="auto" w:fill="CEFFE7"/>
          </w:tcPr>
          <w:p>
            <w:pPr>
              <w:jc w:val="center"/>
              <w:ind w:left="219"/>
              <w:spacing w:after="0"/>
              <w:rPr>
                <w:sz w:val="20"/>
                <w:szCs w:val="20"/>
                <w:color w:val="auto"/>
              </w:rPr>
            </w:pPr>
            <w:r>
              <w:rPr>
                <w:rFonts w:ascii="Arial" w:cs="Arial" w:eastAsia="Arial" w:hAnsi="Arial"/>
                <w:sz w:val="16"/>
                <w:szCs w:val="16"/>
                <w:color w:val="auto"/>
              </w:rPr>
              <w:t>(2)%</w:t>
            </w:r>
          </w:p>
        </w:tc>
      </w:tr>
      <w:tr>
        <w:trPr>
          <w:trHeight w:val="216"/>
        </w:trPr>
        <w:tc>
          <w:tcPr>
            <w:tcW w:w="56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Kansas Gas </w:t>
            </w:r>
            <w:r>
              <w:rPr>
                <w:rFonts w:ascii="Arial" w:cs="Arial" w:eastAsia="Arial" w:hAnsi="Arial"/>
                <w:sz w:val="21"/>
                <w:szCs w:val="21"/>
                <w:color w:val="auto"/>
                <w:vertAlign w:val="superscript"/>
              </w:rPr>
              <w:t>(a)</w:t>
            </w:r>
          </w:p>
        </w:tc>
        <w:tc>
          <w:tcPr>
            <w:tcW w:w="1040" w:type="dxa"/>
            <w:vAlign w:val="bottom"/>
          </w:tcPr>
          <w:p>
            <w:pPr>
              <w:jc w:val="center"/>
              <w:ind w:left="179"/>
              <w:spacing w:after="0"/>
              <w:rPr>
                <w:sz w:val="20"/>
                <w:szCs w:val="20"/>
                <w:color w:val="auto"/>
              </w:rPr>
            </w:pPr>
            <w:r>
              <w:rPr>
                <w:rFonts w:ascii="Arial" w:cs="Arial" w:eastAsia="Arial" w:hAnsi="Arial"/>
                <w:sz w:val="16"/>
                <w:szCs w:val="16"/>
                <w:color w:val="auto"/>
              </w:rPr>
              <w:t>3,069</w:t>
            </w:r>
          </w:p>
        </w:tc>
        <w:tc>
          <w:tcPr>
            <w:tcW w:w="1860" w:type="dxa"/>
            <w:vAlign w:val="bottom"/>
          </w:tcPr>
          <w:p>
            <w:pPr>
              <w:jc w:val="center"/>
              <w:ind w:left="139"/>
              <w:spacing w:after="0"/>
              <w:rPr>
                <w:sz w:val="20"/>
                <w:szCs w:val="20"/>
                <w:color w:val="auto"/>
              </w:rPr>
            </w:pPr>
            <w:r>
              <w:rPr>
                <w:rFonts w:ascii="Arial" w:cs="Arial" w:eastAsia="Arial" w:hAnsi="Arial"/>
                <w:sz w:val="16"/>
                <w:szCs w:val="16"/>
                <w:color w:val="auto"/>
              </w:rPr>
              <w:t>5%</w:t>
            </w:r>
          </w:p>
        </w:tc>
        <w:tc>
          <w:tcPr>
            <w:tcW w:w="1060" w:type="dxa"/>
            <w:vAlign w:val="bottom"/>
          </w:tcPr>
          <w:p>
            <w:pPr>
              <w:jc w:val="center"/>
              <w:ind w:left="79"/>
              <w:spacing w:after="0"/>
              <w:rPr>
                <w:sz w:val="20"/>
                <w:szCs w:val="20"/>
                <w:color w:val="auto"/>
              </w:rPr>
            </w:pPr>
            <w:r>
              <w:rPr>
                <w:rFonts w:ascii="Arial" w:cs="Arial" w:eastAsia="Arial" w:hAnsi="Arial"/>
                <w:sz w:val="16"/>
                <w:szCs w:val="16"/>
                <w:color w:val="auto"/>
              </w:rPr>
              <w:t>2,781</w:t>
            </w:r>
          </w:p>
        </w:tc>
        <w:tc>
          <w:tcPr>
            <w:tcW w:w="1640" w:type="dxa"/>
            <w:vAlign w:val="bottom"/>
          </w:tcPr>
          <w:p>
            <w:pPr>
              <w:jc w:val="center"/>
              <w:ind w:left="219"/>
              <w:spacing w:after="0"/>
              <w:rPr>
                <w:sz w:val="20"/>
                <w:szCs w:val="20"/>
                <w:color w:val="auto"/>
              </w:rPr>
            </w:pPr>
            <w:r>
              <w:rPr>
                <w:rFonts w:ascii="Arial" w:cs="Arial" w:eastAsia="Arial" w:hAnsi="Arial"/>
                <w:sz w:val="16"/>
                <w:szCs w:val="16"/>
                <w:color w:val="auto"/>
              </w:rPr>
              <w:t>(4)%</w:t>
            </w:r>
          </w:p>
        </w:tc>
      </w:tr>
      <w:tr>
        <w:trPr>
          <w:trHeight w:val="216"/>
        </w:trPr>
        <w:tc>
          <w:tcPr>
            <w:tcW w:w="5640" w:type="dxa"/>
            <w:vAlign w:val="bottom"/>
            <w:shd w:val="clear" w:color="auto" w:fill="CEFFE7"/>
          </w:tcPr>
          <w:p>
            <w:pPr>
              <w:ind w:left="140"/>
              <w:spacing w:after="0"/>
              <w:rPr>
                <w:sz w:val="20"/>
                <w:szCs w:val="20"/>
                <w:color w:val="auto"/>
              </w:rPr>
            </w:pPr>
            <w:r>
              <w:rPr>
                <w:rFonts w:ascii="Arial" w:cs="Arial" w:eastAsia="Arial" w:hAnsi="Arial"/>
                <w:sz w:val="16"/>
                <w:szCs w:val="16"/>
                <w:color w:val="auto"/>
              </w:rPr>
              <w:t>Nebraska Gas</w:t>
            </w:r>
          </w:p>
        </w:tc>
        <w:tc>
          <w:tcPr>
            <w:tcW w:w="104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rPr>
              <w:t>3,721</w:t>
            </w:r>
          </w:p>
        </w:tc>
        <w:tc>
          <w:tcPr>
            <w:tcW w:w="1860" w:type="dxa"/>
            <w:vAlign w:val="bottom"/>
            <w:shd w:val="clear" w:color="auto" w:fill="CEFFE7"/>
          </w:tcPr>
          <w:p>
            <w:pPr>
              <w:jc w:val="center"/>
              <w:ind w:left="139"/>
              <w:spacing w:after="0"/>
              <w:rPr>
                <w:sz w:val="20"/>
                <w:szCs w:val="20"/>
                <w:color w:val="auto"/>
              </w:rPr>
            </w:pPr>
            <w:r>
              <w:rPr>
                <w:rFonts w:ascii="Arial" w:cs="Arial" w:eastAsia="Arial" w:hAnsi="Arial"/>
                <w:sz w:val="16"/>
                <w:szCs w:val="16"/>
                <w:color w:val="auto"/>
              </w:rPr>
              <w:t>1%</w:t>
            </w:r>
          </w:p>
        </w:tc>
        <w:tc>
          <w:tcPr>
            <w:tcW w:w="1060" w:type="dxa"/>
            <w:vAlign w:val="bottom"/>
            <w:shd w:val="clear" w:color="auto" w:fill="CEFFE7"/>
          </w:tcPr>
          <w:p>
            <w:pPr>
              <w:jc w:val="center"/>
              <w:ind w:left="79"/>
              <w:spacing w:after="0"/>
              <w:rPr>
                <w:sz w:val="20"/>
                <w:szCs w:val="20"/>
                <w:color w:val="auto"/>
              </w:rPr>
            </w:pPr>
            <w:r>
              <w:rPr>
                <w:rFonts w:ascii="Arial" w:cs="Arial" w:eastAsia="Arial" w:hAnsi="Arial"/>
                <w:sz w:val="16"/>
                <w:szCs w:val="16"/>
                <w:color w:val="auto"/>
              </w:rPr>
              <w:t>3,527</w:t>
            </w:r>
          </w:p>
        </w:tc>
        <w:tc>
          <w:tcPr>
            <w:tcW w:w="1640" w:type="dxa"/>
            <w:vAlign w:val="bottom"/>
            <w:shd w:val="clear" w:color="auto" w:fill="CEFFE7"/>
          </w:tcPr>
          <w:p>
            <w:pPr>
              <w:jc w:val="center"/>
              <w:ind w:left="219"/>
              <w:spacing w:after="0"/>
              <w:rPr>
                <w:sz w:val="20"/>
                <w:szCs w:val="20"/>
                <w:color w:val="auto"/>
              </w:rPr>
            </w:pPr>
            <w:r>
              <w:rPr>
                <w:rFonts w:ascii="Arial" w:cs="Arial" w:eastAsia="Arial" w:hAnsi="Arial"/>
                <w:sz w:val="16"/>
                <w:szCs w:val="16"/>
                <w:color w:val="auto"/>
              </w:rPr>
              <w:t>(4)%</w:t>
            </w:r>
          </w:p>
        </w:tc>
      </w:tr>
      <w:tr>
        <w:trPr>
          <w:trHeight w:val="213"/>
        </w:trPr>
        <w:tc>
          <w:tcPr>
            <w:tcW w:w="5640" w:type="dxa"/>
            <w:vAlign w:val="bottom"/>
          </w:tcPr>
          <w:p>
            <w:pPr>
              <w:ind w:left="140"/>
              <w:spacing w:after="0"/>
              <w:rPr>
                <w:sz w:val="20"/>
                <w:szCs w:val="20"/>
                <w:color w:val="auto"/>
              </w:rPr>
            </w:pPr>
            <w:r>
              <w:rPr>
                <w:rFonts w:ascii="Arial" w:cs="Arial" w:eastAsia="Arial" w:hAnsi="Arial"/>
                <w:sz w:val="16"/>
                <w:szCs w:val="16"/>
                <w:color w:val="auto"/>
              </w:rPr>
              <w:t>Wyoming Gas</w:t>
            </w:r>
          </w:p>
        </w:tc>
        <w:tc>
          <w:tcPr>
            <w:tcW w:w="1040" w:type="dxa"/>
            <w:vAlign w:val="bottom"/>
          </w:tcPr>
          <w:p>
            <w:pPr>
              <w:jc w:val="center"/>
              <w:ind w:left="179"/>
              <w:spacing w:after="0"/>
              <w:rPr>
                <w:sz w:val="20"/>
                <w:szCs w:val="20"/>
                <w:color w:val="auto"/>
              </w:rPr>
            </w:pPr>
            <w:r>
              <w:rPr>
                <w:rFonts w:ascii="Arial" w:cs="Arial" w:eastAsia="Arial" w:hAnsi="Arial"/>
                <w:sz w:val="16"/>
                <w:szCs w:val="16"/>
                <w:color w:val="auto"/>
              </w:rPr>
              <w:t>4,625</w:t>
            </w:r>
          </w:p>
        </w:tc>
        <w:tc>
          <w:tcPr>
            <w:tcW w:w="1860" w:type="dxa"/>
            <w:vAlign w:val="bottom"/>
          </w:tcPr>
          <w:p>
            <w:pPr>
              <w:jc w:val="center"/>
              <w:ind w:left="139"/>
              <w:spacing w:after="0"/>
              <w:rPr>
                <w:sz w:val="20"/>
                <w:szCs w:val="20"/>
                <w:color w:val="auto"/>
              </w:rPr>
            </w:pPr>
            <w:r>
              <w:rPr>
                <w:rFonts w:ascii="Arial" w:cs="Arial" w:eastAsia="Arial" w:hAnsi="Arial"/>
                <w:sz w:val="16"/>
                <w:szCs w:val="16"/>
                <w:color w:val="auto"/>
              </w:rPr>
              <w:t>5%</w:t>
            </w:r>
          </w:p>
        </w:tc>
        <w:tc>
          <w:tcPr>
            <w:tcW w:w="1060" w:type="dxa"/>
            <w:vAlign w:val="bottom"/>
          </w:tcPr>
          <w:p>
            <w:pPr>
              <w:jc w:val="center"/>
              <w:ind w:left="79"/>
              <w:spacing w:after="0"/>
              <w:rPr>
                <w:sz w:val="20"/>
                <w:szCs w:val="20"/>
                <w:color w:val="auto"/>
              </w:rPr>
            </w:pPr>
            <w:r>
              <w:rPr>
                <w:rFonts w:ascii="Arial" w:cs="Arial" w:eastAsia="Arial" w:hAnsi="Arial"/>
                <w:sz w:val="16"/>
                <w:szCs w:val="16"/>
                <w:color w:val="auto"/>
              </w:rPr>
              <w:t>4,433</w:t>
            </w:r>
          </w:p>
        </w:tc>
        <w:tc>
          <w:tcPr>
            <w:tcW w:w="1640" w:type="dxa"/>
            <w:vAlign w:val="bottom"/>
          </w:tcPr>
          <w:p>
            <w:pPr>
              <w:jc w:val="center"/>
              <w:ind w:left="239"/>
              <w:spacing w:after="0"/>
              <w:rPr>
                <w:sz w:val="20"/>
                <w:szCs w:val="20"/>
                <w:color w:val="auto"/>
              </w:rPr>
            </w:pPr>
            <w:r>
              <w:rPr>
                <w:rFonts w:ascii="Arial" w:cs="Arial" w:eastAsia="Arial" w:hAnsi="Arial"/>
                <w:sz w:val="16"/>
                <w:szCs w:val="16"/>
                <w:color w:val="auto"/>
              </w:rPr>
              <w:t>1%</w:t>
            </w:r>
          </w:p>
        </w:tc>
      </w:tr>
      <w:tr>
        <w:trPr>
          <w:trHeight w:val="219"/>
        </w:trPr>
        <w:tc>
          <w:tcPr>
            <w:tcW w:w="5640" w:type="dxa"/>
            <w:vAlign w:val="bottom"/>
            <w:shd w:val="clear" w:color="auto" w:fill="CEFFE7"/>
          </w:tcPr>
          <w:p>
            <w:pPr>
              <w:ind w:left="140"/>
              <w:spacing w:after="0" w:line="219" w:lineRule="exact"/>
              <w:rPr>
                <w:sz w:val="20"/>
                <w:szCs w:val="20"/>
                <w:color w:val="auto"/>
              </w:rPr>
            </w:pPr>
            <w:r>
              <w:rPr>
                <w:rFonts w:ascii="Arial" w:cs="Arial" w:eastAsia="Arial" w:hAnsi="Arial"/>
                <w:sz w:val="16"/>
                <w:szCs w:val="16"/>
                <w:color w:val="auto"/>
              </w:rPr>
              <w:t xml:space="preserve">Combined Gas </w:t>
            </w:r>
            <w:r>
              <w:rPr>
                <w:rFonts w:ascii="Arial" w:cs="Arial" w:eastAsia="Arial" w:hAnsi="Arial"/>
                <w:sz w:val="21"/>
                <w:szCs w:val="21"/>
                <w:color w:val="auto"/>
                <w:vertAlign w:val="superscript"/>
              </w:rPr>
              <w:t>(b)</w:t>
            </w:r>
          </w:p>
        </w:tc>
        <w:tc>
          <w:tcPr>
            <w:tcW w:w="104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rPr>
              <w:t>3,925</w:t>
            </w:r>
          </w:p>
        </w:tc>
        <w:tc>
          <w:tcPr>
            <w:tcW w:w="1860" w:type="dxa"/>
            <w:vAlign w:val="bottom"/>
            <w:shd w:val="clear" w:color="auto" w:fill="CEFFE7"/>
          </w:tcPr>
          <w:p>
            <w:pPr>
              <w:jc w:val="center"/>
              <w:ind w:left="139"/>
              <w:spacing w:after="0"/>
              <w:rPr>
                <w:sz w:val="20"/>
                <w:szCs w:val="20"/>
                <w:color w:val="auto"/>
              </w:rPr>
            </w:pPr>
            <w:r>
              <w:rPr>
                <w:rFonts w:ascii="Arial" w:cs="Arial" w:eastAsia="Arial" w:hAnsi="Arial"/>
                <w:sz w:val="16"/>
                <w:szCs w:val="16"/>
                <w:color w:val="auto"/>
              </w:rPr>
              <w:t>2%</w:t>
            </w:r>
          </w:p>
        </w:tc>
        <w:tc>
          <w:tcPr>
            <w:tcW w:w="1060" w:type="dxa"/>
            <w:vAlign w:val="bottom"/>
            <w:shd w:val="clear" w:color="auto" w:fill="CEFFE7"/>
          </w:tcPr>
          <w:p>
            <w:pPr>
              <w:jc w:val="center"/>
              <w:ind w:left="79"/>
              <w:spacing w:after="0"/>
              <w:rPr>
                <w:sz w:val="20"/>
                <w:szCs w:val="20"/>
                <w:color w:val="auto"/>
              </w:rPr>
            </w:pPr>
            <w:r>
              <w:rPr>
                <w:rFonts w:ascii="Arial" w:cs="Arial" w:eastAsia="Arial" w:hAnsi="Arial"/>
                <w:sz w:val="16"/>
                <w:szCs w:val="16"/>
                <w:color w:val="auto"/>
              </w:rPr>
              <w:t>3,606</w:t>
            </w:r>
          </w:p>
        </w:tc>
        <w:tc>
          <w:tcPr>
            <w:tcW w:w="1640" w:type="dxa"/>
            <w:vAlign w:val="bottom"/>
            <w:shd w:val="clear" w:color="auto" w:fill="CEFFE7"/>
          </w:tcPr>
          <w:p>
            <w:pPr>
              <w:jc w:val="center"/>
              <w:ind w:left="219"/>
              <w:spacing w:after="0"/>
              <w:rPr>
                <w:sz w:val="20"/>
                <w:szCs w:val="20"/>
                <w:color w:val="auto"/>
              </w:rPr>
            </w:pPr>
            <w:r>
              <w:rPr>
                <w:rFonts w:ascii="Arial" w:cs="Arial" w:eastAsia="Arial" w:hAnsi="Arial"/>
                <w:sz w:val="16"/>
                <w:szCs w:val="16"/>
                <w:color w:val="auto"/>
              </w:rPr>
              <w:t>(4)%</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Arkansas Gas and Kansas Gas have weather normalization mechanisms that mitigate the weather impact on gross margins.</w:t>
      </w:r>
    </w:p>
    <w:p>
      <w:pPr>
        <w:spacing w:after="0" w:line="1" w:lineRule="exact"/>
        <w:rPr>
          <w:rFonts w:ascii="Arial" w:cs="Arial" w:eastAsia="Arial" w:hAnsi="Arial"/>
          <w:sz w:val="14"/>
          <w:szCs w:val="14"/>
          <w:color w:val="auto"/>
        </w:rPr>
      </w:pPr>
    </w:p>
    <w:p>
      <w:pPr>
        <w:ind w:left="340" w:right="520" w:hanging="332"/>
        <w:spacing w:after="0" w:line="258" w:lineRule="auto"/>
        <w:tabs>
          <w:tab w:leader="none" w:pos="349"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combined heating degree days are calculated based on a weighted average of total customers by state excluding Kansas Gas due to its weather normalization mechanism. Arkansas Gas is partially excluded based on the weather normalization mechanism in effect from November through April.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Matters</w:t>
      </w:r>
    </w:p>
    <w:p>
      <w:pPr>
        <w:spacing w:after="0" w:line="268" w:lineRule="exact"/>
        <w:rPr>
          <w:sz w:val="20"/>
          <w:szCs w:val="20"/>
          <w:color w:val="auto"/>
        </w:rPr>
      </w:pPr>
    </w:p>
    <w:p>
      <w:pPr>
        <w:ind w:right="26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For more information on recent regulatory activity and enacted regulatory provisions with respect to the states in which our Utilities operate, see </w:t>
      </w:r>
      <w:hyperlink w:anchor="page15">
        <w:r>
          <w:rPr>
            <w:rFonts w:ascii="Arial" w:cs="Arial" w:eastAsia="Arial" w:hAnsi="Arial"/>
            <w:sz w:val="16"/>
            <w:szCs w:val="16"/>
            <w:u w:val="single" w:color="auto"/>
            <w:color w:val="0000FF"/>
          </w:rPr>
          <w:t>Note 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and Part I, Items 1 and 2 and Part II, Item 8 of our 2020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Power Generation</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Our Power Generation segment operating results were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5"/>
          </w:tcPr>
          <w:p>
            <w:pPr>
              <w:jc w:val="right"/>
              <w:ind w:right="459"/>
              <w:spacing w:after="0"/>
              <w:rPr>
                <w:sz w:val="20"/>
                <w:szCs w:val="20"/>
                <w:color w:val="auto"/>
              </w:rPr>
            </w:pPr>
            <w:r>
              <w:rPr>
                <w:rFonts w:ascii="Arial" w:cs="Arial" w:eastAsia="Arial" w:hAnsi="Arial"/>
                <w:sz w:val="16"/>
                <w:szCs w:val="16"/>
                <w:color w:val="auto"/>
              </w:rPr>
              <w:t>Three Months Ended June 30,</w:t>
            </w:r>
          </w:p>
        </w:tc>
        <w:tc>
          <w:tcPr>
            <w:tcW w:w="240" w:type="dxa"/>
            <w:vAlign w:val="bottom"/>
          </w:tcPr>
          <w:p>
            <w:pPr>
              <w:spacing w:after="0"/>
              <w:rPr>
                <w:sz w:val="16"/>
                <w:szCs w:val="16"/>
                <w:color w:val="auto"/>
              </w:rPr>
            </w:pPr>
          </w:p>
        </w:tc>
        <w:tc>
          <w:tcPr>
            <w:tcW w:w="3000" w:type="dxa"/>
            <w:vAlign w:val="bottom"/>
            <w:gridSpan w:val="5"/>
          </w:tcPr>
          <w:p>
            <w:pPr>
              <w:jc w:val="right"/>
              <w:ind w:right="539"/>
              <w:spacing w:after="0"/>
              <w:rPr>
                <w:sz w:val="20"/>
                <w:szCs w:val="20"/>
                <w:color w:val="auto"/>
              </w:rPr>
            </w:pPr>
            <w:r>
              <w:rPr>
                <w:rFonts w:ascii="Arial" w:cs="Arial" w:eastAsia="Arial" w:hAnsi="Arial"/>
                <w:sz w:val="16"/>
                <w:szCs w:val="16"/>
                <w:color w:val="auto"/>
              </w:rPr>
              <w:t>Six Months Ended June 30,</w:t>
            </w:r>
          </w:p>
        </w:tc>
      </w:tr>
      <w:tr>
        <w:trPr>
          <w:trHeight w:val="219"/>
        </w:trPr>
        <w:tc>
          <w:tcPr>
            <w:tcW w:w="4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Variance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Variance</w:t>
            </w:r>
          </w:p>
        </w:tc>
      </w:tr>
      <w:tr>
        <w:trPr>
          <w:trHeight w:val="253"/>
        </w:trPr>
        <w:tc>
          <w:tcPr>
            <w:tcW w:w="4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3"/>
        </w:trPr>
        <w:tc>
          <w:tcPr>
            <w:tcW w:w="4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25,348</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26,122</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(774)</w:t>
            </w:r>
          </w:p>
        </w:tc>
        <w:tc>
          <w:tcPr>
            <w:tcW w:w="2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54,511</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52,088</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2,423</w:t>
            </w:r>
          </w:p>
        </w:tc>
      </w:tr>
      <w:tr>
        <w:trPr>
          <w:trHeight w:val="253"/>
        </w:trPr>
        <w:tc>
          <w:tcPr>
            <w:tcW w:w="4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6"/>
        </w:trPr>
        <w:tc>
          <w:tcPr>
            <w:tcW w:w="4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Fuel expense</w:t>
            </w:r>
          </w:p>
        </w:tc>
        <w:tc>
          <w:tcPr>
            <w:tcW w:w="240" w:type="dxa"/>
            <w:vAlign w:val="bottom"/>
            <w:shd w:val="clear" w:color="auto" w:fill="CEFFE7"/>
          </w:tcPr>
          <w:p>
            <w:pPr>
              <w:spacing w:after="0"/>
              <w:rPr>
                <w:sz w:val="18"/>
                <w:szCs w:val="18"/>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2,621</w:t>
            </w:r>
          </w:p>
        </w:tc>
        <w:tc>
          <w:tcPr>
            <w:tcW w:w="260" w:type="dxa"/>
            <w:vAlign w:val="bottom"/>
            <w:shd w:val="clear" w:color="auto" w:fill="CEFFE7"/>
          </w:tcPr>
          <w:p>
            <w:pPr>
              <w:spacing w:after="0"/>
              <w:rPr>
                <w:sz w:val="18"/>
                <w:szCs w:val="18"/>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2,087</w:t>
            </w:r>
          </w:p>
        </w:tc>
        <w:tc>
          <w:tcPr>
            <w:tcW w:w="180" w:type="dxa"/>
            <w:vAlign w:val="bottom"/>
            <w:shd w:val="clear" w:color="auto" w:fill="CEFFE7"/>
          </w:tcPr>
          <w:p>
            <w:pPr>
              <w:spacing w:after="0"/>
              <w:rPr>
                <w:sz w:val="18"/>
                <w:szCs w:val="18"/>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534</w:t>
            </w:r>
          </w:p>
        </w:tc>
        <w:tc>
          <w:tcPr>
            <w:tcW w:w="240" w:type="dxa"/>
            <w:vAlign w:val="bottom"/>
            <w:shd w:val="clear" w:color="auto" w:fill="CEFFE7"/>
          </w:tcPr>
          <w:p>
            <w:pPr>
              <w:spacing w:after="0"/>
              <w:rPr>
                <w:sz w:val="18"/>
                <w:szCs w:val="18"/>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5,292</w:t>
            </w:r>
          </w:p>
        </w:tc>
        <w:tc>
          <w:tcPr>
            <w:tcW w:w="260" w:type="dxa"/>
            <w:vAlign w:val="bottom"/>
            <w:shd w:val="clear" w:color="auto" w:fill="CEFFE7"/>
          </w:tcPr>
          <w:p>
            <w:pPr>
              <w:spacing w:after="0"/>
              <w:rPr>
                <w:sz w:val="18"/>
                <w:szCs w:val="18"/>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4,372</w:t>
            </w:r>
          </w:p>
        </w:tc>
        <w:tc>
          <w:tcPr>
            <w:tcW w:w="180" w:type="dxa"/>
            <w:vAlign w:val="bottom"/>
            <w:shd w:val="clear" w:color="auto" w:fill="CEFFE7"/>
          </w:tcPr>
          <w:p>
            <w:pPr>
              <w:spacing w:after="0"/>
              <w:rPr>
                <w:sz w:val="18"/>
                <w:szCs w:val="18"/>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920</w:t>
            </w:r>
          </w:p>
        </w:tc>
      </w:tr>
      <w:tr>
        <w:trPr>
          <w:trHeight w:val="213"/>
        </w:trPr>
        <w:tc>
          <w:tcPr>
            <w:tcW w:w="4760" w:type="dxa"/>
            <w:vAlign w:val="bottom"/>
          </w:tcPr>
          <w:p>
            <w:pPr>
              <w:ind w:left="20"/>
              <w:spacing w:after="0"/>
              <w:rPr>
                <w:sz w:val="20"/>
                <w:szCs w:val="20"/>
                <w:color w:val="auto"/>
              </w:rPr>
            </w:pPr>
            <w:r>
              <w:rPr>
                <w:rFonts w:ascii="Arial" w:cs="Arial" w:eastAsia="Arial" w:hAnsi="Arial"/>
                <w:sz w:val="16"/>
                <w:szCs w:val="16"/>
                <w:color w:val="auto"/>
              </w:rPr>
              <w:t>Operations and maintenance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9,322</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7,350</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1,972</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16,680</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14,347</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2,333</w:t>
            </w:r>
          </w:p>
        </w:tc>
      </w:tr>
      <w:tr>
        <w:trPr>
          <w:trHeight w:val="216"/>
        </w:trPr>
        <w:tc>
          <w:tcPr>
            <w:tcW w:w="4760" w:type="dxa"/>
            <w:vAlign w:val="bottom"/>
            <w:shd w:val="clear" w:color="auto" w:fill="CEFFE7"/>
          </w:tcPr>
          <w:p>
            <w:pPr>
              <w:ind w:left="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5,155</w:t>
            </w:r>
          </w:p>
        </w:tc>
        <w:tc>
          <w:tcPr>
            <w:tcW w:w="26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5,283</w:t>
            </w:r>
          </w:p>
        </w:tc>
        <w:tc>
          <w:tcPr>
            <w:tcW w:w="180" w:type="dxa"/>
            <w:vAlign w:val="bottom"/>
            <w:tcBorders>
              <w:bottom w:val="single" w:sz="8" w:color="auto"/>
            </w:tcBorders>
            <w:shd w:val="clear" w:color="auto" w:fill="CEFFE7"/>
          </w:tcPr>
          <w:p>
            <w:pPr>
              <w:spacing w:after="0"/>
              <w:rPr>
                <w:sz w:val="18"/>
                <w:szCs w:val="18"/>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(128)</w:t>
            </w:r>
          </w:p>
        </w:tc>
        <w:tc>
          <w:tcPr>
            <w:tcW w:w="24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10,020</w:t>
            </w:r>
          </w:p>
        </w:tc>
        <w:tc>
          <w:tcPr>
            <w:tcW w:w="260" w:type="dxa"/>
            <w:vAlign w:val="bottom"/>
            <w:tcBorders>
              <w:bottom w:val="single" w:sz="8" w:color="auto"/>
            </w:tcBorders>
            <w:shd w:val="clear" w:color="auto" w:fill="CEFFE7"/>
          </w:tcPr>
          <w:p>
            <w:pPr>
              <w:spacing w:after="0"/>
              <w:rPr>
                <w:sz w:val="18"/>
                <w:szCs w:val="18"/>
                <w:color w:val="auto"/>
              </w:rPr>
            </w:pP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10,618</w:t>
            </w:r>
          </w:p>
        </w:tc>
        <w:tc>
          <w:tcPr>
            <w:tcW w:w="180" w:type="dxa"/>
            <w:vAlign w:val="bottom"/>
            <w:tcBorders>
              <w:bottom w:val="single" w:sz="8" w:color="auto"/>
            </w:tcBorders>
            <w:shd w:val="clear" w:color="auto" w:fill="CEFFE7"/>
          </w:tcPr>
          <w:p>
            <w:pPr>
              <w:spacing w:after="0"/>
              <w:rPr>
                <w:sz w:val="18"/>
                <w:szCs w:val="18"/>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(598)</w:t>
            </w:r>
          </w:p>
        </w:tc>
      </w:tr>
      <w:tr>
        <w:trPr>
          <w:trHeight w:val="209"/>
        </w:trPr>
        <w:tc>
          <w:tcPr>
            <w:tcW w:w="4760" w:type="dxa"/>
            <w:vAlign w:val="bottom"/>
            <w:tcBorders>
              <w:bottom w:val="single" w:sz="8" w:color="CEFFE7"/>
            </w:tcBorders>
          </w:tcPr>
          <w:p>
            <w:pPr>
              <w:ind w:left="560"/>
              <w:spacing w:after="0"/>
              <w:rPr>
                <w:sz w:val="20"/>
                <w:szCs w:val="20"/>
                <w:color w:val="auto"/>
              </w:rPr>
            </w:pPr>
            <w:r>
              <w:rPr>
                <w:rFonts w:ascii="Arial" w:cs="Arial" w:eastAsia="Arial" w:hAnsi="Arial"/>
                <w:sz w:val="16"/>
                <w:szCs w:val="16"/>
                <w:color w:val="auto"/>
              </w:rPr>
              <w:t>Total operating expense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17,098</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14,720</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2,378</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31,992</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29,337</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2,655</w:t>
            </w:r>
          </w:p>
        </w:tc>
      </w:tr>
      <w:tr>
        <w:trPr>
          <w:trHeight w:val="253"/>
        </w:trPr>
        <w:tc>
          <w:tcPr>
            <w:tcW w:w="4760" w:type="dxa"/>
            <w:vAlign w:val="bottom"/>
            <w:shd w:val="clear" w:color="auto" w:fill="CEFFE7"/>
          </w:tcPr>
          <w:p>
            <w:pPr>
              <w:spacing w:after="0"/>
              <w:rPr>
                <w:sz w:val="22"/>
                <w:szCs w:val="22"/>
                <w:color w:val="auto"/>
              </w:rPr>
            </w:pPr>
          </w:p>
        </w:tc>
        <w:tc>
          <w:tcPr>
            <w:tcW w:w="240" w:type="dxa"/>
            <w:vAlign w:val="bottom"/>
            <w:tcBorders>
              <w:bottom w:val="single" w:sz="8" w:color="auto"/>
            </w:tcBorders>
            <w:shd w:val="clear" w:color="auto" w:fill="CEFFE7"/>
          </w:tcPr>
          <w:p>
            <w:pPr>
              <w:spacing w:after="0"/>
              <w:rPr>
                <w:sz w:val="22"/>
                <w:szCs w:val="22"/>
                <w:color w:val="auto"/>
              </w:rPr>
            </w:pPr>
          </w:p>
        </w:tc>
        <w:tc>
          <w:tcPr>
            <w:tcW w:w="820" w:type="dxa"/>
            <w:vAlign w:val="bottom"/>
            <w:tcBorders>
              <w:bottom w:val="single" w:sz="8" w:color="auto"/>
            </w:tcBorders>
            <w:shd w:val="clear" w:color="auto" w:fill="CEFFE7"/>
          </w:tcPr>
          <w:p>
            <w:pPr>
              <w:spacing w:after="0"/>
              <w:rPr>
                <w:sz w:val="22"/>
                <w:szCs w:val="22"/>
                <w:color w:val="auto"/>
              </w:rPr>
            </w:pPr>
          </w:p>
        </w:tc>
        <w:tc>
          <w:tcPr>
            <w:tcW w:w="260" w:type="dxa"/>
            <w:vAlign w:val="bottom"/>
            <w:tcBorders>
              <w:bottom w:val="single" w:sz="8" w:color="auto"/>
            </w:tcBorders>
            <w:shd w:val="clear" w:color="auto" w:fill="CEFFE7"/>
          </w:tcPr>
          <w:p>
            <w:pPr>
              <w:spacing w:after="0"/>
              <w:rPr>
                <w:sz w:val="22"/>
                <w:szCs w:val="22"/>
                <w:color w:val="auto"/>
              </w:rPr>
            </w:pPr>
          </w:p>
        </w:tc>
        <w:tc>
          <w:tcPr>
            <w:tcW w:w="820" w:type="dxa"/>
            <w:vAlign w:val="bottom"/>
            <w:tcBorders>
              <w:bottom w:val="single" w:sz="8" w:color="auto"/>
            </w:tcBorders>
            <w:shd w:val="clear" w:color="auto" w:fill="CEFFE7"/>
          </w:tcPr>
          <w:p>
            <w:pPr>
              <w:spacing w:after="0"/>
              <w:rPr>
                <w:sz w:val="22"/>
                <w:szCs w:val="22"/>
                <w:color w:val="auto"/>
              </w:rPr>
            </w:pPr>
          </w:p>
        </w:tc>
        <w:tc>
          <w:tcPr>
            <w:tcW w:w="180" w:type="dxa"/>
            <w:vAlign w:val="bottom"/>
            <w:tcBorders>
              <w:bottom w:val="single" w:sz="8" w:color="auto"/>
            </w:tcBorders>
            <w:shd w:val="clear" w:color="auto" w:fill="CEFFE7"/>
          </w:tcPr>
          <w:p>
            <w:pPr>
              <w:spacing w:after="0"/>
              <w:rPr>
                <w:sz w:val="22"/>
                <w:szCs w:val="22"/>
                <w:color w:val="auto"/>
              </w:rPr>
            </w:pPr>
          </w:p>
        </w:tc>
        <w:tc>
          <w:tcPr>
            <w:tcW w:w="920" w:type="dxa"/>
            <w:vAlign w:val="bottom"/>
            <w:tcBorders>
              <w:bottom w:val="single" w:sz="8" w:color="auto"/>
            </w:tcBorders>
            <w:shd w:val="clear" w:color="auto" w:fill="CEFFE7"/>
          </w:tcPr>
          <w:p>
            <w:pPr>
              <w:spacing w:after="0"/>
              <w:rPr>
                <w:sz w:val="22"/>
                <w:szCs w:val="22"/>
                <w:color w:val="auto"/>
              </w:rPr>
            </w:pPr>
          </w:p>
        </w:tc>
        <w:tc>
          <w:tcPr>
            <w:tcW w:w="240" w:type="dxa"/>
            <w:vAlign w:val="bottom"/>
            <w:tcBorders>
              <w:bottom w:val="single" w:sz="8" w:color="auto"/>
            </w:tcBorders>
            <w:shd w:val="clear" w:color="auto" w:fill="CEFFE7"/>
          </w:tcPr>
          <w:p>
            <w:pPr>
              <w:spacing w:after="0"/>
              <w:rPr>
                <w:sz w:val="22"/>
                <w:szCs w:val="22"/>
                <w:color w:val="auto"/>
              </w:rPr>
            </w:pPr>
          </w:p>
        </w:tc>
        <w:tc>
          <w:tcPr>
            <w:tcW w:w="820" w:type="dxa"/>
            <w:vAlign w:val="bottom"/>
            <w:tcBorders>
              <w:bottom w:val="single" w:sz="8" w:color="auto"/>
            </w:tcBorders>
            <w:shd w:val="clear" w:color="auto" w:fill="CEFFE7"/>
          </w:tcPr>
          <w:p>
            <w:pPr>
              <w:spacing w:after="0"/>
              <w:rPr>
                <w:sz w:val="22"/>
                <w:szCs w:val="22"/>
                <w:color w:val="auto"/>
              </w:rPr>
            </w:pPr>
          </w:p>
        </w:tc>
        <w:tc>
          <w:tcPr>
            <w:tcW w:w="260" w:type="dxa"/>
            <w:vAlign w:val="bottom"/>
            <w:tcBorders>
              <w:bottom w:val="single" w:sz="8" w:color="auto"/>
            </w:tcBorders>
            <w:shd w:val="clear" w:color="auto" w:fill="CEFFE7"/>
          </w:tcPr>
          <w:p>
            <w:pPr>
              <w:spacing w:after="0"/>
              <w:rPr>
                <w:sz w:val="22"/>
                <w:szCs w:val="22"/>
                <w:color w:val="auto"/>
              </w:rPr>
            </w:pPr>
          </w:p>
        </w:tc>
        <w:tc>
          <w:tcPr>
            <w:tcW w:w="820" w:type="dxa"/>
            <w:vAlign w:val="bottom"/>
            <w:tcBorders>
              <w:bottom w:val="single" w:sz="8" w:color="auto"/>
            </w:tcBorders>
            <w:shd w:val="clear" w:color="auto" w:fill="CEFFE7"/>
          </w:tcPr>
          <w:p>
            <w:pPr>
              <w:spacing w:after="0"/>
              <w:rPr>
                <w:sz w:val="22"/>
                <w:szCs w:val="22"/>
                <w:color w:val="auto"/>
              </w:rPr>
            </w:pPr>
          </w:p>
        </w:tc>
        <w:tc>
          <w:tcPr>
            <w:tcW w:w="180" w:type="dxa"/>
            <w:vAlign w:val="bottom"/>
            <w:tcBorders>
              <w:bottom w:val="single" w:sz="8" w:color="auto"/>
            </w:tcBorders>
            <w:shd w:val="clear" w:color="auto" w:fill="CEFFE7"/>
          </w:tcPr>
          <w:p>
            <w:pPr>
              <w:spacing w:after="0"/>
              <w:rPr>
                <w:sz w:val="22"/>
                <w:szCs w:val="22"/>
                <w:color w:val="auto"/>
              </w:rPr>
            </w:pPr>
          </w:p>
        </w:tc>
        <w:tc>
          <w:tcPr>
            <w:tcW w:w="920" w:type="dxa"/>
            <w:vAlign w:val="bottom"/>
            <w:tcBorders>
              <w:bottom w:val="single" w:sz="8" w:color="auto"/>
            </w:tcBorders>
            <w:shd w:val="clear" w:color="auto" w:fill="CEFFE7"/>
          </w:tcPr>
          <w:p>
            <w:pPr>
              <w:spacing w:after="0"/>
              <w:rPr>
                <w:sz w:val="22"/>
                <w:szCs w:val="22"/>
                <w:color w:val="auto"/>
              </w:rPr>
            </w:pPr>
          </w:p>
        </w:tc>
      </w:tr>
      <w:tr>
        <w:trPr>
          <w:trHeight w:val="209"/>
        </w:trPr>
        <w:tc>
          <w:tcPr>
            <w:tcW w:w="4760" w:type="dxa"/>
            <w:vAlign w:val="bottom"/>
          </w:tcPr>
          <w:p>
            <w:pPr>
              <w:ind w:left="20"/>
              <w:spacing w:after="0"/>
              <w:rPr>
                <w:sz w:val="20"/>
                <w:szCs w:val="20"/>
                <w:color w:val="auto"/>
              </w:rPr>
            </w:pPr>
            <w:r>
              <w:rPr>
                <w:rFonts w:ascii="Arial" w:cs="Arial" w:eastAsia="Arial" w:hAnsi="Arial"/>
                <w:sz w:val="16"/>
                <w:szCs w:val="16"/>
                <w:color w:val="auto"/>
              </w:rPr>
              <w:t>Adjusted operating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8,250</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(3,152)</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22,519</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22,751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r>
      <w:tr>
        <w:trPr>
          <w:trHeight w:val="21"/>
        </w:trPr>
        <w:tc>
          <w:tcPr>
            <w:tcW w:w="4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June 30, 2021 Compared to the Three Months Ended June 30, 2020:</w:t>
      </w:r>
    </w:p>
    <w:p>
      <w:pPr>
        <w:spacing w:after="0" w:line="24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decrease in current year operating income was primarily driven by a current year planned outage at Pueblo Airport Generation and the timing of current year and prior year planned outages at the Gillette, Wyoming energy complex.</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2021 Compared to the Six Months Ended June 30, 2020:</w:t>
      </w:r>
    </w:p>
    <w:p>
      <w:pPr>
        <w:spacing w:after="0" w:line="248" w:lineRule="exact"/>
        <w:rPr>
          <w:sz w:val="20"/>
          <w:szCs w:val="20"/>
          <w:color w:val="auto"/>
        </w:rPr>
      </w:pPr>
    </w:p>
    <w:p>
      <w:pPr>
        <w:ind w:right="780"/>
        <w:spacing w:after="0" w:line="260" w:lineRule="auto"/>
        <w:rPr>
          <w:sz w:val="20"/>
          <w:szCs w:val="20"/>
          <w:color w:val="auto"/>
        </w:rPr>
      </w:pPr>
      <w:r>
        <w:rPr>
          <w:rFonts w:ascii="Arial" w:cs="Arial" w:eastAsia="Arial" w:hAnsi="Arial"/>
          <w:sz w:val="16"/>
          <w:szCs w:val="16"/>
          <w:color w:val="auto"/>
        </w:rPr>
        <w:t>Operating income was comparable to the same period in the prior year due to negative impacts of a current year planned outage at Pueblo Airport Generation mostly offset by $1.7 million of favorable Winter Storm Uri impacts realized under Black Hills Wyoming’s Economy Energy PSA.</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Statistics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color w:val="auto"/>
              </w:rPr>
              <w:t>Revenue (in thousands)</w:t>
            </w:r>
          </w:p>
        </w:tc>
        <w:tc>
          <w:tcPr>
            <w:tcW w:w="198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color w:val="auto"/>
              </w:rPr>
              <w:t xml:space="preserve">Quantities Sold (MWh) </w:t>
            </w:r>
            <w:r>
              <w:rPr>
                <w:rFonts w:ascii="Arial" w:cs="Arial" w:eastAsia="Arial" w:hAnsi="Arial"/>
                <w:sz w:val="9"/>
                <w:szCs w:val="9"/>
                <w:color w:val="auto"/>
              </w:rPr>
              <w:t>(a)</w:t>
            </w: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color w:val="auto"/>
              </w:rPr>
              <w:t>Revenue (in thousands)</w:t>
            </w:r>
          </w:p>
        </w:tc>
        <w:tc>
          <w:tcPr>
            <w:tcW w:w="198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color w:val="auto"/>
              </w:rPr>
              <w:t xml:space="preserve">Quantities Sold (MWh) </w:t>
            </w:r>
            <w:r>
              <w:rPr>
                <w:rFonts w:ascii="Arial" w:cs="Arial" w:eastAsia="Arial" w:hAnsi="Arial"/>
                <w:sz w:val="9"/>
                <w:szCs w:val="9"/>
                <w:color w:val="auto"/>
              </w:rPr>
              <w:t>(a)</w:t>
            </w:r>
          </w:p>
        </w:tc>
        <w:tc>
          <w:tcPr>
            <w:tcW w:w="0" w:type="dxa"/>
            <w:vAlign w:val="bottom"/>
          </w:tcPr>
          <w:p>
            <w:pPr>
              <w:spacing w:after="0"/>
              <w:rPr>
                <w:sz w:val="1"/>
                <w:szCs w:val="1"/>
                <w:color w:val="auto"/>
              </w:rPr>
            </w:pPr>
          </w:p>
        </w:tc>
      </w:tr>
      <w:tr>
        <w:trPr>
          <w:trHeight w:val="184"/>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20" w:type="dxa"/>
            <w:vAlign w:val="bottom"/>
            <w:gridSpan w:val="3"/>
          </w:tcPr>
          <w:p>
            <w:pPr>
              <w:jc w:val="right"/>
              <w:ind w:right="108"/>
              <w:spacing w:after="0"/>
              <w:rPr>
                <w:sz w:val="20"/>
                <w:szCs w:val="20"/>
                <w:color w:val="auto"/>
              </w:rPr>
            </w:pPr>
            <w:r>
              <w:rPr>
                <w:rFonts w:ascii="Arial" w:cs="Arial" w:eastAsia="Arial" w:hAnsi="Arial"/>
                <w:sz w:val="14"/>
                <w:szCs w:val="14"/>
                <w:color w:val="auto"/>
              </w:rPr>
              <w:t>Three Months Ended June 30,</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2"/>
          </w:tcPr>
          <w:p>
            <w:pPr>
              <w:jc w:val="right"/>
              <w:ind w:right="168"/>
              <w:spacing w:after="0"/>
              <w:rPr>
                <w:sz w:val="20"/>
                <w:szCs w:val="20"/>
                <w:color w:val="auto"/>
              </w:rPr>
            </w:pPr>
            <w:r>
              <w:rPr>
                <w:rFonts w:ascii="Arial" w:cs="Arial" w:eastAsia="Arial" w:hAnsi="Arial"/>
                <w:sz w:val="14"/>
                <w:szCs w:val="14"/>
                <w:color w:val="auto"/>
              </w:rPr>
              <w:t>Six Months Ended 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2020</w:t>
            </w: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2021</w:t>
            </w: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2020</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2021</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2020</w:t>
            </w:r>
          </w:p>
        </w:tc>
        <w:tc>
          <w:tcPr>
            <w:tcW w:w="1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2021</w:t>
            </w: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3200" w:type="dxa"/>
            <w:vAlign w:val="bottom"/>
            <w:shd w:val="clear" w:color="auto" w:fill="CEFFE7"/>
          </w:tcPr>
          <w:p>
            <w:pPr>
              <w:ind w:left="20"/>
              <w:spacing w:after="0"/>
              <w:rPr>
                <w:sz w:val="20"/>
                <w:szCs w:val="20"/>
                <w:color w:val="auto"/>
              </w:rPr>
            </w:pPr>
            <w:r>
              <w:rPr>
                <w:rFonts w:ascii="Arial" w:cs="Arial" w:eastAsia="Arial" w:hAnsi="Arial"/>
                <w:sz w:val="14"/>
                <w:szCs w:val="14"/>
                <w:color w:val="auto"/>
              </w:rPr>
              <w:t>Black Hills Colorado IPP</w:t>
            </w:r>
          </w:p>
        </w:tc>
        <w:tc>
          <w:tcPr>
            <w:tcW w:w="1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13,981</w:t>
            </w:r>
          </w:p>
        </w:tc>
        <w:tc>
          <w:tcPr>
            <w:tcW w:w="24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14,211</w:t>
            </w:r>
          </w:p>
        </w:tc>
        <w:tc>
          <w:tcPr>
            <w:tcW w:w="1140" w:type="dxa"/>
            <w:vAlign w:val="bottom"/>
            <w:shd w:val="clear" w:color="auto" w:fill="CEFFE7"/>
          </w:tcPr>
          <w:p>
            <w:pPr>
              <w:jc w:val="right"/>
              <w:ind w:right="168"/>
              <w:spacing w:after="0"/>
              <w:rPr>
                <w:sz w:val="20"/>
                <w:szCs w:val="20"/>
                <w:color w:val="auto"/>
              </w:rPr>
            </w:pPr>
            <w:r>
              <w:rPr>
                <w:rFonts w:ascii="Arial" w:cs="Arial" w:eastAsia="Arial" w:hAnsi="Arial"/>
                <w:sz w:val="14"/>
                <w:szCs w:val="14"/>
                <w:color w:val="auto"/>
              </w:rPr>
              <w:t>204,065</w:t>
            </w:r>
          </w:p>
        </w:tc>
        <w:tc>
          <w:tcPr>
            <w:tcW w:w="8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263,701</w:t>
            </w:r>
          </w:p>
        </w:tc>
        <w:tc>
          <w:tcPr>
            <w:tcW w:w="1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28,235</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28,390</w:t>
            </w:r>
          </w:p>
        </w:tc>
        <w:tc>
          <w:tcPr>
            <w:tcW w:w="1080" w:type="dxa"/>
            <w:vAlign w:val="bottom"/>
            <w:shd w:val="clear" w:color="auto" w:fill="CEFFE7"/>
          </w:tcPr>
          <w:p>
            <w:pPr>
              <w:jc w:val="right"/>
              <w:ind w:right="128"/>
              <w:spacing w:after="0"/>
              <w:rPr>
                <w:sz w:val="20"/>
                <w:szCs w:val="20"/>
                <w:color w:val="auto"/>
              </w:rPr>
            </w:pPr>
            <w:r>
              <w:rPr>
                <w:rFonts w:ascii="Arial" w:cs="Arial" w:eastAsia="Arial" w:hAnsi="Arial"/>
                <w:sz w:val="14"/>
                <w:szCs w:val="14"/>
                <w:color w:val="auto"/>
              </w:rPr>
              <w:t>443,259</w:t>
            </w:r>
          </w:p>
        </w:tc>
        <w:tc>
          <w:tcPr>
            <w:tcW w:w="9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528,926</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4"/>
                <w:szCs w:val="14"/>
                <w:color w:val="auto"/>
              </w:rPr>
              <w:t xml:space="preserve">Black Hills Wyoming </w:t>
            </w:r>
            <w:r>
              <w:rPr>
                <w:rFonts w:ascii="Arial" w:cs="Arial" w:eastAsia="Arial" w:hAnsi="Arial"/>
                <w:sz w:val="9"/>
                <w:szCs w:val="9"/>
                <w:color w:val="auto"/>
              </w:rPr>
              <w:t>(b)</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10,141</w:t>
            </w:r>
          </w:p>
        </w:tc>
        <w:tc>
          <w:tcPr>
            <w:tcW w:w="24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10,488</w:t>
            </w:r>
          </w:p>
        </w:tc>
        <w:tc>
          <w:tcPr>
            <w:tcW w:w="1140" w:type="dxa"/>
            <w:vAlign w:val="bottom"/>
          </w:tcPr>
          <w:p>
            <w:pPr>
              <w:jc w:val="right"/>
              <w:ind w:right="168"/>
              <w:spacing w:after="0"/>
              <w:rPr>
                <w:sz w:val="20"/>
                <w:szCs w:val="20"/>
                <w:color w:val="auto"/>
              </w:rPr>
            </w:pPr>
            <w:r>
              <w:rPr>
                <w:rFonts w:ascii="Arial" w:cs="Arial" w:eastAsia="Arial" w:hAnsi="Arial"/>
                <w:sz w:val="14"/>
                <w:szCs w:val="14"/>
                <w:color w:val="auto"/>
              </w:rPr>
              <w:t>141,809</w:t>
            </w:r>
          </w:p>
        </w:tc>
        <w:tc>
          <w:tcPr>
            <w:tcW w:w="840" w:type="dxa"/>
            <w:vAlign w:val="bottom"/>
          </w:tcPr>
          <w:p>
            <w:pPr>
              <w:jc w:val="right"/>
              <w:spacing w:after="0"/>
              <w:rPr>
                <w:sz w:val="20"/>
                <w:szCs w:val="20"/>
                <w:color w:val="auto"/>
              </w:rPr>
            </w:pPr>
            <w:r>
              <w:rPr>
                <w:rFonts w:ascii="Arial" w:cs="Arial" w:eastAsia="Arial" w:hAnsi="Arial"/>
                <w:sz w:val="14"/>
                <w:szCs w:val="14"/>
                <w:color w:val="auto"/>
              </w:rPr>
              <w:t>156,866</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23,574</w:t>
            </w:r>
          </w:p>
        </w:tc>
        <w:tc>
          <w:tcPr>
            <w:tcW w:w="16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20,646</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306,766</w:t>
            </w:r>
          </w:p>
        </w:tc>
        <w:tc>
          <w:tcPr>
            <w:tcW w:w="900" w:type="dxa"/>
            <w:vAlign w:val="bottom"/>
          </w:tcPr>
          <w:p>
            <w:pPr>
              <w:jc w:val="right"/>
              <w:spacing w:after="0"/>
              <w:rPr>
                <w:sz w:val="20"/>
                <w:szCs w:val="20"/>
                <w:color w:val="auto"/>
              </w:rPr>
            </w:pPr>
            <w:r>
              <w:rPr>
                <w:rFonts w:ascii="Arial" w:cs="Arial" w:eastAsia="Arial" w:hAnsi="Arial"/>
                <w:sz w:val="14"/>
                <w:szCs w:val="14"/>
                <w:color w:val="auto"/>
              </w:rPr>
              <w:t>313,218</w:t>
            </w:r>
          </w:p>
        </w:tc>
        <w:tc>
          <w:tcPr>
            <w:tcW w:w="0" w:type="dxa"/>
            <w:vAlign w:val="bottom"/>
          </w:tcPr>
          <w:p>
            <w:pPr>
              <w:spacing w:after="0"/>
              <w:rPr>
                <w:sz w:val="1"/>
                <w:szCs w:val="1"/>
                <w:color w:val="auto"/>
              </w:rPr>
            </w:pPr>
          </w:p>
        </w:tc>
      </w:tr>
      <w:tr>
        <w:trPr>
          <w:trHeight w:val="189"/>
        </w:trPr>
        <w:tc>
          <w:tcPr>
            <w:tcW w:w="3200" w:type="dxa"/>
            <w:vAlign w:val="bottom"/>
            <w:shd w:val="clear" w:color="auto" w:fill="CEFFE7"/>
          </w:tcPr>
          <w:p>
            <w:pPr>
              <w:ind w:left="20"/>
              <w:spacing w:after="0"/>
              <w:rPr>
                <w:sz w:val="20"/>
                <w:szCs w:val="20"/>
                <w:color w:val="auto"/>
              </w:rPr>
            </w:pPr>
            <w:r>
              <w:rPr>
                <w:rFonts w:ascii="Arial" w:cs="Arial" w:eastAsia="Arial" w:hAnsi="Arial"/>
                <w:sz w:val="14"/>
                <w:szCs w:val="14"/>
                <w:color w:val="auto"/>
              </w:rPr>
              <w:t>Black Hills Electric Generation</w:t>
            </w:r>
          </w:p>
        </w:tc>
        <w:tc>
          <w:tcPr>
            <w:tcW w:w="140" w:type="dxa"/>
            <w:vAlign w:val="bottom"/>
            <w:tcBorders>
              <w:bottom w:val="single" w:sz="8" w:color="auto"/>
            </w:tcBorders>
            <w:shd w:val="clear" w:color="auto" w:fill="CEFFE7"/>
          </w:tcPr>
          <w:p>
            <w:pPr>
              <w:spacing w:after="0"/>
              <w:rPr>
                <w:sz w:val="16"/>
                <w:szCs w:val="16"/>
                <w:color w:val="auto"/>
              </w:rPr>
            </w:pPr>
          </w:p>
        </w:tc>
        <w:tc>
          <w:tcPr>
            <w:tcW w:w="8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1,226</w:t>
            </w:r>
          </w:p>
        </w:tc>
        <w:tc>
          <w:tcPr>
            <w:tcW w:w="240" w:type="dxa"/>
            <w:vAlign w:val="bottom"/>
            <w:tcBorders>
              <w:bottom w:val="single" w:sz="8" w:color="auto"/>
            </w:tcBorders>
            <w:shd w:val="clear" w:color="auto" w:fill="CEFFE7"/>
          </w:tcPr>
          <w:p>
            <w:pPr>
              <w:spacing w:after="0"/>
              <w:rPr>
                <w:sz w:val="16"/>
                <w:szCs w:val="16"/>
                <w:color w:val="auto"/>
              </w:rPr>
            </w:pPr>
          </w:p>
        </w:tc>
        <w:tc>
          <w:tcPr>
            <w:tcW w:w="840" w:type="dxa"/>
            <w:vAlign w:val="bottom"/>
            <w:tcBorders>
              <w:bottom w:val="single" w:sz="8" w:color="auto"/>
            </w:tcBorders>
            <w:shd w:val="clear" w:color="auto" w:fill="CEFFE7"/>
          </w:tcPr>
          <w:p>
            <w:pPr>
              <w:jc w:val="right"/>
              <w:ind w:right="68"/>
              <w:spacing w:after="0"/>
              <w:rPr>
                <w:sz w:val="20"/>
                <w:szCs w:val="20"/>
                <w:color w:val="auto"/>
              </w:rPr>
            </w:pPr>
            <w:r>
              <w:rPr>
                <w:rFonts w:ascii="Arial" w:cs="Arial" w:eastAsia="Arial" w:hAnsi="Arial"/>
                <w:sz w:val="14"/>
                <w:szCs w:val="14"/>
                <w:color w:val="auto"/>
              </w:rPr>
              <w:t>1,423</w:t>
            </w:r>
          </w:p>
        </w:tc>
        <w:tc>
          <w:tcPr>
            <w:tcW w:w="1140" w:type="dxa"/>
            <w:vAlign w:val="bottom"/>
            <w:tcBorders>
              <w:bottom w:val="single" w:sz="8" w:color="auto"/>
            </w:tcBorders>
            <w:shd w:val="clear" w:color="auto" w:fill="CEFFE7"/>
          </w:tcPr>
          <w:p>
            <w:pPr>
              <w:jc w:val="right"/>
              <w:ind w:right="168"/>
              <w:spacing w:after="0"/>
              <w:rPr>
                <w:sz w:val="20"/>
                <w:szCs w:val="20"/>
                <w:color w:val="auto"/>
              </w:rPr>
            </w:pPr>
            <w:r>
              <w:rPr>
                <w:rFonts w:ascii="Arial" w:cs="Arial" w:eastAsia="Arial" w:hAnsi="Arial"/>
                <w:sz w:val="14"/>
                <w:szCs w:val="14"/>
                <w:color w:val="auto"/>
              </w:rPr>
              <w:t>88,724</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92,629</w:t>
            </w:r>
          </w:p>
        </w:tc>
        <w:tc>
          <w:tcPr>
            <w:tcW w:w="180" w:type="dxa"/>
            <w:vAlign w:val="bottom"/>
            <w:tcBorders>
              <w:bottom w:val="single" w:sz="8" w:color="auto"/>
            </w:tcBorders>
            <w:shd w:val="clear" w:color="auto" w:fill="CEFFE7"/>
          </w:tcPr>
          <w:p>
            <w:pPr>
              <w:spacing w:after="0"/>
              <w:rPr>
                <w:sz w:val="16"/>
                <w:szCs w:val="16"/>
                <w:color w:val="auto"/>
              </w:rPr>
            </w:pP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2,702</w:t>
            </w:r>
          </w:p>
        </w:tc>
        <w:tc>
          <w:tcPr>
            <w:tcW w:w="160" w:type="dxa"/>
            <w:vAlign w:val="bottom"/>
            <w:tcBorders>
              <w:bottom w:val="single" w:sz="8" w:color="auto"/>
            </w:tcBorders>
            <w:shd w:val="clear" w:color="auto" w:fill="CEFFE7"/>
          </w:tcPr>
          <w:p>
            <w:pPr>
              <w:spacing w:after="0"/>
              <w:rPr>
                <w:sz w:val="16"/>
                <w:szCs w:val="16"/>
                <w:color w:val="auto"/>
              </w:rPr>
            </w:pPr>
          </w:p>
        </w:tc>
        <w:tc>
          <w:tcPr>
            <w:tcW w:w="940" w:type="dxa"/>
            <w:vAlign w:val="bottom"/>
            <w:tcBorders>
              <w:bottom w:val="single" w:sz="8" w:color="auto"/>
            </w:tcBorders>
            <w:shd w:val="clear" w:color="auto" w:fill="CEFFE7"/>
          </w:tcPr>
          <w:p>
            <w:pPr>
              <w:jc w:val="right"/>
              <w:ind w:right="88"/>
              <w:spacing w:after="0"/>
              <w:rPr>
                <w:sz w:val="20"/>
                <w:szCs w:val="20"/>
                <w:color w:val="auto"/>
              </w:rPr>
            </w:pPr>
            <w:r>
              <w:rPr>
                <w:rFonts w:ascii="Arial" w:cs="Arial" w:eastAsia="Arial" w:hAnsi="Arial"/>
                <w:sz w:val="14"/>
                <w:szCs w:val="14"/>
                <w:color w:val="auto"/>
              </w:rPr>
              <w:t>3,052</w:t>
            </w:r>
          </w:p>
        </w:tc>
        <w:tc>
          <w:tcPr>
            <w:tcW w:w="1080" w:type="dxa"/>
            <w:vAlign w:val="bottom"/>
            <w:tcBorders>
              <w:bottom w:val="single" w:sz="8" w:color="auto"/>
            </w:tcBorders>
            <w:shd w:val="clear" w:color="auto" w:fill="CEFFE7"/>
          </w:tcPr>
          <w:p>
            <w:pPr>
              <w:jc w:val="right"/>
              <w:ind w:right="128"/>
              <w:spacing w:after="0"/>
              <w:rPr>
                <w:sz w:val="20"/>
                <w:szCs w:val="20"/>
                <w:color w:val="auto"/>
              </w:rPr>
            </w:pPr>
            <w:r>
              <w:rPr>
                <w:rFonts w:ascii="Arial" w:cs="Arial" w:eastAsia="Arial" w:hAnsi="Arial"/>
                <w:sz w:val="14"/>
                <w:szCs w:val="14"/>
                <w:color w:val="auto"/>
              </w:rPr>
              <w:t>185,018</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189,908</w:t>
            </w:r>
          </w:p>
        </w:tc>
        <w:tc>
          <w:tcPr>
            <w:tcW w:w="0" w:type="dxa"/>
            <w:vAlign w:val="bottom"/>
          </w:tcPr>
          <w:p>
            <w:pPr>
              <w:spacing w:after="0"/>
              <w:rPr>
                <w:sz w:val="1"/>
                <w:szCs w:val="1"/>
                <w:color w:val="auto"/>
              </w:rPr>
            </w:pPr>
          </w:p>
        </w:tc>
      </w:tr>
      <w:tr>
        <w:trPr>
          <w:trHeight w:val="133"/>
        </w:trPr>
        <w:tc>
          <w:tcPr>
            <w:tcW w:w="3200" w:type="dxa"/>
            <w:vAlign w:val="bottom"/>
          </w:tcPr>
          <w:p>
            <w:pPr>
              <w:ind w:left="140"/>
              <w:spacing w:after="0" w:line="133" w:lineRule="exact"/>
              <w:rPr>
                <w:sz w:val="20"/>
                <w:szCs w:val="20"/>
                <w:color w:val="auto"/>
              </w:rPr>
            </w:pPr>
            <w:r>
              <w:rPr>
                <w:rFonts w:ascii="Arial" w:cs="Arial" w:eastAsia="Arial" w:hAnsi="Arial"/>
                <w:sz w:val="14"/>
                <w:szCs w:val="14"/>
                <w:color w:val="auto"/>
              </w:rPr>
              <w:t>Total Power Generation Revenue and</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25,348</w:t>
            </w:r>
          </w:p>
        </w:tc>
        <w:tc>
          <w:tcPr>
            <w:tcW w:w="2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color w:val="auto"/>
              </w:rPr>
              <w:t>26,122</w:t>
            </w:r>
          </w:p>
        </w:tc>
        <w:tc>
          <w:tcPr>
            <w:tcW w:w="1140" w:type="dxa"/>
            <w:vAlign w:val="bottom"/>
            <w:vMerge w:val="restart"/>
          </w:tcPr>
          <w:p>
            <w:pPr>
              <w:jc w:val="right"/>
              <w:ind w:right="168"/>
              <w:spacing w:after="0"/>
              <w:rPr>
                <w:sz w:val="20"/>
                <w:szCs w:val="20"/>
                <w:color w:val="auto"/>
              </w:rPr>
            </w:pPr>
            <w:r>
              <w:rPr>
                <w:rFonts w:ascii="Arial" w:cs="Arial" w:eastAsia="Arial" w:hAnsi="Arial"/>
                <w:sz w:val="14"/>
                <w:szCs w:val="14"/>
                <w:color w:val="auto"/>
              </w:rPr>
              <w:t>434,598</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513,196</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54,511</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color w:val="auto"/>
              </w:rPr>
              <w:t>52,088</w:t>
            </w: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color w:val="auto"/>
              </w:rPr>
              <w:t>935,043</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1,032,052</w:t>
            </w:r>
          </w:p>
        </w:tc>
        <w:tc>
          <w:tcPr>
            <w:tcW w:w="0" w:type="dxa"/>
            <w:vAlign w:val="bottom"/>
          </w:tcPr>
          <w:p>
            <w:pPr>
              <w:spacing w:after="0"/>
              <w:rPr>
                <w:sz w:val="1"/>
                <w:szCs w:val="1"/>
                <w:color w:val="auto"/>
              </w:rPr>
            </w:pPr>
          </w:p>
        </w:tc>
      </w:tr>
      <w:tr>
        <w:trPr>
          <w:trHeight w:val="149"/>
        </w:trPr>
        <w:tc>
          <w:tcPr>
            <w:tcW w:w="3200" w:type="dxa"/>
            <w:vAlign w:val="bottom"/>
          </w:tcPr>
          <w:p>
            <w:pPr>
              <w:ind w:left="140"/>
              <w:spacing w:after="0" w:line="144" w:lineRule="exact"/>
              <w:rPr>
                <w:sz w:val="20"/>
                <w:szCs w:val="20"/>
                <w:color w:val="auto"/>
              </w:rPr>
            </w:pPr>
            <w:r>
              <w:rPr>
                <w:rFonts w:ascii="Arial" w:cs="Arial" w:eastAsia="Arial" w:hAnsi="Arial"/>
                <w:sz w:val="14"/>
                <w:szCs w:val="14"/>
                <w:color w:val="auto"/>
              </w:rPr>
              <w:t>Quantities Sold</w:t>
            </w:r>
          </w:p>
        </w:tc>
        <w:tc>
          <w:tcPr>
            <w:tcW w:w="14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84"/>
        </w:trPr>
        <w:tc>
          <w:tcPr>
            <w:tcW w:w="3720" w:type="dxa"/>
            <w:vAlign w:val="bottom"/>
            <w:gridSpan w:val="2"/>
          </w:tcPr>
          <w:p>
            <w:pPr>
              <w:spacing w:after="0"/>
              <w:rPr>
                <w:rFonts w:ascii="Arial" w:cs="Arial" w:eastAsia="Arial" w:hAnsi="Arial"/>
                <w:sz w:val="16"/>
                <w:szCs w:val="16"/>
                <w:b w:val="1"/>
                <w:bCs w:val="1"/>
                <w:color w:val="0000FF"/>
              </w:rPr>
            </w:pPr>
            <w:hyperlink w:anchor="page1">
              <w:r>
                <w:rPr>
                  <w:rFonts w:ascii="Arial" w:cs="Arial" w:eastAsia="Arial" w:hAnsi="Arial"/>
                  <w:sz w:val="16"/>
                  <w:szCs w:val="16"/>
                  <w:b w:val="1"/>
                  <w:bCs w:val="1"/>
                  <w:color w:val="0000FF"/>
                </w:rPr>
                <w:t>Table of Contents</w:t>
              </w:r>
            </w:hyperlink>
          </w:p>
        </w:tc>
        <w:tc>
          <w:tcPr>
            <w:tcW w:w="16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919"/>
        </w:trPr>
        <w:tc>
          <w:tcPr>
            <w:tcW w:w="1360" w:type="dxa"/>
            <w:vAlign w:val="bottom"/>
            <w:tcBorders>
              <w:top w:val="single" w:sz="8" w:color="0000FF"/>
            </w:tcBorders>
          </w:tcPr>
          <w:p>
            <w:pPr>
              <w:spacing w:after="0"/>
              <w:rPr>
                <w:sz w:val="24"/>
                <w:szCs w:val="24"/>
                <w:color w:val="auto"/>
              </w:rPr>
            </w:pPr>
          </w:p>
        </w:tc>
        <w:tc>
          <w:tcPr>
            <w:tcW w:w="2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120" w:type="dxa"/>
            <w:vAlign w:val="bottom"/>
            <w:gridSpan w:val="2"/>
          </w:tcPr>
          <w:p>
            <w:pPr>
              <w:jc w:val="right"/>
              <w:ind w:right="519"/>
              <w:spacing w:after="0"/>
              <w:rPr>
                <w:sz w:val="20"/>
                <w:szCs w:val="20"/>
                <w:color w:val="auto"/>
              </w:rPr>
            </w:pPr>
            <w:r>
              <w:rPr>
                <w:rFonts w:ascii="Arial" w:cs="Arial" w:eastAsia="Arial" w:hAnsi="Arial"/>
                <w:sz w:val="16"/>
                <w:szCs w:val="16"/>
                <w:color w:val="auto"/>
              </w:rPr>
              <w:t>Three Months Ended June 30,</w:t>
            </w:r>
          </w:p>
        </w:tc>
        <w:tc>
          <w:tcPr>
            <w:tcW w:w="2760" w:type="dxa"/>
            <w:vAlign w:val="bottom"/>
            <w:gridSpan w:val="2"/>
          </w:tcPr>
          <w:p>
            <w:pPr>
              <w:jc w:val="right"/>
              <w:ind w:right="379"/>
              <w:spacing w:after="0"/>
              <w:rPr>
                <w:sz w:val="20"/>
                <w:szCs w:val="20"/>
                <w:color w:val="auto"/>
              </w:rPr>
            </w:pPr>
            <w:r>
              <w:rPr>
                <w:rFonts w:ascii="Arial" w:cs="Arial" w:eastAsia="Arial" w:hAnsi="Arial"/>
                <w:sz w:val="16"/>
                <w:szCs w:val="16"/>
                <w:color w:val="auto"/>
              </w:rPr>
              <w:t>Six Months Ended June 30,</w:t>
            </w:r>
          </w:p>
        </w:tc>
      </w:tr>
      <w:tr>
        <w:trPr>
          <w:trHeight w:val="222"/>
        </w:trPr>
        <w:tc>
          <w:tcPr>
            <w:tcW w:w="3720" w:type="dxa"/>
            <w:vAlign w:val="bottom"/>
            <w:tcBorders>
              <w:bottom w:val="single" w:sz="8" w:color="auto"/>
            </w:tcBorders>
            <w:gridSpan w:val="2"/>
          </w:tcPr>
          <w:p>
            <w:pPr>
              <w:ind w:left="20"/>
              <w:spacing w:after="0" w:line="222" w:lineRule="exact"/>
              <w:rPr>
                <w:sz w:val="20"/>
                <w:szCs w:val="20"/>
                <w:color w:val="auto"/>
              </w:rPr>
            </w:pPr>
            <w:r>
              <w:rPr>
                <w:rFonts w:ascii="Arial" w:cs="Arial" w:eastAsia="Arial" w:hAnsi="Arial"/>
                <w:sz w:val="16"/>
                <w:szCs w:val="16"/>
                <w:color w:val="auto"/>
              </w:rPr>
              <w:t xml:space="preserve">Quantities Generated and Purchased (MWh) </w:t>
            </w:r>
            <w:r>
              <w:rPr>
                <w:rFonts w:ascii="Arial" w:cs="Arial" w:eastAsia="Arial" w:hAnsi="Arial"/>
                <w:sz w:val="21"/>
                <w:szCs w:val="21"/>
                <w:color w:val="auto"/>
                <w:vertAlign w:val="superscript"/>
              </w:rPr>
              <w:t>(a)</w:t>
            </w:r>
          </w:p>
        </w:tc>
        <w:tc>
          <w:tcPr>
            <w:tcW w:w="16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Fuel Type</w:t>
            </w:r>
          </w:p>
        </w:tc>
        <w:tc>
          <w:tcPr>
            <w:tcW w:w="16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2021</w:t>
            </w:r>
          </w:p>
        </w:tc>
        <w:tc>
          <w:tcPr>
            <w:tcW w:w="14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2020</w:t>
            </w:r>
          </w:p>
        </w:tc>
        <w:tc>
          <w:tcPr>
            <w:tcW w:w="15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2021</w:t>
            </w: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r>
      <w:tr>
        <w:trPr>
          <w:trHeight w:val="207"/>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Generated</w:t>
            </w:r>
          </w:p>
        </w:tc>
        <w:tc>
          <w:tcPr>
            <w:tcW w:w="1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9"/>
        </w:trPr>
        <w:tc>
          <w:tcPr>
            <w:tcW w:w="3720" w:type="dxa"/>
            <w:vAlign w:val="bottom"/>
            <w:gridSpan w:val="2"/>
            <w:shd w:val="clear" w:color="auto" w:fill="CEFFE7"/>
          </w:tcPr>
          <w:p>
            <w:pPr>
              <w:ind w:left="360"/>
              <w:spacing w:after="0"/>
              <w:rPr>
                <w:sz w:val="20"/>
                <w:szCs w:val="20"/>
                <w:color w:val="auto"/>
              </w:rPr>
            </w:pPr>
            <w:r>
              <w:rPr>
                <w:rFonts w:ascii="Arial" w:cs="Arial" w:eastAsia="Arial" w:hAnsi="Arial"/>
                <w:sz w:val="16"/>
                <w:szCs w:val="16"/>
                <w:color w:val="auto"/>
              </w:rPr>
              <w:t>Black Hills Colorado IPP</w:t>
            </w:r>
          </w:p>
        </w:tc>
        <w:tc>
          <w:tcPr>
            <w:tcW w:w="1640" w:type="dxa"/>
            <w:vAlign w:val="bottom"/>
            <w:shd w:val="clear" w:color="auto" w:fill="CEFFE7"/>
          </w:tcPr>
          <w:p>
            <w:pPr>
              <w:jc w:val="center"/>
              <w:ind w:right="59"/>
              <w:spacing w:after="0"/>
              <w:rPr>
                <w:sz w:val="20"/>
                <w:szCs w:val="20"/>
                <w:color w:val="auto"/>
              </w:rPr>
            </w:pPr>
            <w:r>
              <w:rPr>
                <w:rFonts w:ascii="Arial" w:cs="Arial" w:eastAsia="Arial" w:hAnsi="Arial"/>
                <w:sz w:val="16"/>
                <w:szCs w:val="16"/>
                <w:color w:val="auto"/>
              </w:rPr>
              <w:t>Natural Gas</w:t>
            </w:r>
          </w:p>
        </w:tc>
        <w:tc>
          <w:tcPr>
            <w:tcW w:w="168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204,065</w:t>
            </w:r>
          </w:p>
        </w:tc>
        <w:tc>
          <w:tcPr>
            <w:tcW w:w="144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263,701</w:t>
            </w:r>
          </w:p>
        </w:tc>
        <w:tc>
          <w:tcPr>
            <w:tcW w:w="1560" w:type="dxa"/>
            <w:vAlign w:val="bottom"/>
            <w:shd w:val="clear" w:color="auto" w:fill="CEFFE7"/>
          </w:tcPr>
          <w:p>
            <w:pPr>
              <w:jc w:val="right"/>
              <w:ind w:right="239"/>
              <w:spacing w:after="0"/>
              <w:rPr>
                <w:sz w:val="20"/>
                <w:szCs w:val="20"/>
                <w:color w:val="auto"/>
              </w:rPr>
            </w:pPr>
            <w:r>
              <w:rPr>
                <w:rFonts w:ascii="Arial" w:cs="Arial" w:eastAsia="Arial" w:hAnsi="Arial"/>
                <w:sz w:val="16"/>
                <w:szCs w:val="16"/>
                <w:color w:val="auto"/>
              </w:rPr>
              <w:t>443,259</w:t>
            </w:r>
          </w:p>
        </w:tc>
        <w:tc>
          <w:tcPr>
            <w:tcW w:w="1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528,926</w:t>
            </w:r>
          </w:p>
        </w:tc>
      </w:tr>
      <w:tr>
        <w:trPr>
          <w:trHeight w:val="216"/>
        </w:trPr>
        <w:tc>
          <w:tcPr>
            <w:tcW w:w="3720" w:type="dxa"/>
            <w:vAlign w:val="bottom"/>
            <w:gridSpan w:val="2"/>
          </w:tcPr>
          <w:p>
            <w:pPr>
              <w:ind w:left="360"/>
              <w:spacing w:after="0" w:line="216" w:lineRule="exact"/>
              <w:rPr>
                <w:sz w:val="20"/>
                <w:szCs w:val="20"/>
                <w:color w:val="auto"/>
              </w:rPr>
            </w:pPr>
            <w:r>
              <w:rPr>
                <w:rFonts w:ascii="Arial" w:cs="Arial" w:eastAsia="Arial" w:hAnsi="Arial"/>
                <w:sz w:val="16"/>
                <w:szCs w:val="16"/>
                <w:color w:val="auto"/>
              </w:rPr>
              <w:t xml:space="preserve">Black Hills Wyoming </w:t>
            </w:r>
            <w:r>
              <w:rPr>
                <w:rFonts w:ascii="Arial" w:cs="Arial" w:eastAsia="Arial" w:hAnsi="Arial"/>
                <w:sz w:val="21"/>
                <w:szCs w:val="21"/>
                <w:color w:val="auto"/>
                <w:vertAlign w:val="superscript"/>
              </w:rPr>
              <w:t>(b)</w:t>
            </w:r>
          </w:p>
        </w:tc>
        <w:tc>
          <w:tcPr>
            <w:tcW w:w="1640" w:type="dxa"/>
            <w:vAlign w:val="bottom"/>
          </w:tcPr>
          <w:p>
            <w:pPr>
              <w:jc w:val="center"/>
              <w:ind w:right="79"/>
              <w:spacing w:after="0"/>
              <w:rPr>
                <w:sz w:val="20"/>
                <w:szCs w:val="20"/>
                <w:color w:val="auto"/>
              </w:rPr>
            </w:pPr>
            <w:r>
              <w:rPr>
                <w:rFonts w:ascii="Arial" w:cs="Arial" w:eastAsia="Arial" w:hAnsi="Arial"/>
                <w:sz w:val="16"/>
                <w:szCs w:val="16"/>
                <w:color w:val="auto"/>
                <w:w w:val="97"/>
              </w:rPr>
              <w:t>Coal</w:t>
            </w:r>
          </w:p>
        </w:tc>
        <w:tc>
          <w:tcPr>
            <w:tcW w:w="1680" w:type="dxa"/>
            <w:vAlign w:val="bottom"/>
          </w:tcPr>
          <w:p>
            <w:pPr>
              <w:jc w:val="right"/>
              <w:ind w:right="239"/>
              <w:spacing w:after="0"/>
              <w:rPr>
                <w:sz w:val="20"/>
                <w:szCs w:val="20"/>
                <w:color w:val="auto"/>
              </w:rPr>
            </w:pPr>
            <w:r>
              <w:rPr>
                <w:rFonts w:ascii="Arial" w:cs="Arial" w:eastAsia="Arial" w:hAnsi="Arial"/>
                <w:sz w:val="16"/>
                <w:szCs w:val="16"/>
                <w:color w:val="auto"/>
              </w:rPr>
              <w:t>128,270</w:t>
            </w: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142,747</w:t>
            </w:r>
          </w:p>
        </w:tc>
        <w:tc>
          <w:tcPr>
            <w:tcW w:w="1560" w:type="dxa"/>
            <w:vAlign w:val="bottom"/>
          </w:tcPr>
          <w:p>
            <w:pPr>
              <w:jc w:val="right"/>
              <w:ind w:right="239"/>
              <w:spacing w:after="0"/>
              <w:rPr>
                <w:sz w:val="20"/>
                <w:szCs w:val="20"/>
                <w:color w:val="auto"/>
              </w:rPr>
            </w:pPr>
            <w:r>
              <w:rPr>
                <w:rFonts w:ascii="Arial" w:cs="Arial" w:eastAsia="Arial" w:hAnsi="Arial"/>
                <w:sz w:val="16"/>
                <w:szCs w:val="16"/>
                <w:color w:val="auto"/>
              </w:rPr>
              <w:t>264,374</w:t>
            </w:r>
          </w:p>
        </w:tc>
        <w:tc>
          <w:tcPr>
            <w:tcW w:w="1200" w:type="dxa"/>
            <w:vAlign w:val="bottom"/>
          </w:tcPr>
          <w:p>
            <w:pPr>
              <w:jc w:val="right"/>
              <w:spacing w:after="0"/>
              <w:rPr>
                <w:sz w:val="20"/>
                <w:szCs w:val="20"/>
                <w:color w:val="auto"/>
              </w:rPr>
            </w:pPr>
            <w:r>
              <w:rPr>
                <w:rFonts w:ascii="Arial" w:cs="Arial" w:eastAsia="Arial" w:hAnsi="Arial"/>
                <w:sz w:val="16"/>
                <w:szCs w:val="16"/>
                <w:color w:val="auto"/>
              </w:rPr>
              <w:t>269,232</w:t>
            </w:r>
          </w:p>
        </w:tc>
      </w:tr>
      <w:tr>
        <w:trPr>
          <w:trHeight w:val="213"/>
        </w:trPr>
        <w:tc>
          <w:tcPr>
            <w:tcW w:w="3720" w:type="dxa"/>
            <w:vAlign w:val="bottom"/>
            <w:gridSpan w:val="2"/>
            <w:shd w:val="clear" w:color="auto" w:fill="CEFFE7"/>
          </w:tcPr>
          <w:p>
            <w:pPr>
              <w:ind w:left="360"/>
              <w:spacing w:after="0"/>
              <w:rPr>
                <w:sz w:val="20"/>
                <w:szCs w:val="20"/>
                <w:color w:val="auto"/>
              </w:rPr>
            </w:pPr>
            <w:r>
              <w:rPr>
                <w:rFonts w:ascii="Arial" w:cs="Arial" w:eastAsia="Arial" w:hAnsi="Arial"/>
                <w:sz w:val="16"/>
                <w:szCs w:val="16"/>
                <w:color w:val="auto"/>
              </w:rPr>
              <w:t>Black Hills Electric Generation</w:t>
            </w:r>
          </w:p>
        </w:tc>
        <w:tc>
          <w:tcPr>
            <w:tcW w:w="1640" w:type="dxa"/>
            <w:vAlign w:val="bottom"/>
            <w:shd w:val="clear" w:color="auto" w:fill="CEFFE7"/>
          </w:tcPr>
          <w:p>
            <w:pPr>
              <w:jc w:val="center"/>
              <w:ind w:right="79"/>
              <w:spacing w:after="0"/>
              <w:rPr>
                <w:sz w:val="20"/>
                <w:szCs w:val="20"/>
                <w:color w:val="auto"/>
              </w:rPr>
            </w:pPr>
            <w:r>
              <w:rPr>
                <w:rFonts w:ascii="Arial" w:cs="Arial" w:eastAsia="Arial" w:hAnsi="Arial"/>
                <w:sz w:val="16"/>
                <w:szCs w:val="16"/>
                <w:color w:val="auto"/>
                <w:w w:val="98"/>
              </w:rPr>
              <w:t>Wind</w:t>
            </w:r>
          </w:p>
        </w:tc>
        <w:tc>
          <w:tcPr>
            <w:tcW w:w="168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88,724</w:t>
            </w:r>
          </w:p>
        </w:tc>
        <w:tc>
          <w:tcPr>
            <w:tcW w:w="144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rPr>
              <w:t>92,629</w:t>
            </w:r>
          </w:p>
        </w:tc>
        <w:tc>
          <w:tcPr>
            <w:tcW w:w="156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185,018</w:t>
            </w: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189,908</w:t>
            </w:r>
          </w:p>
        </w:tc>
      </w:tr>
      <w:tr>
        <w:trPr>
          <w:trHeight w:val="213"/>
        </w:trPr>
        <w:tc>
          <w:tcPr>
            <w:tcW w:w="3720" w:type="dxa"/>
            <w:vAlign w:val="bottom"/>
            <w:gridSpan w:val="2"/>
          </w:tcPr>
          <w:p>
            <w:pPr>
              <w:ind w:left="800"/>
              <w:spacing w:after="0"/>
              <w:rPr>
                <w:sz w:val="20"/>
                <w:szCs w:val="20"/>
                <w:color w:val="auto"/>
              </w:rPr>
            </w:pPr>
            <w:r>
              <w:rPr>
                <w:rFonts w:ascii="Arial" w:cs="Arial" w:eastAsia="Arial" w:hAnsi="Arial"/>
                <w:sz w:val="16"/>
                <w:szCs w:val="16"/>
                <w:color w:val="auto"/>
              </w:rPr>
              <w:t>Total Generated</w:t>
            </w:r>
          </w:p>
        </w:tc>
        <w:tc>
          <w:tcPr>
            <w:tcW w:w="1640" w:type="dxa"/>
            <w:vAlign w:val="bottom"/>
          </w:tcPr>
          <w:p>
            <w:pPr>
              <w:spacing w:after="0"/>
              <w:rPr>
                <w:sz w:val="18"/>
                <w:szCs w:val="18"/>
                <w:color w:val="auto"/>
              </w:rPr>
            </w:pPr>
          </w:p>
        </w:tc>
        <w:tc>
          <w:tcPr>
            <w:tcW w:w="16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421,059</w:t>
            </w: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499,077</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892,651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988,066</w:t>
            </w:r>
          </w:p>
        </w:tc>
      </w:tr>
      <w:tr>
        <w:trPr>
          <w:trHeight w:val="20"/>
        </w:trPr>
        <w:tc>
          <w:tcPr>
            <w:tcW w:w="1360" w:type="dxa"/>
            <w:vAlign w:val="bottom"/>
            <w:tcBorders>
              <w:bottom w:val="single" w:sz="8" w:color="CEFFE7"/>
            </w:tcBorders>
          </w:tcPr>
          <w:p>
            <w:pPr>
              <w:spacing w:after="0" w:line="20" w:lineRule="exact"/>
              <w:rPr>
                <w:sz w:val="1"/>
                <w:szCs w:val="1"/>
                <w:color w:val="auto"/>
              </w:rPr>
            </w:pPr>
          </w:p>
        </w:tc>
        <w:tc>
          <w:tcPr>
            <w:tcW w:w="2360" w:type="dxa"/>
            <w:vAlign w:val="bottom"/>
            <w:tcBorders>
              <w:bottom w:val="single" w:sz="8" w:color="CEFFE7"/>
            </w:tcBorders>
          </w:tcPr>
          <w:p>
            <w:pPr>
              <w:spacing w:after="0" w:line="20" w:lineRule="exact"/>
              <w:rPr>
                <w:sz w:val="1"/>
                <w:szCs w:val="1"/>
                <w:color w:val="auto"/>
              </w:rPr>
            </w:pPr>
          </w:p>
        </w:tc>
        <w:tc>
          <w:tcPr>
            <w:tcW w:w="1640" w:type="dxa"/>
            <w:vAlign w:val="bottom"/>
            <w:tcBorders>
              <w:bottom w:val="single" w:sz="8" w:color="CEFFE7"/>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1360" w:type="dxa"/>
            <w:vAlign w:val="bottom"/>
            <w:shd w:val="clear" w:color="auto" w:fill="CEFFE7"/>
          </w:tcPr>
          <w:p>
            <w:pPr>
              <w:spacing w:after="0"/>
              <w:rPr>
                <w:sz w:val="20"/>
                <w:szCs w:val="20"/>
                <w:color w:val="auto"/>
              </w:rPr>
            </w:pPr>
          </w:p>
        </w:tc>
        <w:tc>
          <w:tcPr>
            <w:tcW w:w="2360" w:type="dxa"/>
            <w:vAlign w:val="bottom"/>
            <w:shd w:val="clear" w:color="auto" w:fill="CEFFE7"/>
          </w:tcPr>
          <w:p>
            <w:pPr>
              <w:spacing w:after="0"/>
              <w:rPr>
                <w:sz w:val="20"/>
                <w:szCs w:val="20"/>
                <w:color w:val="auto"/>
              </w:rPr>
            </w:pPr>
          </w:p>
        </w:tc>
        <w:tc>
          <w:tcPr>
            <w:tcW w:w="1640" w:type="dxa"/>
            <w:vAlign w:val="bottom"/>
            <w:shd w:val="clear" w:color="auto" w:fill="CEFFE7"/>
          </w:tcPr>
          <w:p>
            <w:pPr>
              <w:spacing w:after="0"/>
              <w:rPr>
                <w:sz w:val="20"/>
                <w:szCs w:val="20"/>
                <w:color w:val="auto"/>
              </w:rPr>
            </w:pPr>
          </w:p>
        </w:tc>
        <w:tc>
          <w:tcPr>
            <w:tcW w:w="1680" w:type="dxa"/>
            <w:vAlign w:val="bottom"/>
            <w:shd w:val="clear" w:color="auto" w:fill="CEFFE7"/>
          </w:tcPr>
          <w:p>
            <w:pPr>
              <w:spacing w:after="0"/>
              <w:rPr>
                <w:sz w:val="20"/>
                <w:szCs w:val="20"/>
                <w:color w:val="auto"/>
              </w:rPr>
            </w:pPr>
          </w:p>
        </w:tc>
        <w:tc>
          <w:tcPr>
            <w:tcW w:w="1440" w:type="dxa"/>
            <w:vAlign w:val="bottom"/>
            <w:shd w:val="clear" w:color="auto" w:fill="CEFFE7"/>
          </w:tcPr>
          <w:p>
            <w:pPr>
              <w:spacing w:after="0"/>
              <w:rPr>
                <w:sz w:val="20"/>
                <w:szCs w:val="20"/>
                <w:color w:val="auto"/>
              </w:rPr>
            </w:pPr>
          </w:p>
        </w:tc>
        <w:tc>
          <w:tcPr>
            <w:tcW w:w="1560" w:type="dxa"/>
            <w:vAlign w:val="bottom"/>
            <w:shd w:val="clear" w:color="auto" w:fill="CEFFE7"/>
          </w:tcPr>
          <w:p>
            <w:pPr>
              <w:spacing w:after="0"/>
              <w:rPr>
                <w:sz w:val="20"/>
                <w:szCs w:val="20"/>
                <w:color w:val="auto"/>
              </w:rPr>
            </w:pPr>
          </w:p>
        </w:tc>
        <w:tc>
          <w:tcPr>
            <w:tcW w:w="1200" w:type="dxa"/>
            <w:vAlign w:val="bottom"/>
            <w:shd w:val="clear" w:color="auto" w:fill="CEFFE7"/>
          </w:tcPr>
          <w:p>
            <w:pPr>
              <w:spacing w:after="0"/>
              <w:rPr>
                <w:sz w:val="20"/>
                <w:szCs w:val="20"/>
                <w:color w:val="auto"/>
              </w:rPr>
            </w:pPr>
          </w:p>
        </w:tc>
      </w:tr>
      <w:tr>
        <w:trPr>
          <w:trHeight w:val="213"/>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Purchased</w:t>
            </w:r>
          </w:p>
        </w:tc>
        <w:tc>
          <w:tcPr>
            <w:tcW w:w="1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3720" w:type="dxa"/>
            <w:vAlign w:val="bottom"/>
            <w:gridSpan w:val="2"/>
            <w:shd w:val="clear" w:color="auto" w:fill="CEFFE7"/>
          </w:tcPr>
          <w:p>
            <w:pPr>
              <w:ind w:left="360"/>
              <w:spacing w:after="0" w:line="219" w:lineRule="exact"/>
              <w:rPr>
                <w:sz w:val="20"/>
                <w:szCs w:val="20"/>
                <w:color w:val="auto"/>
              </w:rPr>
            </w:pPr>
            <w:r>
              <w:rPr>
                <w:rFonts w:ascii="Arial" w:cs="Arial" w:eastAsia="Arial" w:hAnsi="Arial"/>
                <w:sz w:val="16"/>
                <w:szCs w:val="16"/>
                <w:color w:val="auto"/>
              </w:rPr>
              <w:t xml:space="preserve">Black Hills Wyoming </w:t>
            </w:r>
            <w:r>
              <w:rPr>
                <w:rFonts w:ascii="Arial" w:cs="Arial" w:eastAsia="Arial" w:hAnsi="Arial"/>
                <w:sz w:val="21"/>
                <w:szCs w:val="21"/>
                <w:color w:val="auto"/>
                <w:vertAlign w:val="superscript"/>
              </w:rPr>
              <w:t>(b)</w:t>
            </w:r>
          </w:p>
        </w:tc>
        <w:tc>
          <w:tcPr>
            <w:tcW w:w="1640" w:type="dxa"/>
            <w:vAlign w:val="bottom"/>
            <w:shd w:val="clear" w:color="auto" w:fill="CEFFE7"/>
          </w:tcPr>
          <w:p>
            <w:pPr>
              <w:jc w:val="center"/>
              <w:ind w:right="59"/>
              <w:spacing w:after="0"/>
              <w:rPr>
                <w:sz w:val="20"/>
                <w:szCs w:val="20"/>
                <w:color w:val="auto"/>
              </w:rPr>
            </w:pPr>
            <w:r>
              <w:rPr>
                <w:rFonts w:ascii="Arial" w:cs="Arial" w:eastAsia="Arial" w:hAnsi="Arial"/>
                <w:sz w:val="16"/>
                <w:szCs w:val="16"/>
                <w:color w:val="auto"/>
                <w:w w:val="99"/>
              </w:rPr>
              <w:t>Various</w:t>
            </w:r>
          </w:p>
        </w:tc>
        <w:tc>
          <w:tcPr>
            <w:tcW w:w="168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15,102</w:t>
            </w:r>
          </w:p>
        </w:tc>
        <w:tc>
          <w:tcPr>
            <w:tcW w:w="144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rPr>
              <w:t>14,160</w:t>
            </w:r>
          </w:p>
        </w:tc>
        <w:tc>
          <w:tcPr>
            <w:tcW w:w="1560" w:type="dxa"/>
            <w:vAlign w:val="bottom"/>
            <w:tcBorders>
              <w:bottom w:val="single" w:sz="8" w:color="auto"/>
            </w:tcBorders>
            <w:shd w:val="clear" w:color="auto" w:fill="CEFFE7"/>
          </w:tcPr>
          <w:p>
            <w:pPr>
              <w:jc w:val="right"/>
              <w:ind w:right="239"/>
              <w:spacing w:after="0"/>
              <w:rPr>
                <w:sz w:val="20"/>
                <w:szCs w:val="20"/>
                <w:color w:val="auto"/>
              </w:rPr>
            </w:pPr>
            <w:r>
              <w:rPr>
                <w:rFonts w:ascii="Arial" w:cs="Arial" w:eastAsia="Arial" w:hAnsi="Arial"/>
                <w:sz w:val="16"/>
                <w:szCs w:val="16"/>
                <w:color w:val="auto"/>
              </w:rPr>
              <w:t>44,616</w:t>
            </w: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44,093</w:t>
            </w:r>
          </w:p>
        </w:tc>
      </w:tr>
      <w:tr>
        <w:trPr>
          <w:trHeight w:val="209"/>
        </w:trPr>
        <w:tc>
          <w:tcPr>
            <w:tcW w:w="3720" w:type="dxa"/>
            <w:vAlign w:val="bottom"/>
            <w:gridSpan w:val="2"/>
          </w:tcPr>
          <w:p>
            <w:pPr>
              <w:ind w:left="800"/>
              <w:spacing w:after="0"/>
              <w:rPr>
                <w:sz w:val="20"/>
                <w:szCs w:val="20"/>
                <w:color w:val="auto"/>
              </w:rPr>
            </w:pPr>
            <w:r>
              <w:rPr>
                <w:rFonts w:ascii="Arial" w:cs="Arial" w:eastAsia="Arial" w:hAnsi="Arial"/>
                <w:sz w:val="16"/>
                <w:szCs w:val="16"/>
                <w:color w:val="auto"/>
              </w:rPr>
              <w:t>Total Purchased</w:t>
            </w:r>
          </w:p>
        </w:tc>
        <w:tc>
          <w:tcPr>
            <w:tcW w:w="1640" w:type="dxa"/>
            <w:vAlign w:val="bottom"/>
          </w:tcPr>
          <w:p>
            <w:pPr>
              <w:spacing w:after="0"/>
              <w:rPr>
                <w:sz w:val="18"/>
                <w:szCs w:val="18"/>
                <w:color w:val="auto"/>
              </w:rPr>
            </w:pPr>
          </w:p>
        </w:tc>
        <w:tc>
          <w:tcPr>
            <w:tcW w:w="16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15,102</w:t>
            </w: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14,160</w:t>
            </w:r>
          </w:p>
        </w:tc>
        <w:tc>
          <w:tcPr>
            <w:tcW w:w="15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44,616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44,093</w:t>
            </w:r>
          </w:p>
        </w:tc>
      </w:tr>
      <w:tr>
        <w:trPr>
          <w:trHeight w:val="21"/>
        </w:trPr>
        <w:tc>
          <w:tcPr>
            <w:tcW w:w="13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8"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Company uses and losses are not included in the quantities sold, generated, and purchased.</w:t>
      </w:r>
    </w:p>
    <w:p>
      <w:pPr>
        <w:spacing w:after="0" w:line="1" w:lineRule="exact"/>
        <w:rPr>
          <w:rFonts w:ascii="Arial" w:cs="Arial" w:eastAsia="Arial" w:hAnsi="Arial"/>
          <w:sz w:val="14"/>
          <w:szCs w:val="14"/>
          <w:color w:val="auto"/>
        </w:rPr>
      </w:pPr>
    </w:p>
    <w:p>
      <w:pPr>
        <w:jc w:val="both"/>
        <w:ind w:left="340" w:right="320" w:hanging="332"/>
        <w:spacing w:after="0" w:line="249" w:lineRule="auto"/>
        <w:tabs>
          <w:tab w:leader="none" w:pos="352" w:val="left"/>
        </w:tabs>
        <w:numPr>
          <w:ilvl w:val="0"/>
          <w:numId w:val="33"/>
        </w:numPr>
        <w:rPr>
          <w:rFonts w:ascii="Arial" w:cs="Arial" w:eastAsia="Arial" w:hAnsi="Arial"/>
          <w:sz w:val="14"/>
          <w:szCs w:val="14"/>
          <w:color w:val="auto"/>
        </w:rPr>
      </w:pPr>
      <w:r>
        <w:rPr>
          <w:rFonts w:ascii="Arial" w:cs="Arial" w:eastAsia="Arial" w:hAnsi="Arial"/>
          <w:sz w:val="14"/>
          <w:szCs w:val="14"/>
          <w:color w:val="auto"/>
        </w:rPr>
        <w:t>Under the 20-year Economy Energy PSA with the City of Gillette effective September 2014, Black Hills Wyoming purchases energy on behalf of the City of Gillette and sells that energy to the City of Gillette. MWh sold may not equal MWh generated and purchased due to a dispatch agreement that Black Hills Wyoming has with South Dakota Electric to cover energy imbalances.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3620" w:type="dxa"/>
            <w:vAlign w:val="bottom"/>
            <w:gridSpan w:val="2"/>
          </w:tcPr>
          <w:p>
            <w:pPr>
              <w:jc w:val="right"/>
              <w:ind w:right="659"/>
              <w:spacing w:after="0"/>
              <w:rPr>
                <w:sz w:val="20"/>
                <w:szCs w:val="20"/>
                <w:color w:val="auto"/>
              </w:rPr>
            </w:pPr>
            <w:r>
              <w:rPr>
                <w:rFonts w:ascii="Arial" w:cs="Arial" w:eastAsia="Arial" w:hAnsi="Arial"/>
                <w:sz w:val="16"/>
                <w:szCs w:val="16"/>
                <w:color w:val="auto"/>
              </w:rPr>
              <w:t>Three Months Ended June 30,</w:t>
            </w:r>
          </w:p>
        </w:tc>
        <w:tc>
          <w:tcPr>
            <w:tcW w:w="2840" w:type="dxa"/>
            <w:vAlign w:val="bottom"/>
            <w:gridSpan w:val="2"/>
          </w:tcPr>
          <w:p>
            <w:pPr>
              <w:jc w:val="right"/>
              <w:ind w:right="459"/>
              <w:spacing w:after="0"/>
              <w:rPr>
                <w:sz w:val="20"/>
                <w:szCs w:val="20"/>
                <w:color w:val="auto"/>
              </w:rPr>
            </w:pPr>
            <w:r>
              <w:rPr>
                <w:rFonts w:ascii="Arial" w:cs="Arial" w:eastAsia="Arial" w:hAnsi="Arial"/>
                <w:sz w:val="16"/>
                <w:szCs w:val="16"/>
                <w:color w:val="auto"/>
              </w:rPr>
              <w:t>Six Months Ended June 30,</w:t>
            </w:r>
          </w:p>
        </w:tc>
      </w:tr>
      <w:tr>
        <w:trPr>
          <w:trHeight w:val="222"/>
        </w:trPr>
        <w:tc>
          <w:tcPr>
            <w:tcW w:w="4780" w:type="dxa"/>
            <w:vAlign w:val="bottom"/>
            <w:tcBorders>
              <w:bottom w:val="single" w:sz="8" w:color="auto"/>
            </w:tcBorders>
          </w:tcPr>
          <w:p>
            <w:pPr>
              <w:ind w:left="20"/>
              <w:spacing w:after="0" w:line="222" w:lineRule="exact"/>
              <w:rPr>
                <w:sz w:val="20"/>
                <w:szCs w:val="20"/>
                <w:color w:val="auto"/>
              </w:rPr>
            </w:pPr>
            <w:r>
              <w:rPr>
                <w:rFonts w:ascii="Arial" w:cs="Arial" w:eastAsia="Arial" w:hAnsi="Arial"/>
                <w:sz w:val="16"/>
                <w:szCs w:val="16"/>
                <w:color w:val="auto"/>
              </w:rPr>
              <w:t xml:space="preserve">Contracted generating facilities availability by fuel type </w:t>
            </w:r>
            <w:r>
              <w:rPr>
                <w:rFonts w:ascii="Arial" w:cs="Arial" w:eastAsia="Arial" w:hAnsi="Arial"/>
                <w:sz w:val="21"/>
                <w:szCs w:val="21"/>
                <w:color w:val="auto"/>
                <w:vertAlign w:val="superscript"/>
              </w:rPr>
              <w:t>(a)</w:t>
            </w:r>
          </w:p>
        </w:tc>
        <w:tc>
          <w:tcPr>
            <w:tcW w:w="20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2021</w:t>
            </w:r>
          </w:p>
        </w:tc>
        <w:tc>
          <w:tcPr>
            <w:tcW w:w="15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2020</w:t>
            </w:r>
          </w:p>
        </w:tc>
        <w:tc>
          <w:tcPr>
            <w:tcW w:w="16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2021</w:t>
            </w: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2020</w:t>
            </w:r>
          </w:p>
        </w:tc>
      </w:tr>
      <w:tr>
        <w:trPr>
          <w:trHeight w:val="250"/>
        </w:trPr>
        <w:tc>
          <w:tcPr>
            <w:tcW w:w="47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4780" w:type="dxa"/>
            <w:vAlign w:val="bottom"/>
            <w:shd w:val="clear" w:color="auto" w:fill="CEFFE7"/>
          </w:tcPr>
          <w:p>
            <w:pPr>
              <w:ind w:left="20"/>
              <w:spacing w:after="0" w:line="216" w:lineRule="exact"/>
              <w:rPr>
                <w:sz w:val="20"/>
                <w:szCs w:val="20"/>
                <w:color w:val="auto"/>
              </w:rPr>
            </w:pPr>
            <w:r>
              <w:rPr>
                <w:rFonts w:ascii="Arial" w:cs="Arial" w:eastAsia="Arial" w:hAnsi="Arial"/>
                <w:sz w:val="16"/>
                <w:szCs w:val="16"/>
                <w:color w:val="auto"/>
              </w:rPr>
              <w:t xml:space="preserve">Coal </w:t>
            </w:r>
            <w:r>
              <w:rPr>
                <w:rFonts w:ascii="Arial" w:cs="Arial" w:eastAsia="Arial" w:hAnsi="Arial"/>
                <w:sz w:val="21"/>
                <w:szCs w:val="21"/>
                <w:color w:val="auto"/>
                <w:vertAlign w:val="superscript"/>
              </w:rPr>
              <w:t>(b)</w:t>
            </w:r>
          </w:p>
        </w:tc>
        <w:tc>
          <w:tcPr>
            <w:tcW w:w="206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89.3 %</w:t>
            </w:r>
          </w:p>
        </w:tc>
        <w:tc>
          <w:tcPr>
            <w:tcW w:w="156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98.2 %</w:t>
            </w:r>
          </w:p>
        </w:tc>
        <w:tc>
          <w:tcPr>
            <w:tcW w:w="160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93.1 %</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93.7 %</w:t>
            </w:r>
          </w:p>
        </w:tc>
      </w:tr>
      <w:tr>
        <w:trPr>
          <w:trHeight w:val="216"/>
        </w:trPr>
        <w:tc>
          <w:tcPr>
            <w:tcW w:w="47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Natural gas </w:t>
            </w:r>
            <w:r>
              <w:rPr>
                <w:rFonts w:ascii="Arial" w:cs="Arial" w:eastAsia="Arial" w:hAnsi="Arial"/>
                <w:sz w:val="21"/>
                <w:szCs w:val="21"/>
                <w:color w:val="auto"/>
                <w:vertAlign w:val="superscript"/>
              </w:rPr>
              <w:t>(b)</w:t>
            </w:r>
          </w:p>
        </w:tc>
        <w:tc>
          <w:tcPr>
            <w:tcW w:w="2060" w:type="dxa"/>
            <w:vAlign w:val="bottom"/>
          </w:tcPr>
          <w:p>
            <w:pPr>
              <w:jc w:val="right"/>
              <w:ind w:right="219"/>
              <w:spacing w:after="0"/>
              <w:rPr>
                <w:sz w:val="20"/>
                <w:szCs w:val="20"/>
                <w:color w:val="auto"/>
              </w:rPr>
            </w:pPr>
            <w:r>
              <w:rPr>
                <w:rFonts w:ascii="Arial" w:cs="Arial" w:eastAsia="Arial" w:hAnsi="Arial"/>
                <w:sz w:val="16"/>
                <w:szCs w:val="16"/>
                <w:color w:val="auto"/>
              </w:rPr>
              <w:t>87.6 %</w:t>
            </w:r>
          </w:p>
        </w:tc>
        <w:tc>
          <w:tcPr>
            <w:tcW w:w="1560" w:type="dxa"/>
            <w:vAlign w:val="bottom"/>
          </w:tcPr>
          <w:p>
            <w:pPr>
              <w:jc w:val="right"/>
              <w:ind w:right="259"/>
              <w:spacing w:after="0"/>
              <w:rPr>
                <w:sz w:val="20"/>
                <w:szCs w:val="20"/>
                <w:color w:val="auto"/>
              </w:rPr>
            </w:pPr>
            <w:r>
              <w:rPr>
                <w:rFonts w:ascii="Arial" w:cs="Arial" w:eastAsia="Arial" w:hAnsi="Arial"/>
                <w:sz w:val="16"/>
                <w:szCs w:val="16"/>
                <w:color w:val="auto"/>
              </w:rPr>
              <w:t>99.7 %</w:t>
            </w:r>
          </w:p>
        </w:tc>
        <w:tc>
          <w:tcPr>
            <w:tcW w:w="1600" w:type="dxa"/>
            <w:vAlign w:val="bottom"/>
          </w:tcPr>
          <w:p>
            <w:pPr>
              <w:jc w:val="right"/>
              <w:ind w:right="219"/>
              <w:spacing w:after="0"/>
              <w:rPr>
                <w:sz w:val="20"/>
                <w:szCs w:val="20"/>
                <w:color w:val="auto"/>
              </w:rPr>
            </w:pPr>
            <w:r>
              <w:rPr>
                <w:rFonts w:ascii="Arial" w:cs="Arial" w:eastAsia="Arial" w:hAnsi="Arial"/>
                <w:sz w:val="16"/>
                <w:szCs w:val="16"/>
                <w:color w:val="auto"/>
              </w:rPr>
              <w:t>93.1 %</w:t>
            </w:r>
          </w:p>
        </w:tc>
        <w:tc>
          <w:tcPr>
            <w:tcW w:w="1240" w:type="dxa"/>
            <w:vAlign w:val="bottom"/>
          </w:tcPr>
          <w:p>
            <w:pPr>
              <w:jc w:val="right"/>
              <w:spacing w:after="0"/>
              <w:rPr>
                <w:sz w:val="20"/>
                <w:szCs w:val="20"/>
                <w:color w:val="auto"/>
              </w:rPr>
            </w:pPr>
            <w:r>
              <w:rPr>
                <w:rFonts w:ascii="Arial" w:cs="Arial" w:eastAsia="Arial" w:hAnsi="Arial"/>
                <w:sz w:val="16"/>
                <w:szCs w:val="16"/>
                <w:color w:val="auto"/>
              </w:rPr>
              <w:t>99.6 %</w:t>
            </w:r>
          </w:p>
        </w:tc>
      </w:tr>
      <w:tr>
        <w:trPr>
          <w:trHeight w:val="216"/>
        </w:trPr>
        <w:tc>
          <w:tcPr>
            <w:tcW w:w="4780" w:type="dxa"/>
            <w:vAlign w:val="bottom"/>
            <w:shd w:val="clear" w:color="auto" w:fill="CEFFE7"/>
          </w:tcPr>
          <w:p>
            <w:pPr>
              <w:ind w:left="20"/>
              <w:spacing w:after="0"/>
              <w:rPr>
                <w:sz w:val="20"/>
                <w:szCs w:val="20"/>
                <w:color w:val="auto"/>
              </w:rPr>
            </w:pPr>
            <w:r>
              <w:rPr>
                <w:rFonts w:ascii="Arial" w:cs="Arial" w:eastAsia="Arial" w:hAnsi="Arial"/>
                <w:sz w:val="16"/>
                <w:szCs w:val="16"/>
                <w:color w:val="auto"/>
              </w:rPr>
              <w:t>Wind</w:t>
            </w:r>
          </w:p>
        </w:tc>
        <w:tc>
          <w:tcPr>
            <w:tcW w:w="206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97.2 %</w:t>
            </w:r>
          </w:p>
        </w:tc>
        <w:tc>
          <w:tcPr>
            <w:tcW w:w="1560" w:type="dxa"/>
            <w:vAlign w:val="bottom"/>
            <w:shd w:val="clear" w:color="auto" w:fill="CEFFE7"/>
          </w:tcPr>
          <w:p>
            <w:pPr>
              <w:jc w:val="right"/>
              <w:ind w:right="259"/>
              <w:spacing w:after="0"/>
              <w:rPr>
                <w:sz w:val="20"/>
                <w:szCs w:val="20"/>
                <w:color w:val="auto"/>
              </w:rPr>
            </w:pPr>
            <w:r>
              <w:rPr>
                <w:rFonts w:ascii="Arial" w:cs="Arial" w:eastAsia="Arial" w:hAnsi="Arial"/>
                <w:sz w:val="16"/>
                <w:szCs w:val="16"/>
                <w:color w:val="auto"/>
              </w:rPr>
              <w:t>93.1 %</w:t>
            </w:r>
          </w:p>
        </w:tc>
        <w:tc>
          <w:tcPr>
            <w:tcW w:w="1600" w:type="dxa"/>
            <w:vAlign w:val="bottom"/>
            <w:shd w:val="clear" w:color="auto" w:fill="CEFFE7"/>
          </w:tcPr>
          <w:p>
            <w:pPr>
              <w:jc w:val="right"/>
              <w:ind w:right="219"/>
              <w:spacing w:after="0"/>
              <w:rPr>
                <w:sz w:val="20"/>
                <w:szCs w:val="20"/>
                <w:color w:val="auto"/>
              </w:rPr>
            </w:pPr>
            <w:r>
              <w:rPr>
                <w:rFonts w:ascii="Arial" w:cs="Arial" w:eastAsia="Arial" w:hAnsi="Arial"/>
                <w:sz w:val="16"/>
                <w:szCs w:val="16"/>
                <w:color w:val="auto"/>
              </w:rPr>
              <w:t>95.7 %</w:t>
            </w:r>
          </w:p>
        </w:tc>
        <w:tc>
          <w:tcPr>
            <w:tcW w:w="1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94.0 %</w:t>
            </w: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Total availability</w:t>
            </w:r>
          </w:p>
        </w:tc>
        <w:tc>
          <w:tcPr>
            <w:tcW w:w="2060" w:type="dxa"/>
            <w:vAlign w:val="bottom"/>
          </w:tcPr>
          <w:p>
            <w:pPr>
              <w:jc w:val="right"/>
              <w:ind w:right="219"/>
              <w:spacing w:after="0"/>
              <w:rPr>
                <w:sz w:val="20"/>
                <w:szCs w:val="20"/>
                <w:color w:val="auto"/>
              </w:rPr>
            </w:pPr>
            <w:r>
              <w:rPr>
                <w:rFonts w:ascii="Arial" w:cs="Arial" w:eastAsia="Arial" w:hAnsi="Arial"/>
                <w:sz w:val="16"/>
                <w:szCs w:val="16"/>
                <w:color w:val="auto"/>
              </w:rPr>
              <w:t>91.4 %</w:t>
            </w:r>
          </w:p>
        </w:tc>
        <w:tc>
          <w:tcPr>
            <w:tcW w:w="1560" w:type="dxa"/>
            <w:vAlign w:val="bottom"/>
          </w:tcPr>
          <w:p>
            <w:pPr>
              <w:jc w:val="right"/>
              <w:ind w:right="259"/>
              <w:spacing w:after="0"/>
              <w:rPr>
                <w:sz w:val="20"/>
                <w:szCs w:val="20"/>
                <w:color w:val="auto"/>
              </w:rPr>
            </w:pPr>
            <w:r>
              <w:rPr>
                <w:rFonts w:ascii="Arial" w:cs="Arial" w:eastAsia="Arial" w:hAnsi="Arial"/>
                <w:sz w:val="16"/>
                <w:szCs w:val="16"/>
                <w:color w:val="auto"/>
              </w:rPr>
              <w:t>97.0 %</w:t>
            </w:r>
          </w:p>
        </w:tc>
        <w:tc>
          <w:tcPr>
            <w:tcW w:w="1600" w:type="dxa"/>
            <w:vAlign w:val="bottom"/>
          </w:tcPr>
          <w:p>
            <w:pPr>
              <w:jc w:val="right"/>
              <w:ind w:right="219"/>
              <w:spacing w:after="0"/>
              <w:rPr>
                <w:sz w:val="20"/>
                <w:szCs w:val="20"/>
                <w:color w:val="auto"/>
              </w:rPr>
            </w:pPr>
            <w:r>
              <w:rPr>
                <w:rFonts w:ascii="Arial" w:cs="Arial" w:eastAsia="Arial" w:hAnsi="Arial"/>
                <w:sz w:val="16"/>
                <w:szCs w:val="16"/>
                <w:color w:val="auto"/>
              </w:rPr>
              <w:t>94.1 %</w:t>
            </w:r>
          </w:p>
        </w:tc>
        <w:tc>
          <w:tcPr>
            <w:tcW w:w="1240" w:type="dxa"/>
            <w:vAlign w:val="bottom"/>
          </w:tcPr>
          <w:p>
            <w:pPr>
              <w:jc w:val="right"/>
              <w:spacing w:after="0"/>
              <w:rPr>
                <w:sz w:val="20"/>
                <w:szCs w:val="20"/>
                <w:color w:val="auto"/>
              </w:rPr>
            </w:pPr>
            <w:r>
              <w:rPr>
                <w:rFonts w:ascii="Arial" w:cs="Arial" w:eastAsia="Arial" w:hAnsi="Arial"/>
                <w:sz w:val="16"/>
                <w:szCs w:val="16"/>
                <w:color w:val="auto"/>
              </w:rPr>
              <w:t>96.6 %</w:t>
            </w:r>
          </w:p>
        </w:tc>
      </w:tr>
      <w:tr>
        <w:trPr>
          <w:trHeight w:val="165"/>
        </w:trPr>
        <w:tc>
          <w:tcPr>
            <w:tcW w:w="4780" w:type="dxa"/>
            <w:vAlign w:val="bottom"/>
            <w:shd w:val="clear" w:color="auto" w:fill="CEFFE7"/>
          </w:tcPr>
          <w:p>
            <w:pPr>
              <w:spacing w:after="0"/>
              <w:rPr>
                <w:sz w:val="14"/>
                <w:szCs w:val="14"/>
                <w:color w:val="auto"/>
              </w:rPr>
            </w:pPr>
          </w:p>
        </w:tc>
        <w:tc>
          <w:tcPr>
            <w:tcW w:w="2060" w:type="dxa"/>
            <w:vAlign w:val="bottom"/>
            <w:shd w:val="clear" w:color="auto" w:fill="CEFFE7"/>
          </w:tcPr>
          <w:p>
            <w:pPr>
              <w:spacing w:after="0"/>
              <w:rPr>
                <w:sz w:val="14"/>
                <w:szCs w:val="14"/>
                <w:color w:val="auto"/>
              </w:rPr>
            </w:pPr>
          </w:p>
        </w:tc>
        <w:tc>
          <w:tcPr>
            <w:tcW w:w="1560" w:type="dxa"/>
            <w:vAlign w:val="bottom"/>
            <w:shd w:val="clear" w:color="auto" w:fill="CEFFE7"/>
          </w:tcPr>
          <w:p>
            <w:pPr>
              <w:spacing w:after="0"/>
              <w:rPr>
                <w:sz w:val="14"/>
                <w:szCs w:val="14"/>
                <w:color w:val="auto"/>
              </w:rPr>
            </w:pPr>
          </w:p>
        </w:tc>
        <w:tc>
          <w:tcPr>
            <w:tcW w:w="1600" w:type="dxa"/>
            <w:vAlign w:val="bottom"/>
            <w:shd w:val="clear" w:color="auto" w:fill="CEFFE7"/>
          </w:tcPr>
          <w:p>
            <w:pPr>
              <w:spacing w:after="0"/>
              <w:rPr>
                <w:sz w:val="14"/>
                <w:szCs w:val="14"/>
                <w:color w:val="auto"/>
              </w:rPr>
            </w:pPr>
          </w:p>
        </w:tc>
        <w:tc>
          <w:tcPr>
            <w:tcW w:w="1240" w:type="dxa"/>
            <w:vAlign w:val="bottom"/>
            <w:shd w:val="clear" w:color="auto" w:fill="CEFFE7"/>
          </w:tcPr>
          <w:p>
            <w:pPr>
              <w:spacing w:after="0"/>
              <w:rPr>
                <w:sz w:val="14"/>
                <w:szCs w:val="14"/>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color w:val="auto"/>
              </w:rPr>
              <w:t>Wind capacity factor</w:t>
            </w:r>
          </w:p>
        </w:tc>
        <w:tc>
          <w:tcPr>
            <w:tcW w:w="2060" w:type="dxa"/>
            <w:vAlign w:val="bottom"/>
          </w:tcPr>
          <w:p>
            <w:pPr>
              <w:jc w:val="right"/>
              <w:ind w:right="219"/>
              <w:spacing w:after="0"/>
              <w:rPr>
                <w:sz w:val="20"/>
                <w:szCs w:val="20"/>
                <w:color w:val="auto"/>
              </w:rPr>
            </w:pPr>
            <w:r>
              <w:rPr>
                <w:rFonts w:ascii="Arial" w:cs="Arial" w:eastAsia="Arial" w:hAnsi="Arial"/>
                <w:sz w:val="16"/>
                <w:szCs w:val="16"/>
                <w:color w:val="auto"/>
              </w:rPr>
              <w:t>26.5 %</w:t>
            </w:r>
          </w:p>
        </w:tc>
        <w:tc>
          <w:tcPr>
            <w:tcW w:w="1560" w:type="dxa"/>
            <w:vAlign w:val="bottom"/>
          </w:tcPr>
          <w:p>
            <w:pPr>
              <w:jc w:val="right"/>
              <w:ind w:right="259"/>
              <w:spacing w:after="0"/>
              <w:rPr>
                <w:sz w:val="20"/>
                <w:szCs w:val="20"/>
                <w:color w:val="auto"/>
              </w:rPr>
            </w:pPr>
            <w:r>
              <w:rPr>
                <w:rFonts w:ascii="Arial" w:cs="Arial" w:eastAsia="Arial" w:hAnsi="Arial"/>
                <w:sz w:val="16"/>
                <w:szCs w:val="16"/>
                <w:color w:val="auto"/>
              </w:rPr>
              <w:t>27.5 %</w:t>
            </w:r>
          </w:p>
        </w:tc>
        <w:tc>
          <w:tcPr>
            <w:tcW w:w="1600" w:type="dxa"/>
            <w:vAlign w:val="bottom"/>
          </w:tcPr>
          <w:p>
            <w:pPr>
              <w:jc w:val="right"/>
              <w:ind w:right="219"/>
              <w:spacing w:after="0"/>
              <w:rPr>
                <w:sz w:val="20"/>
                <w:szCs w:val="20"/>
                <w:color w:val="auto"/>
              </w:rPr>
            </w:pPr>
            <w:r>
              <w:rPr>
                <w:rFonts w:ascii="Arial" w:cs="Arial" w:eastAsia="Arial" w:hAnsi="Arial"/>
                <w:sz w:val="16"/>
                <w:szCs w:val="16"/>
                <w:color w:val="auto"/>
              </w:rPr>
              <w:t>27.7 %</w:t>
            </w:r>
          </w:p>
        </w:tc>
        <w:tc>
          <w:tcPr>
            <w:tcW w:w="1240" w:type="dxa"/>
            <w:vAlign w:val="bottom"/>
          </w:tcPr>
          <w:p>
            <w:pPr>
              <w:jc w:val="right"/>
              <w:spacing w:after="0"/>
              <w:rPr>
                <w:sz w:val="20"/>
                <w:szCs w:val="20"/>
                <w:color w:val="auto"/>
              </w:rPr>
            </w:pPr>
            <w:r>
              <w:rPr>
                <w:rFonts w:ascii="Arial" w:cs="Arial" w:eastAsia="Arial" w:hAnsi="Arial"/>
                <w:sz w:val="16"/>
                <w:szCs w:val="16"/>
                <w:color w:val="auto"/>
              </w:rPr>
              <w:t>28.9 %</w:t>
            </w:r>
          </w:p>
        </w:tc>
      </w:tr>
      <w:tr>
        <w:trPr>
          <w:trHeight w:val="294"/>
        </w:trPr>
        <w:tc>
          <w:tcPr>
            <w:tcW w:w="4780" w:type="dxa"/>
            <w:vAlign w:val="bottom"/>
          </w:tcPr>
          <w:p>
            <w:pPr>
              <w:spacing w:after="0"/>
              <w:rPr>
                <w:sz w:val="20"/>
                <w:szCs w:val="20"/>
                <w:color w:val="auto"/>
              </w:rPr>
            </w:pPr>
            <w:r>
              <w:rPr>
                <w:rFonts w:ascii="Arial" w:cs="Arial" w:eastAsia="Arial" w:hAnsi="Arial"/>
                <w:sz w:val="16"/>
                <w:szCs w:val="16"/>
                <w:color w:val="auto"/>
              </w:rPr>
              <w:t>____________________</w:t>
            </w:r>
          </w:p>
        </w:tc>
        <w:tc>
          <w:tcPr>
            <w:tcW w:w="20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Availability and Wind Capacity Factor are calculated using a weighted average based on capacity of our generating fleet.</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2021 included planned outages at Wygen I and Pueblo Airport Generation.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Mining</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Our Mining segment operating results were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20" w:type="dxa"/>
            <w:vAlign w:val="bottom"/>
            <w:gridSpan w:val="5"/>
          </w:tcPr>
          <w:p>
            <w:pPr>
              <w:jc w:val="right"/>
              <w:ind w:right="619"/>
              <w:spacing w:after="0"/>
              <w:rPr>
                <w:sz w:val="20"/>
                <w:szCs w:val="20"/>
                <w:color w:val="auto"/>
              </w:rPr>
            </w:pPr>
            <w:r>
              <w:rPr>
                <w:rFonts w:ascii="Arial" w:cs="Arial" w:eastAsia="Arial" w:hAnsi="Arial"/>
                <w:sz w:val="16"/>
                <w:szCs w:val="16"/>
                <w:color w:val="auto"/>
              </w:rPr>
              <w:t>Three Months Ended June 30,</w:t>
            </w:r>
          </w:p>
        </w:tc>
        <w:tc>
          <w:tcPr>
            <w:tcW w:w="260" w:type="dxa"/>
            <w:vAlign w:val="bottom"/>
          </w:tcPr>
          <w:p>
            <w:pPr>
              <w:spacing w:after="0"/>
              <w:rPr>
                <w:sz w:val="16"/>
                <w:szCs w:val="16"/>
                <w:color w:val="auto"/>
              </w:rPr>
            </w:pPr>
          </w:p>
        </w:tc>
        <w:tc>
          <w:tcPr>
            <w:tcW w:w="3340" w:type="dxa"/>
            <w:vAlign w:val="bottom"/>
            <w:gridSpan w:val="5"/>
          </w:tcPr>
          <w:p>
            <w:pPr>
              <w:jc w:val="right"/>
              <w:ind w:right="739"/>
              <w:spacing w:after="0"/>
              <w:rPr>
                <w:sz w:val="20"/>
                <w:szCs w:val="20"/>
                <w:color w:val="auto"/>
              </w:rPr>
            </w:pPr>
            <w:r>
              <w:rPr>
                <w:rFonts w:ascii="Arial" w:cs="Arial" w:eastAsia="Arial" w:hAnsi="Arial"/>
                <w:sz w:val="16"/>
                <w:szCs w:val="16"/>
                <w:color w:val="auto"/>
              </w:rPr>
              <w:t>Six Months Ended June 30,</w:t>
            </w:r>
          </w:p>
        </w:tc>
      </w:tr>
      <w:tr>
        <w:trPr>
          <w:trHeight w:val="219"/>
        </w:trPr>
        <w:tc>
          <w:tcPr>
            <w:tcW w:w="4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Variance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Variance</w:t>
            </w:r>
          </w:p>
        </w:tc>
      </w:tr>
      <w:tr>
        <w:trPr>
          <w:trHeight w:val="253"/>
        </w:trPr>
        <w:tc>
          <w:tcPr>
            <w:tcW w:w="4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3"/>
        </w:trPr>
        <w:tc>
          <w:tcPr>
            <w:tcW w:w="4060" w:type="dxa"/>
            <w:vAlign w:val="bottom"/>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14,429</w:t>
            </w:r>
          </w:p>
        </w:tc>
        <w:tc>
          <w:tcPr>
            <w:tcW w:w="28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15,416</w:t>
            </w:r>
          </w:p>
        </w:tc>
        <w:tc>
          <w:tcPr>
            <w:tcW w:w="2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(987)</w:t>
            </w:r>
          </w:p>
        </w:tc>
        <w:tc>
          <w:tcPr>
            <w:tcW w:w="26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29,101</w:t>
            </w: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30,621</w:t>
            </w:r>
          </w:p>
        </w:tc>
        <w:tc>
          <w:tcPr>
            <w:tcW w:w="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(1,520)</w:t>
            </w:r>
          </w:p>
        </w:tc>
      </w:tr>
      <w:tr>
        <w:trPr>
          <w:trHeight w:val="253"/>
        </w:trPr>
        <w:tc>
          <w:tcPr>
            <w:tcW w:w="4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6"/>
        </w:trPr>
        <w:tc>
          <w:tcPr>
            <w:tcW w:w="406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Operations and maintenance</w:t>
            </w:r>
          </w:p>
        </w:tc>
        <w:tc>
          <w:tcPr>
            <w:tcW w:w="260" w:type="dxa"/>
            <w:vAlign w:val="bottom"/>
            <w:shd w:val="clear" w:color="auto" w:fill="CEFFE7"/>
          </w:tcPr>
          <w:p>
            <w:pPr>
              <w:spacing w:after="0"/>
              <w:rPr>
                <w:sz w:val="18"/>
                <w:szCs w:val="18"/>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8,415</w:t>
            </w:r>
          </w:p>
        </w:tc>
        <w:tc>
          <w:tcPr>
            <w:tcW w:w="280" w:type="dxa"/>
            <w:vAlign w:val="bottom"/>
            <w:shd w:val="clear" w:color="auto" w:fill="CEFFE7"/>
          </w:tcPr>
          <w:p>
            <w:pPr>
              <w:spacing w:after="0"/>
              <w:rPr>
                <w:sz w:val="18"/>
                <w:szCs w:val="18"/>
                <w:color w:val="auto"/>
              </w:rPr>
            </w:pPr>
          </w:p>
        </w:tc>
        <w:tc>
          <w:tcPr>
            <w:tcW w:w="9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9,732</w:t>
            </w:r>
          </w:p>
        </w:tc>
        <w:tc>
          <w:tcPr>
            <w:tcW w:w="24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(1,317)</w:t>
            </w:r>
          </w:p>
        </w:tc>
        <w:tc>
          <w:tcPr>
            <w:tcW w:w="260" w:type="dxa"/>
            <w:vAlign w:val="bottom"/>
            <w:shd w:val="clear" w:color="auto" w:fill="CEFFE7"/>
          </w:tcPr>
          <w:p>
            <w:pPr>
              <w:spacing w:after="0"/>
              <w:rPr>
                <w:sz w:val="18"/>
                <w:szCs w:val="18"/>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17,612</w:t>
            </w:r>
          </w:p>
        </w:tc>
        <w:tc>
          <w:tcPr>
            <w:tcW w:w="280" w:type="dxa"/>
            <w:vAlign w:val="bottom"/>
            <w:shd w:val="clear" w:color="auto" w:fill="CEFFE7"/>
          </w:tcPr>
          <w:p>
            <w:pPr>
              <w:spacing w:after="0"/>
              <w:rPr>
                <w:sz w:val="18"/>
                <w:szCs w:val="18"/>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19,558</w:t>
            </w:r>
          </w:p>
        </w:tc>
        <w:tc>
          <w:tcPr>
            <w:tcW w:w="220" w:type="dxa"/>
            <w:vAlign w:val="bottom"/>
            <w:shd w:val="clear" w:color="auto" w:fill="CEFFE7"/>
          </w:tcPr>
          <w:p>
            <w:pPr>
              <w:spacing w:after="0"/>
              <w:rPr>
                <w:sz w:val="18"/>
                <w:szCs w:val="18"/>
                <w:color w:val="auto"/>
              </w:rPr>
            </w:pP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(1,946)</w:t>
            </w:r>
          </w:p>
        </w:tc>
      </w:tr>
      <w:tr>
        <w:trPr>
          <w:trHeight w:val="213"/>
        </w:trPr>
        <w:tc>
          <w:tcPr>
            <w:tcW w:w="4060" w:type="dxa"/>
            <w:vAlign w:val="bottom"/>
            <w:tcBorders>
              <w:bottom w:val="single" w:sz="8" w:color="CEFFE7"/>
            </w:tcBorders>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2,370</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2,326</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4,584</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4,576</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4060" w:type="dxa"/>
            <w:vAlign w:val="bottom"/>
            <w:shd w:val="clear" w:color="auto" w:fill="CEFFE7"/>
          </w:tcPr>
          <w:p>
            <w:pPr>
              <w:ind w:left="56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10,785</w:t>
            </w:r>
          </w:p>
        </w:tc>
        <w:tc>
          <w:tcPr>
            <w:tcW w:w="280" w:type="dxa"/>
            <w:vAlign w:val="bottom"/>
            <w:tcBorders>
              <w:bottom w:val="single" w:sz="8" w:color="auto"/>
            </w:tcBorders>
            <w:shd w:val="clear" w:color="auto" w:fill="CEFFE7"/>
          </w:tcPr>
          <w:p>
            <w:pPr>
              <w:spacing w:after="0"/>
              <w:rPr>
                <w:sz w:val="18"/>
                <w:szCs w:val="18"/>
                <w:color w:val="auto"/>
              </w:rPr>
            </w:pP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12,058</w:t>
            </w:r>
          </w:p>
        </w:tc>
        <w:tc>
          <w:tcPr>
            <w:tcW w:w="24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(1,273)</w:t>
            </w:r>
          </w:p>
        </w:tc>
        <w:tc>
          <w:tcPr>
            <w:tcW w:w="260" w:type="dxa"/>
            <w:vAlign w:val="bottom"/>
            <w:tcBorders>
              <w:bottom w:val="single" w:sz="8" w:color="auto"/>
            </w:tcBorders>
            <w:shd w:val="clear" w:color="auto" w:fill="CEFFE7"/>
          </w:tcPr>
          <w:p>
            <w:pPr>
              <w:spacing w:after="0"/>
              <w:rPr>
                <w:sz w:val="18"/>
                <w:szCs w:val="18"/>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22,196</w:t>
            </w:r>
          </w:p>
        </w:tc>
        <w:tc>
          <w:tcPr>
            <w:tcW w:w="280" w:type="dxa"/>
            <w:vAlign w:val="bottom"/>
            <w:tcBorders>
              <w:bottom w:val="single" w:sz="8" w:color="auto"/>
            </w:tcBorders>
            <w:shd w:val="clear" w:color="auto" w:fill="CEFFE7"/>
          </w:tcPr>
          <w:p>
            <w:pPr>
              <w:spacing w:after="0"/>
              <w:rPr>
                <w:sz w:val="18"/>
                <w:szCs w:val="18"/>
                <w:color w:val="auto"/>
              </w:rPr>
            </w:pP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24,134</w:t>
            </w:r>
          </w:p>
        </w:tc>
        <w:tc>
          <w:tcPr>
            <w:tcW w:w="220" w:type="dxa"/>
            <w:vAlign w:val="bottom"/>
            <w:tcBorders>
              <w:bottom w:val="single" w:sz="8" w:color="auto"/>
            </w:tcBorders>
            <w:shd w:val="clear" w:color="auto" w:fill="CEFFE7"/>
          </w:tcPr>
          <w:p>
            <w:pPr>
              <w:spacing w:after="0"/>
              <w:rPr>
                <w:sz w:val="18"/>
                <w:szCs w:val="18"/>
                <w:color w:val="auto"/>
              </w:rPr>
            </w:pP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(1,938)</w:t>
            </w:r>
          </w:p>
        </w:tc>
      </w:tr>
      <w:tr>
        <w:trPr>
          <w:trHeight w:val="253"/>
        </w:trPr>
        <w:tc>
          <w:tcPr>
            <w:tcW w:w="4060" w:type="dxa"/>
            <w:vAlign w:val="bottom"/>
            <w:tcBorders>
              <w:bottom w:val="single" w:sz="8" w:color="CEFFE7"/>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r>
      <w:tr>
        <w:trPr>
          <w:trHeight w:val="235"/>
        </w:trPr>
        <w:tc>
          <w:tcPr>
            <w:tcW w:w="40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Adjusted operating income</w:t>
            </w:r>
          </w:p>
        </w:tc>
        <w:tc>
          <w:tcPr>
            <w:tcW w:w="26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3,644</w:t>
            </w:r>
          </w:p>
        </w:tc>
        <w:tc>
          <w:tcPr>
            <w:tcW w:w="28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3,358</w:t>
            </w:r>
          </w:p>
        </w:tc>
        <w:tc>
          <w:tcPr>
            <w:tcW w:w="2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286</w:t>
            </w:r>
          </w:p>
        </w:tc>
        <w:tc>
          <w:tcPr>
            <w:tcW w:w="26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6,905</w:t>
            </w: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6,487</w:t>
            </w:r>
          </w:p>
        </w:tc>
        <w:tc>
          <w:tcPr>
            <w:tcW w:w="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418</w:t>
            </w:r>
          </w:p>
        </w:tc>
      </w:tr>
      <w:tr>
        <w:trPr>
          <w:trHeight w:val="20"/>
        </w:trPr>
        <w:tc>
          <w:tcPr>
            <w:tcW w:w="406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900" w:type="dxa"/>
            <w:vAlign w:val="bottom"/>
            <w:tcBorders>
              <w:top w:val="single" w:sz="8" w:color="CEFFE7"/>
              <w:bottom w:val="single" w:sz="8" w:color="auto"/>
            </w:tcBorders>
          </w:tcPr>
          <w:p>
            <w:pPr>
              <w:spacing w:after="0" w:line="20" w:lineRule="exact"/>
              <w:rPr>
                <w:sz w:val="1"/>
                <w:szCs w:val="1"/>
                <w:color w:val="auto"/>
              </w:rPr>
            </w:pPr>
          </w:p>
        </w:tc>
        <w:tc>
          <w:tcPr>
            <w:tcW w:w="240" w:type="dxa"/>
            <w:vAlign w:val="bottom"/>
            <w:tcBorders>
              <w:top w:val="single" w:sz="8" w:color="CEFFE7"/>
              <w:bottom w:val="single" w:sz="8" w:color="auto"/>
            </w:tcBorders>
          </w:tcPr>
          <w:p>
            <w:pPr>
              <w:spacing w:after="0" w:line="20" w:lineRule="exact"/>
              <w:rPr>
                <w:sz w:val="1"/>
                <w:szCs w:val="1"/>
                <w:color w:val="auto"/>
              </w:rPr>
            </w:pPr>
          </w:p>
        </w:tc>
        <w:tc>
          <w:tcPr>
            <w:tcW w:w="1000" w:type="dxa"/>
            <w:vAlign w:val="bottom"/>
            <w:tcBorders>
              <w:top w:val="single" w:sz="8" w:color="CEFFE7"/>
              <w:bottom w:val="single" w:sz="8" w:color="auto"/>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92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92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1000" w:type="dxa"/>
            <w:vAlign w:val="bottom"/>
            <w:tcBorders>
              <w:top w:val="single" w:sz="8" w:color="CEFFE7"/>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and Six Months Ended June 30, 2021 Compared to the Three and Six Months Ended June 30, 2020: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Current year revenue decreased due to fewer tons sold driven primarily by planned and unplanned outages at the Gillette, Wyoming energy complex.</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decreased primarily due to lower overburden costs, royalties and production taxes on decreased revenues.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Statistics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certain operating statistics for our Mining segment (in thousands, except for Revenue per ton):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4"/>
          </w:tcPr>
          <w:p>
            <w:pPr>
              <w:jc w:val="center"/>
              <w:spacing w:after="0"/>
              <w:rPr>
                <w:sz w:val="20"/>
                <w:szCs w:val="20"/>
                <w:color w:val="auto"/>
              </w:rPr>
            </w:pPr>
            <w:r>
              <w:rPr>
                <w:rFonts w:ascii="Arial" w:cs="Arial" w:eastAsia="Arial" w:hAnsi="Arial"/>
                <w:sz w:val="16"/>
                <w:szCs w:val="16"/>
                <w:color w:val="auto"/>
              </w:rPr>
              <w:t>Three Months Ended June 30,</w:t>
            </w:r>
          </w:p>
        </w:tc>
        <w:tc>
          <w:tcPr>
            <w:tcW w:w="320" w:type="dxa"/>
            <w:vAlign w:val="bottom"/>
          </w:tcPr>
          <w:p>
            <w:pPr>
              <w:spacing w:after="0"/>
              <w:rPr>
                <w:sz w:val="16"/>
                <w:szCs w:val="16"/>
                <w:color w:val="auto"/>
              </w:rPr>
            </w:pPr>
          </w:p>
        </w:tc>
        <w:tc>
          <w:tcPr>
            <w:tcW w:w="3060" w:type="dxa"/>
            <w:vAlign w:val="bottom"/>
            <w:gridSpan w:val="5"/>
          </w:tcPr>
          <w:p>
            <w:pPr>
              <w:jc w:val="right"/>
              <w:ind w:right="379"/>
              <w:spacing w:after="0"/>
              <w:rPr>
                <w:sz w:val="20"/>
                <w:szCs w:val="20"/>
                <w:color w:val="auto"/>
              </w:rPr>
            </w:pPr>
            <w:r>
              <w:rPr>
                <w:rFonts w:ascii="Arial" w:cs="Arial" w:eastAsia="Arial" w:hAnsi="Arial"/>
                <w:sz w:val="16"/>
                <w:szCs w:val="16"/>
                <w:color w:val="auto"/>
              </w:rPr>
              <w:t>Six Months Ended June 30,</w:t>
            </w:r>
          </w:p>
        </w:tc>
      </w:tr>
      <w:tr>
        <w:trPr>
          <w:trHeight w:val="219"/>
        </w:trPr>
        <w:tc>
          <w:tcPr>
            <w:tcW w:w="4440" w:type="dxa"/>
            <w:vAlign w:val="bottom"/>
            <w:tcBorders>
              <w:bottom w:val="single" w:sz="8" w:color="CEFFE7"/>
            </w:tcBorders>
          </w:tcPr>
          <w:p>
            <w:pPr>
              <w:spacing w:after="0"/>
              <w:rPr>
                <w:sz w:val="19"/>
                <w:szCs w:val="19"/>
                <w:color w:val="auto"/>
              </w:rPr>
            </w:pPr>
          </w:p>
        </w:tc>
        <w:tc>
          <w:tcPr>
            <w:tcW w:w="260" w:type="dxa"/>
            <w:vAlign w:val="bottom"/>
            <w:tcBorders>
              <w:bottom w:val="single" w:sz="8" w:color="CEFFE7"/>
            </w:tcBorders>
          </w:tcPr>
          <w:p>
            <w:pPr>
              <w:spacing w:after="0"/>
              <w:rPr>
                <w:sz w:val="19"/>
                <w:szCs w:val="19"/>
                <w:color w:val="auto"/>
              </w:rPr>
            </w:pPr>
          </w:p>
        </w:tc>
        <w:tc>
          <w:tcPr>
            <w:tcW w:w="600" w:type="dxa"/>
            <w:vAlign w:val="bottom"/>
            <w:tcBorders>
              <w:bottom w:val="single" w:sz="8" w:color="CEFFE7"/>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2021</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2020</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2020</w:t>
            </w:r>
          </w:p>
        </w:tc>
      </w:tr>
      <w:tr>
        <w:trPr>
          <w:trHeight w:val="213"/>
        </w:trPr>
        <w:tc>
          <w:tcPr>
            <w:tcW w:w="4440" w:type="dxa"/>
            <w:vAlign w:val="bottom"/>
            <w:shd w:val="clear" w:color="auto" w:fill="CEFFE7"/>
          </w:tcPr>
          <w:p>
            <w:pPr>
              <w:ind w:left="20"/>
              <w:spacing w:after="0"/>
              <w:rPr>
                <w:sz w:val="20"/>
                <w:szCs w:val="20"/>
                <w:color w:val="auto"/>
              </w:rPr>
            </w:pPr>
            <w:r>
              <w:rPr>
                <w:rFonts w:ascii="Arial" w:cs="Arial" w:eastAsia="Arial" w:hAnsi="Arial"/>
                <w:sz w:val="16"/>
                <w:szCs w:val="16"/>
                <w:color w:val="auto"/>
              </w:rPr>
              <w:t>Tons of coal sold</w:t>
            </w:r>
          </w:p>
        </w:tc>
        <w:tc>
          <w:tcPr>
            <w:tcW w:w="260" w:type="dxa"/>
            <w:vAlign w:val="bottom"/>
            <w:shd w:val="clear" w:color="auto" w:fill="CEFFE7"/>
          </w:tcPr>
          <w:p>
            <w:pPr>
              <w:spacing w:after="0"/>
              <w:rPr>
                <w:sz w:val="18"/>
                <w:szCs w:val="18"/>
                <w:color w:val="auto"/>
              </w:rPr>
            </w:pPr>
          </w:p>
        </w:tc>
        <w:tc>
          <w:tcPr>
            <w:tcW w:w="600" w:type="dxa"/>
            <w:vAlign w:val="bottom"/>
            <w:shd w:val="clear" w:color="auto" w:fill="CEFFE7"/>
          </w:tcPr>
          <w:p>
            <w:pPr>
              <w:spacing w:after="0"/>
              <w:rPr>
                <w:sz w:val="18"/>
                <w:szCs w:val="18"/>
                <w:color w:val="auto"/>
              </w:rPr>
            </w:pPr>
          </w:p>
        </w:tc>
        <w:tc>
          <w:tcPr>
            <w:tcW w:w="28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856</w:t>
            </w:r>
          </w:p>
        </w:tc>
        <w:tc>
          <w:tcPr>
            <w:tcW w:w="220" w:type="dxa"/>
            <w:vAlign w:val="bottom"/>
            <w:shd w:val="clear" w:color="auto" w:fill="CEFFE7"/>
          </w:tcPr>
          <w:p>
            <w:pPr>
              <w:spacing w:after="0"/>
              <w:rPr>
                <w:sz w:val="18"/>
                <w:szCs w:val="18"/>
                <w:color w:val="auto"/>
              </w:rPr>
            </w:pPr>
          </w:p>
        </w:tc>
        <w:tc>
          <w:tcPr>
            <w:tcW w:w="940" w:type="dxa"/>
            <w:vAlign w:val="bottom"/>
            <w:shd w:val="clear" w:color="auto" w:fill="CEFFE7"/>
          </w:tcPr>
          <w:p>
            <w:pPr>
              <w:spacing w:after="0"/>
              <w:rPr>
                <w:sz w:val="18"/>
                <w:szCs w:val="18"/>
                <w:color w:val="auto"/>
              </w:rPr>
            </w:pPr>
          </w:p>
        </w:tc>
        <w:tc>
          <w:tcPr>
            <w:tcW w:w="320" w:type="dxa"/>
            <w:vAlign w:val="bottom"/>
            <w:shd w:val="clear" w:color="auto" w:fill="CEFFE7"/>
          </w:tcPr>
          <w:p>
            <w:pPr>
              <w:jc w:val="right"/>
              <w:spacing w:after="0"/>
              <w:rPr>
                <w:sz w:val="20"/>
                <w:szCs w:val="20"/>
                <w:color w:val="auto"/>
              </w:rPr>
            </w:pPr>
            <w:r>
              <w:rPr>
                <w:rFonts w:ascii="Arial" w:cs="Arial" w:eastAsia="Arial" w:hAnsi="Arial"/>
                <w:sz w:val="16"/>
                <w:szCs w:val="16"/>
                <w:color w:val="auto"/>
                <w:w w:val="97"/>
              </w:rPr>
              <w:t>972</w:t>
            </w:r>
          </w:p>
        </w:tc>
        <w:tc>
          <w:tcPr>
            <w:tcW w:w="1080" w:type="dxa"/>
            <w:vAlign w:val="bottom"/>
            <w:shd w:val="clear" w:color="auto" w:fill="CEFFE7"/>
          </w:tcPr>
          <w:p>
            <w:pPr>
              <w:spacing w:after="0"/>
              <w:rPr>
                <w:sz w:val="18"/>
                <w:szCs w:val="18"/>
                <w:color w:val="auto"/>
              </w:rPr>
            </w:pPr>
          </w:p>
        </w:tc>
        <w:tc>
          <w:tcPr>
            <w:tcW w:w="4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1,731</w:t>
            </w:r>
          </w:p>
        </w:tc>
        <w:tc>
          <w:tcPr>
            <w:tcW w:w="340" w:type="dxa"/>
            <w:vAlign w:val="bottom"/>
            <w:shd w:val="clear" w:color="auto" w:fill="CEFFE7"/>
          </w:tcPr>
          <w:p>
            <w:pPr>
              <w:spacing w:after="0"/>
              <w:rPr>
                <w:sz w:val="18"/>
                <w:szCs w:val="18"/>
                <w:color w:val="auto"/>
              </w:rPr>
            </w:pPr>
          </w:p>
        </w:tc>
        <w:tc>
          <w:tcPr>
            <w:tcW w:w="200" w:type="dxa"/>
            <w:vAlign w:val="bottom"/>
            <w:shd w:val="clear" w:color="auto" w:fill="CEFFE7"/>
          </w:tcPr>
          <w:p>
            <w:pPr>
              <w:spacing w:after="0"/>
              <w:rPr>
                <w:sz w:val="18"/>
                <w:szCs w:val="18"/>
                <w:color w:val="auto"/>
              </w:rPr>
            </w:pPr>
          </w:p>
        </w:tc>
        <w:tc>
          <w:tcPr>
            <w:tcW w:w="960" w:type="dxa"/>
            <w:vAlign w:val="bottom"/>
            <w:shd w:val="clear" w:color="auto" w:fill="CEFFE7"/>
          </w:tcPr>
          <w:p>
            <w:pPr>
              <w:jc w:val="center"/>
              <w:ind w:left="319"/>
              <w:spacing w:after="0"/>
              <w:rPr>
                <w:sz w:val="20"/>
                <w:szCs w:val="20"/>
                <w:color w:val="auto"/>
              </w:rPr>
            </w:pPr>
            <w:r>
              <w:rPr>
                <w:rFonts w:ascii="Arial" w:cs="Arial" w:eastAsia="Arial" w:hAnsi="Arial"/>
                <w:sz w:val="16"/>
                <w:szCs w:val="16"/>
                <w:color w:val="auto"/>
                <w:w w:val="99"/>
              </w:rPr>
              <w:t>1,868</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Cubic yards of overburden moved</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1,609</w:t>
            </w:r>
          </w:p>
        </w:tc>
        <w:tc>
          <w:tcPr>
            <w:tcW w:w="2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2,211</w:t>
            </w:r>
          </w:p>
        </w:tc>
        <w:tc>
          <w:tcPr>
            <w:tcW w:w="10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3,431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center"/>
              <w:ind w:left="319"/>
              <w:spacing w:after="0"/>
              <w:rPr>
                <w:sz w:val="20"/>
                <w:szCs w:val="20"/>
                <w:color w:val="auto"/>
              </w:rPr>
            </w:pPr>
            <w:r>
              <w:rPr>
                <w:rFonts w:ascii="Arial" w:cs="Arial" w:eastAsia="Arial" w:hAnsi="Arial"/>
                <w:sz w:val="16"/>
                <w:szCs w:val="16"/>
                <w:color w:val="auto"/>
                <w:w w:val="99"/>
              </w:rPr>
              <w:t>4,478</w:t>
            </w:r>
          </w:p>
        </w:tc>
      </w:tr>
      <w:tr>
        <w:trPr>
          <w:trHeight w:val="273"/>
        </w:trPr>
        <w:tc>
          <w:tcPr>
            <w:tcW w:w="4440" w:type="dxa"/>
            <w:vAlign w:val="bottom"/>
            <w:shd w:val="clear" w:color="auto" w:fill="CEFFE7"/>
          </w:tcPr>
          <w:p>
            <w:pPr>
              <w:spacing w:after="0"/>
              <w:rPr>
                <w:sz w:val="23"/>
                <w:szCs w:val="23"/>
                <w:color w:val="auto"/>
              </w:rPr>
            </w:pPr>
          </w:p>
        </w:tc>
        <w:tc>
          <w:tcPr>
            <w:tcW w:w="260" w:type="dxa"/>
            <w:vAlign w:val="bottom"/>
            <w:shd w:val="clear" w:color="auto" w:fill="CEFFE7"/>
          </w:tcPr>
          <w:p>
            <w:pPr>
              <w:spacing w:after="0"/>
              <w:rPr>
                <w:sz w:val="23"/>
                <w:szCs w:val="23"/>
                <w:color w:val="auto"/>
              </w:rPr>
            </w:pPr>
          </w:p>
        </w:tc>
        <w:tc>
          <w:tcPr>
            <w:tcW w:w="60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92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1260" w:type="dxa"/>
            <w:vAlign w:val="bottom"/>
            <w:gridSpan w:val="2"/>
            <w:shd w:val="clear" w:color="auto" w:fill="CEFFE7"/>
          </w:tcPr>
          <w:p>
            <w:pPr>
              <w:spacing w:after="0"/>
              <w:rPr>
                <w:sz w:val="23"/>
                <w:szCs w:val="23"/>
                <w:color w:val="auto"/>
              </w:rPr>
            </w:pPr>
          </w:p>
        </w:tc>
        <w:tc>
          <w:tcPr>
            <w:tcW w:w="1080" w:type="dxa"/>
            <w:vAlign w:val="bottom"/>
            <w:shd w:val="clear" w:color="auto" w:fill="CEFFE7"/>
          </w:tcPr>
          <w:p>
            <w:pPr>
              <w:spacing w:after="0"/>
              <w:rPr>
                <w:sz w:val="23"/>
                <w:szCs w:val="23"/>
                <w:color w:val="auto"/>
              </w:rPr>
            </w:pPr>
          </w:p>
        </w:tc>
        <w:tc>
          <w:tcPr>
            <w:tcW w:w="480" w:type="dxa"/>
            <w:vAlign w:val="bottom"/>
            <w:shd w:val="clear" w:color="auto" w:fill="CEFFE7"/>
          </w:tcPr>
          <w:p>
            <w:pPr>
              <w:spacing w:after="0"/>
              <w:rPr>
                <w:sz w:val="23"/>
                <w:szCs w:val="23"/>
                <w:color w:val="auto"/>
              </w:rPr>
            </w:pPr>
          </w:p>
        </w:tc>
        <w:tc>
          <w:tcPr>
            <w:tcW w:w="34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960" w:type="dxa"/>
            <w:vAlign w:val="bottom"/>
            <w:shd w:val="clear" w:color="auto" w:fill="CEFFE7"/>
          </w:tcPr>
          <w:p>
            <w:pPr>
              <w:spacing w:after="0"/>
              <w:rPr>
                <w:sz w:val="23"/>
                <w:szCs w:val="23"/>
                <w:color w:val="auto"/>
              </w:rPr>
            </w:pPr>
          </w:p>
        </w:tc>
      </w:tr>
      <w:tr>
        <w:trPr>
          <w:trHeight w:val="210"/>
        </w:trPr>
        <w:tc>
          <w:tcPr>
            <w:tcW w:w="4440" w:type="dxa"/>
            <w:vAlign w:val="bottom"/>
          </w:tcPr>
          <w:p>
            <w:pPr>
              <w:ind w:left="20"/>
              <w:spacing w:after="0"/>
              <w:rPr>
                <w:sz w:val="20"/>
                <w:szCs w:val="20"/>
                <w:color w:val="auto"/>
              </w:rPr>
            </w:pPr>
            <w:r>
              <w:rPr>
                <w:rFonts w:ascii="Arial" w:cs="Arial" w:eastAsia="Arial" w:hAnsi="Arial"/>
                <w:sz w:val="16"/>
                <w:szCs w:val="16"/>
                <w:color w:val="auto"/>
              </w:rPr>
              <w:t>Revenue per ton</w:t>
            </w:r>
          </w:p>
        </w:tc>
        <w:tc>
          <w:tcPr>
            <w:tcW w:w="2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16.18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15.27</w:t>
            </w:r>
          </w:p>
        </w:tc>
        <w:tc>
          <w:tcPr>
            <w:tcW w:w="108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16.14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tcPr>
          <w:p>
            <w:pPr>
              <w:jc w:val="center"/>
              <w:ind w:left="319"/>
              <w:spacing w:after="0"/>
              <w:rPr>
                <w:sz w:val="20"/>
                <w:szCs w:val="20"/>
                <w:color w:val="auto"/>
              </w:rPr>
            </w:pPr>
            <w:r>
              <w:rPr>
                <w:rFonts w:ascii="Arial" w:cs="Arial" w:eastAsia="Arial" w:hAnsi="Arial"/>
                <w:sz w:val="16"/>
                <w:szCs w:val="16"/>
                <w:color w:val="auto"/>
                <w:w w:val="99"/>
              </w:rPr>
              <w:t>15.66</w:t>
            </w:r>
          </w:p>
        </w:tc>
      </w:tr>
      <w:tr>
        <w:trPr>
          <w:trHeight w:val="769"/>
        </w:trPr>
        <w:tc>
          <w:tcPr>
            <w:tcW w:w="4440" w:type="dxa"/>
            <w:vAlign w:val="bottom"/>
          </w:tcPr>
          <w:p>
            <w:pPr>
              <w:spacing w:after="0"/>
              <w:rPr>
                <w:sz w:val="20"/>
                <w:szCs w:val="20"/>
                <w:color w:val="auto"/>
              </w:rPr>
            </w:pPr>
            <w:r>
              <w:rPr>
                <w:rFonts w:ascii="Arial" w:cs="Arial" w:eastAsia="Arial" w:hAnsi="Arial"/>
                <w:sz w:val="16"/>
                <w:szCs w:val="16"/>
                <w:b w:val="1"/>
                <w:bCs w:val="1"/>
                <w:color w:val="auto"/>
              </w:rPr>
              <w:t>Corporate and Other</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2"/>
        </w:trPr>
        <w:tc>
          <w:tcPr>
            <w:tcW w:w="5580" w:type="dxa"/>
            <w:vAlign w:val="bottom"/>
            <w:gridSpan w:val="4"/>
          </w:tcPr>
          <w:p>
            <w:pPr>
              <w:spacing w:after="0"/>
              <w:rPr>
                <w:sz w:val="20"/>
                <w:szCs w:val="20"/>
                <w:color w:val="auto"/>
              </w:rPr>
            </w:pPr>
            <w:r>
              <w:rPr>
                <w:rFonts w:ascii="Arial" w:cs="Arial" w:eastAsia="Arial" w:hAnsi="Arial"/>
                <w:sz w:val="16"/>
                <w:szCs w:val="16"/>
                <w:color w:val="auto"/>
              </w:rPr>
              <w:t>Corporate and Other operating results were as follows (in thousands):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4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6"/>
          </w:tcPr>
          <w:p>
            <w:pPr>
              <w:jc w:val="right"/>
              <w:ind w:right="539"/>
              <w:spacing w:after="0"/>
              <w:rPr>
                <w:sz w:val="20"/>
                <w:szCs w:val="20"/>
                <w:color w:val="auto"/>
              </w:rPr>
            </w:pPr>
            <w:r>
              <w:rPr>
                <w:rFonts w:ascii="Arial" w:cs="Arial" w:eastAsia="Arial" w:hAnsi="Arial"/>
                <w:sz w:val="16"/>
                <w:szCs w:val="16"/>
                <w:color w:val="auto"/>
              </w:rPr>
              <w:t>Three Months Ended June 30,</w:t>
            </w:r>
          </w:p>
        </w:tc>
        <w:tc>
          <w:tcPr>
            <w:tcW w:w="320" w:type="dxa"/>
            <w:vAlign w:val="bottom"/>
          </w:tcPr>
          <w:p>
            <w:pPr>
              <w:spacing w:after="0"/>
              <w:rPr>
                <w:sz w:val="24"/>
                <w:szCs w:val="24"/>
                <w:color w:val="auto"/>
              </w:rPr>
            </w:pPr>
          </w:p>
        </w:tc>
        <w:tc>
          <w:tcPr>
            <w:tcW w:w="3060" w:type="dxa"/>
            <w:vAlign w:val="bottom"/>
            <w:gridSpan w:val="5"/>
          </w:tcPr>
          <w:p>
            <w:pPr>
              <w:jc w:val="right"/>
              <w:ind w:right="639"/>
              <w:spacing w:after="0"/>
              <w:rPr>
                <w:sz w:val="20"/>
                <w:szCs w:val="20"/>
                <w:color w:val="auto"/>
              </w:rPr>
            </w:pPr>
            <w:r>
              <w:rPr>
                <w:rFonts w:ascii="Arial" w:cs="Arial" w:eastAsia="Arial" w:hAnsi="Arial"/>
                <w:sz w:val="16"/>
                <w:szCs w:val="16"/>
                <w:color w:val="auto"/>
              </w:rPr>
              <w:t>Six Months Ended June 30,</w:t>
            </w:r>
          </w:p>
        </w:tc>
      </w:tr>
      <w:tr>
        <w:trPr>
          <w:trHeight w:val="219"/>
        </w:trPr>
        <w:tc>
          <w:tcPr>
            <w:tcW w:w="44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2021</w:t>
            </w: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Variance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2021</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Variance</w:t>
            </w:r>
          </w:p>
        </w:tc>
      </w:tr>
      <w:tr>
        <w:trPr>
          <w:trHeight w:val="253"/>
        </w:trPr>
        <w:tc>
          <w:tcPr>
            <w:tcW w:w="4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41"/>
        </w:trPr>
        <w:tc>
          <w:tcPr>
            <w:tcW w:w="44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Adjusted operating income (loss)</w:t>
            </w:r>
          </w:p>
        </w:tc>
        <w:tc>
          <w:tcPr>
            <w:tcW w:w="26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2"/>
            <w:shd w:val="clear" w:color="auto" w:fill="CEFFE7"/>
          </w:tcPr>
          <w:p>
            <w:pPr>
              <w:jc w:val="right"/>
              <w:ind w:right="20"/>
              <w:spacing w:after="0"/>
              <w:rPr>
                <w:sz w:val="20"/>
                <w:szCs w:val="20"/>
                <w:color w:val="auto"/>
              </w:rPr>
            </w:pPr>
            <w:r>
              <w:rPr>
                <w:rFonts w:ascii="Arial" w:cs="Arial" w:eastAsia="Arial" w:hAnsi="Arial"/>
                <w:sz w:val="16"/>
                <w:szCs w:val="16"/>
                <w:color w:val="auto"/>
              </w:rPr>
              <w:t>(181)</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w:t>
            </w:r>
          </w:p>
        </w:tc>
        <w:tc>
          <w:tcPr>
            <w:tcW w:w="2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(152)</w:t>
            </w:r>
          </w:p>
        </w:tc>
        <w:tc>
          <w:tcPr>
            <w:tcW w:w="320" w:type="dxa"/>
            <w:vAlign w:val="bottom"/>
            <w:tcBorders>
              <w:bottom w:val="single" w:sz="8" w:color="auto"/>
            </w:tcBorders>
            <w:shd w:val="clear" w:color="auto" w:fill="CEFFE7"/>
          </w:tcPr>
          <w:p>
            <w:pPr>
              <w:jc w:val="right"/>
              <w:ind w:right="162"/>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(3,303) $</w:t>
            </w:r>
          </w:p>
        </w:tc>
        <w:tc>
          <w:tcPr>
            <w:tcW w:w="480" w:type="dxa"/>
            <w:vAlign w:val="bottom"/>
            <w:tcBorders>
              <w:bottom w:val="single" w:sz="8" w:color="auto"/>
            </w:tcBorders>
            <w:shd w:val="clear" w:color="auto" w:fill="CEFFE7"/>
          </w:tcPr>
          <w:p>
            <w:pPr>
              <w:spacing w:after="0"/>
              <w:rPr>
                <w:sz w:val="20"/>
                <w:szCs w:val="20"/>
                <w:color w:val="auto"/>
              </w:rPr>
            </w:pP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131</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center"/>
              <w:ind w:left="319"/>
              <w:spacing w:after="0"/>
              <w:rPr>
                <w:sz w:val="20"/>
                <w:szCs w:val="20"/>
                <w:color w:val="auto"/>
              </w:rPr>
            </w:pPr>
            <w:r>
              <w:rPr>
                <w:rFonts w:ascii="Arial" w:cs="Arial" w:eastAsia="Arial" w:hAnsi="Arial"/>
                <w:sz w:val="16"/>
                <w:szCs w:val="16"/>
                <w:color w:val="auto"/>
              </w:rPr>
              <w:t>(3,434)</w:t>
            </w:r>
          </w:p>
        </w:tc>
      </w:tr>
      <w:tr>
        <w:trPr>
          <w:trHeight w:val="20"/>
        </w:trPr>
        <w:tc>
          <w:tcPr>
            <w:tcW w:w="4440" w:type="dxa"/>
            <w:vAlign w:val="bottom"/>
            <w:tcBorders>
              <w:top w:val="single" w:sz="8" w:color="CEFFE7"/>
            </w:tcBorders>
          </w:tcPr>
          <w:p>
            <w:pPr>
              <w:spacing w:after="0" w:line="20" w:lineRule="exact"/>
              <w:rPr>
                <w:sz w:val="1"/>
                <w:szCs w:val="1"/>
                <w:color w:val="auto"/>
              </w:rPr>
            </w:pPr>
          </w:p>
        </w:tc>
        <w:tc>
          <w:tcPr>
            <w:tcW w:w="260" w:type="dxa"/>
            <w:vAlign w:val="bottom"/>
            <w:tcBorders>
              <w:top w:val="single" w:sz="8" w:color="CEFFE7"/>
              <w:bottom w:val="single" w:sz="8" w:color="auto"/>
            </w:tcBorders>
          </w:tcPr>
          <w:p>
            <w:pPr>
              <w:spacing w:after="0" w:line="20" w:lineRule="exact"/>
              <w:rPr>
                <w:sz w:val="1"/>
                <w:szCs w:val="1"/>
                <w:color w:val="auto"/>
              </w:rPr>
            </w:pPr>
          </w:p>
        </w:tc>
        <w:tc>
          <w:tcPr>
            <w:tcW w:w="600" w:type="dxa"/>
            <w:vAlign w:val="bottom"/>
            <w:tcBorders>
              <w:top w:val="single" w:sz="8" w:color="CEFFE7"/>
              <w:bottom w:val="single" w:sz="8" w:color="auto"/>
            </w:tcBorders>
          </w:tcPr>
          <w:p>
            <w:pPr>
              <w:spacing w:after="0" w:line="20" w:lineRule="exact"/>
              <w:rPr>
                <w:sz w:val="1"/>
                <w:szCs w:val="1"/>
                <w:color w:val="auto"/>
              </w:rPr>
            </w:pPr>
          </w:p>
        </w:tc>
        <w:tc>
          <w:tcPr>
            <w:tcW w:w="28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920" w:type="dxa"/>
            <w:vAlign w:val="bottom"/>
            <w:tcBorders>
              <w:top w:val="single" w:sz="8" w:color="CEFFE7"/>
              <w:bottom w:val="single" w:sz="8" w:color="auto"/>
            </w:tcBorders>
          </w:tcPr>
          <w:p>
            <w:pPr>
              <w:spacing w:after="0" w:line="20" w:lineRule="exact"/>
              <w:rPr>
                <w:sz w:val="1"/>
                <w:szCs w:val="1"/>
                <w:color w:val="auto"/>
              </w:rPr>
            </w:pPr>
          </w:p>
        </w:tc>
        <w:tc>
          <w:tcPr>
            <w:tcW w:w="220" w:type="dxa"/>
            <w:vAlign w:val="bottom"/>
            <w:tcBorders>
              <w:top w:val="single" w:sz="8" w:color="CEFFE7"/>
              <w:bottom w:val="single" w:sz="8" w:color="auto"/>
            </w:tcBorders>
          </w:tcPr>
          <w:p>
            <w:pPr>
              <w:spacing w:after="0" w:line="20" w:lineRule="exact"/>
              <w:rPr>
                <w:sz w:val="1"/>
                <w:szCs w:val="1"/>
                <w:color w:val="auto"/>
              </w:rPr>
            </w:pPr>
          </w:p>
        </w:tc>
        <w:tc>
          <w:tcPr>
            <w:tcW w:w="940" w:type="dxa"/>
            <w:vAlign w:val="bottom"/>
            <w:tcBorders>
              <w:top w:val="single" w:sz="8" w:color="CEFFE7"/>
              <w:bottom w:val="single" w:sz="8" w:color="auto"/>
            </w:tcBorders>
          </w:tcPr>
          <w:p>
            <w:pPr>
              <w:spacing w:after="0" w:line="20" w:lineRule="exact"/>
              <w:rPr>
                <w:sz w:val="1"/>
                <w:szCs w:val="1"/>
                <w:color w:val="auto"/>
              </w:rPr>
            </w:pPr>
          </w:p>
        </w:tc>
        <w:tc>
          <w:tcPr>
            <w:tcW w:w="320" w:type="dxa"/>
            <w:vAlign w:val="bottom"/>
            <w:tcBorders>
              <w:top w:val="single" w:sz="8" w:color="CEFFE7"/>
              <w:bottom w:val="single" w:sz="8" w:color="auto"/>
            </w:tcBorders>
          </w:tcPr>
          <w:p>
            <w:pPr>
              <w:spacing w:after="0" w:line="20" w:lineRule="exact"/>
              <w:rPr>
                <w:sz w:val="1"/>
                <w:szCs w:val="1"/>
                <w:color w:val="auto"/>
              </w:rPr>
            </w:pPr>
          </w:p>
        </w:tc>
        <w:tc>
          <w:tcPr>
            <w:tcW w:w="1080" w:type="dxa"/>
            <w:vAlign w:val="bottom"/>
            <w:tcBorders>
              <w:top w:val="single" w:sz="8" w:color="CEFFE7"/>
              <w:bottom w:val="single" w:sz="8" w:color="auto"/>
            </w:tcBorders>
          </w:tcPr>
          <w:p>
            <w:pPr>
              <w:spacing w:after="0" w:line="20" w:lineRule="exact"/>
              <w:rPr>
                <w:sz w:val="1"/>
                <w:szCs w:val="1"/>
                <w:color w:val="auto"/>
              </w:rPr>
            </w:pPr>
          </w:p>
        </w:tc>
        <w:tc>
          <w:tcPr>
            <w:tcW w:w="480" w:type="dxa"/>
            <w:vAlign w:val="bottom"/>
            <w:tcBorders>
              <w:top w:val="single" w:sz="8" w:color="CEFFE7"/>
              <w:bottom w:val="single" w:sz="8" w:color="auto"/>
            </w:tcBorders>
          </w:tcPr>
          <w:p>
            <w:pPr>
              <w:spacing w:after="0" w:line="20" w:lineRule="exact"/>
              <w:rPr>
                <w:sz w:val="1"/>
                <w:szCs w:val="1"/>
                <w:color w:val="auto"/>
              </w:rPr>
            </w:pPr>
          </w:p>
        </w:tc>
        <w:tc>
          <w:tcPr>
            <w:tcW w:w="340" w:type="dxa"/>
            <w:vAlign w:val="bottom"/>
            <w:tcBorders>
              <w:top w:val="single" w:sz="8" w:color="CEFFE7"/>
              <w:bottom w:val="single" w:sz="8" w:color="auto"/>
            </w:tcBorders>
          </w:tcPr>
          <w:p>
            <w:pPr>
              <w:spacing w:after="0" w:line="20" w:lineRule="exact"/>
              <w:rPr>
                <w:sz w:val="1"/>
                <w:szCs w:val="1"/>
                <w:color w:val="auto"/>
              </w:rPr>
            </w:pPr>
          </w:p>
        </w:tc>
        <w:tc>
          <w:tcPr>
            <w:tcW w:w="200" w:type="dxa"/>
            <w:vAlign w:val="bottom"/>
            <w:tcBorders>
              <w:top w:val="single" w:sz="8" w:color="CEFFE7"/>
              <w:bottom w:val="single" w:sz="8" w:color="auto"/>
            </w:tcBorders>
          </w:tcPr>
          <w:p>
            <w:pPr>
              <w:spacing w:after="0" w:line="20" w:lineRule="exact"/>
              <w:rPr>
                <w:sz w:val="1"/>
                <w:szCs w:val="1"/>
                <w:color w:val="auto"/>
              </w:rPr>
            </w:pPr>
          </w:p>
        </w:tc>
        <w:tc>
          <w:tcPr>
            <w:tcW w:w="960" w:type="dxa"/>
            <w:vAlign w:val="bottom"/>
            <w:tcBorders>
              <w:top w:val="single" w:sz="8" w:color="CEFFE7"/>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June 30, 2021 Compared to the Three Months Ended June 30, 2020: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Adjusted operating income was comparable to the same period in the prior year.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2021 Compared to the Six Months Ended June 30, 2020:</w:t>
      </w:r>
    </w:p>
    <w:p>
      <w:pPr>
        <w:spacing w:after="0" w:line="248" w:lineRule="exact"/>
        <w:rPr>
          <w:sz w:val="20"/>
          <w:szCs w:val="20"/>
          <w:color w:val="auto"/>
        </w:rPr>
      </w:pPr>
    </w:p>
    <w:p>
      <w:pPr>
        <w:ind w:right="800"/>
        <w:spacing w:after="0" w:line="260" w:lineRule="auto"/>
        <w:rPr>
          <w:sz w:val="20"/>
          <w:szCs w:val="20"/>
          <w:color w:val="auto"/>
        </w:rPr>
      </w:pPr>
      <w:r>
        <w:rPr>
          <w:rFonts w:ascii="Arial" w:cs="Arial" w:eastAsia="Arial" w:hAnsi="Arial"/>
          <w:sz w:val="16"/>
          <w:szCs w:val="16"/>
          <w:color w:val="auto"/>
        </w:rPr>
        <w:t>The variance in Adjusted operating income (loss) was primarily due to a prior year favorable true-up of employee costs which was allocated to our subsidiaries in the current year. This allocation was offset in our business segments and had no impact to consolidated results.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Interest Expense, Impairment of Investment, Other Income (Expense) and Income Tax (Expense)</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60" w:type="dxa"/>
            <w:vAlign w:val="bottom"/>
            <w:gridSpan w:val="5"/>
          </w:tcPr>
          <w:p>
            <w:pPr>
              <w:ind w:left="360"/>
              <w:spacing w:after="0"/>
              <w:rPr>
                <w:sz w:val="20"/>
                <w:szCs w:val="20"/>
                <w:color w:val="auto"/>
              </w:rPr>
            </w:pPr>
            <w:r>
              <w:rPr>
                <w:rFonts w:ascii="Arial" w:cs="Arial" w:eastAsia="Arial" w:hAnsi="Arial"/>
                <w:sz w:val="16"/>
                <w:szCs w:val="16"/>
                <w:color w:val="auto"/>
              </w:rPr>
              <w:t>Three Months Ended June 30,</w:t>
            </w:r>
          </w:p>
        </w:tc>
        <w:tc>
          <w:tcPr>
            <w:tcW w:w="240" w:type="dxa"/>
            <w:vAlign w:val="bottom"/>
          </w:tcPr>
          <w:p>
            <w:pPr>
              <w:spacing w:after="0"/>
              <w:rPr>
                <w:sz w:val="16"/>
                <w:szCs w:val="16"/>
                <w:color w:val="auto"/>
              </w:rPr>
            </w:pPr>
          </w:p>
        </w:tc>
        <w:tc>
          <w:tcPr>
            <w:tcW w:w="3160" w:type="dxa"/>
            <w:vAlign w:val="bottom"/>
            <w:gridSpan w:val="5"/>
          </w:tcPr>
          <w:p>
            <w:pPr>
              <w:jc w:val="right"/>
              <w:ind w:right="639"/>
              <w:spacing w:after="0"/>
              <w:rPr>
                <w:sz w:val="20"/>
                <w:szCs w:val="20"/>
                <w:color w:val="auto"/>
              </w:rPr>
            </w:pPr>
            <w:r>
              <w:rPr>
                <w:rFonts w:ascii="Arial" w:cs="Arial" w:eastAsia="Arial" w:hAnsi="Arial"/>
                <w:sz w:val="16"/>
                <w:szCs w:val="16"/>
                <w:color w:val="auto"/>
              </w:rPr>
              <w:t>Six Months Ended June 30,</w:t>
            </w:r>
          </w:p>
        </w:tc>
      </w:tr>
      <w:tr>
        <w:trPr>
          <w:trHeight w:val="219"/>
        </w:trPr>
        <w:tc>
          <w:tcPr>
            <w:tcW w:w="4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Variance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Variance</w:t>
            </w:r>
          </w:p>
        </w:tc>
      </w:tr>
      <w:tr>
        <w:trPr>
          <w:trHeight w:val="210"/>
        </w:trPr>
        <w:tc>
          <w:tcPr>
            <w:tcW w:w="4440" w:type="dxa"/>
            <w:vAlign w:val="bottom"/>
            <w:tcBorders>
              <w:bottom w:val="single" w:sz="8" w:color="CEFFE7"/>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6"/>
                <w:szCs w:val="16"/>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3"/>
        </w:trPr>
        <w:tc>
          <w:tcPr>
            <w:tcW w:w="4440" w:type="dxa"/>
            <w:vAlign w:val="bottom"/>
            <w:shd w:val="clear" w:color="auto" w:fill="CEFFE7"/>
          </w:tcPr>
          <w:p>
            <w:pPr>
              <w:ind w:left="20"/>
              <w:spacing w:after="0"/>
              <w:rPr>
                <w:sz w:val="20"/>
                <w:szCs w:val="20"/>
                <w:color w:val="auto"/>
              </w:rPr>
            </w:pPr>
            <w:r>
              <w:rPr>
                <w:rFonts w:ascii="Arial" w:cs="Arial" w:eastAsia="Arial" w:hAnsi="Arial"/>
                <w:sz w:val="16"/>
                <w:szCs w:val="16"/>
                <w:color w:val="auto"/>
              </w:rPr>
              <w:t>Interest expense, net</w:t>
            </w:r>
          </w:p>
        </w:tc>
        <w:tc>
          <w:tcPr>
            <w:tcW w:w="24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(38,202)</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(35,545)</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center"/>
              <w:ind w:left="319"/>
              <w:spacing w:after="0"/>
              <w:rPr>
                <w:sz w:val="20"/>
                <w:szCs w:val="20"/>
                <w:color w:val="auto"/>
              </w:rPr>
            </w:pPr>
            <w:r>
              <w:rPr>
                <w:rFonts w:ascii="Arial" w:cs="Arial" w:eastAsia="Arial" w:hAnsi="Arial"/>
                <w:sz w:val="16"/>
                <w:szCs w:val="16"/>
                <w:color w:val="auto"/>
              </w:rPr>
              <w:t>(2,657)</w:t>
            </w:r>
          </w:p>
        </w:tc>
        <w:tc>
          <w:tcPr>
            <w:tcW w:w="24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(75,802)</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(70,998)</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(4,804)</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Impairment of investment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 $</w:t>
            </w:r>
          </w:p>
        </w:tc>
        <w:tc>
          <w:tcPr>
            <w:tcW w:w="1140" w:type="dxa"/>
            <w:vAlign w:val="bottom"/>
            <w:gridSpan w:val="2"/>
          </w:tcPr>
          <w:p>
            <w:pPr>
              <w:jc w:val="right"/>
              <w:ind w:right="59"/>
              <w:spacing w:after="0"/>
              <w:rPr>
                <w:sz w:val="20"/>
                <w:szCs w:val="20"/>
                <w:color w:val="auto"/>
              </w:rPr>
            </w:pPr>
            <w:r>
              <w:rPr>
                <w:rFonts w:ascii="Arial" w:cs="Arial" w:eastAsia="Arial" w:hAnsi="Arial"/>
                <w:sz w:val="16"/>
                <w:szCs w:val="16"/>
                <w:color w:val="auto"/>
              </w:rPr>
              <w:t>— $</w:t>
            </w:r>
          </w:p>
        </w:tc>
        <w:tc>
          <w:tcPr>
            <w:tcW w:w="880" w:type="dxa"/>
            <w:vAlign w:val="bottom"/>
          </w:tcPr>
          <w:p>
            <w:pPr>
              <w:jc w:val="right"/>
              <w:spacing w:after="0"/>
              <w:rPr>
                <w:sz w:val="20"/>
                <w:szCs w:val="20"/>
                <w:color w:val="auto"/>
              </w:rPr>
            </w:pPr>
            <w:r>
              <w:rPr>
                <w:rFonts w:ascii="Arial" w:cs="Arial" w:eastAsia="Arial" w:hAnsi="Arial"/>
                <w:sz w:val="16"/>
                <w:szCs w:val="16"/>
                <w:color w:val="auto"/>
              </w:rPr>
              <w:t>(6,859)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6,859</w:t>
            </w:r>
          </w:p>
        </w:tc>
      </w:tr>
      <w:tr>
        <w:trPr>
          <w:trHeight w:val="219"/>
        </w:trPr>
        <w:tc>
          <w:tcPr>
            <w:tcW w:w="4440" w:type="dxa"/>
            <w:vAlign w:val="bottom"/>
            <w:shd w:val="clear" w:color="auto" w:fill="CEFFE7"/>
          </w:tcPr>
          <w:p>
            <w:pPr>
              <w:ind w:left="20"/>
              <w:spacing w:after="0"/>
              <w:rPr>
                <w:sz w:val="20"/>
                <w:szCs w:val="20"/>
                <w:color w:val="auto"/>
              </w:rPr>
            </w:pPr>
            <w:r>
              <w:rPr>
                <w:rFonts w:ascii="Arial" w:cs="Arial" w:eastAsia="Arial" w:hAnsi="Arial"/>
                <w:sz w:val="16"/>
                <w:szCs w:val="16"/>
                <w:color w:val="auto"/>
              </w:rPr>
              <w:t>Other income (expense), net</w:t>
            </w:r>
          </w:p>
        </w:tc>
        <w:tc>
          <w:tcPr>
            <w:tcW w:w="24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(191)</w:t>
            </w:r>
          </w:p>
        </w:tc>
        <w:tc>
          <w:tcPr>
            <w:tcW w:w="260" w:type="dxa"/>
            <w:vAlign w:val="bottom"/>
            <w:shd w:val="clear" w:color="auto" w:fill="CEFFE7"/>
          </w:tcPr>
          <w:p>
            <w:pPr>
              <w:spacing w:after="0"/>
              <w:rPr>
                <w:sz w:val="19"/>
                <w:szCs w:val="19"/>
                <w:color w:val="auto"/>
              </w:rPr>
            </w:pP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(1,863)</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center"/>
              <w:ind w:left="319"/>
              <w:spacing w:after="0"/>
              <w:rPr>
                <w:sz w:val="20"/>
                <w:szCs w:val="20"/>
                <w:color w:val="auto"/>
              </w:rPr>
            </w:pPr>
            <w:r>
              <w:rPr>
                <w:rFonts w:ascii="Arial" w:cs="Arial" w:eastAsia="Arial" w:hAnsi="Arial"/>
                <w:sz w:val="16"/>
                <w:szCs w:val="16"/>
                <w:color w:val="auto"/>
                <w:w w:val="99"/>
              </w:rPr>
              <w:t>1,672</w:t>
            </w:r>
          </w:p>
        </w:tc>
        <w:tc>
          <w:tcPr>
            <w:tcW w:w="24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75</w:t>
            </w:r>
          </w:p>
        </w:tc>
        <w:tc>
          <w:tcPr>
            <w:tcW w:w="26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490</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(415)</w:t>
            </w:r>
          </w:p>
        </w:tc>
      </w:tr>
      <w:tr>
        <w:trPr>
          <w:trHeight w:val="210"/>
        </w:trPr>
        <w:tc>
          <w:tcPr>
            <w:tcW w:w="44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(586)</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(4,831)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left="319"/>
              <w:spacing w:after="0"/>
              <w:rPr>
                <w:sz w:val="20"/>
                <w:szCs w:val="20"/>
                <w:color w:val="auto"/>
              </w:rPr>
            </w:pPr>
            <w:r>
              <w:rPr>
                <w:rFonts w:ascii="Arial" w:cs="Arial" w:eastAsia="Arial" w:hAnsi="Arial"/>
                <w:sz w:val="16"/>
                <w:szCs w:val="16"/>
                <w:color w:val="auto"/>
                <w:w w:val="99"/>
              </w:rPr>
              <w:t>4,245</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(1,080)</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(20,833)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19,753</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Three Months Ended June 30, 2021 Compared to the Three Months Ended June 30, 2020:</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264"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The increase in Interest expense, net was due to higher debt balances driven by the February 2021 term loan and the June 2020 senior unsecured notes partially offset by lower interest rates.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(Expense)</w:t>
      </w:r>
    </w:p>
    <w:p>
      <w:pPr>
        <w:spacing w:after="0" w:line="26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decrease in Other (expense) was primarily due to lower non-service pension costs driven by a lower discount rate and lower costs for our non-qualified benefit plans which were driven by market performance.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(Expense)</w:t>
      </w:r>
    </w:p>
    <w:p>
      <w:pPr>
        <w:spacing w:after="0" w:line="264" w:lineRule="exact"/>
        <w:rPr>
          <w:sz w:val="20"/>
          <w:szCs w:val="20"/>
          <w:color w:val="auto"/>
        </w:rPr>
      </w:pPr>
    </w:p>
    <w:p>
      <w:pPr>
        <w:ind w:right="30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For the three months ended June 30, 2021, the effective tax rate was 2.0% compared to 16.4% for the same period in 2020. See </w:t>
      </w:r>
      <w:hyperlink w:anchor="page29">
        <w:r>
          <w:rPr>
            <w:rFonts w:ascii="Arial" w:cs="Arial" w:eastAsia="Arial" w:hAnsi="Arial"/>
            <w:sz w:val="16"/>
            <w:szCs w:val="16"/>
            <w:u w:val="single" w:color="auto"/>
            <w:color w:val="0000FF"/>
          </w:rPr>
          <w:t>Note 11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for discussion of effective tax rate variances.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2021 Compared to the Six Months Ended June 30, 2020:</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264"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The increase in Interest expense, net was due to higher debt balances driven by the February 2021 term loan and the June 2020 senior unsecured notes partially offset by lower interest rates.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Impairment of Investment</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In the prior year, we recorded a pre-tax non-cash write-down of $6.9 million in our investment in equity securities of a privately held oil and gas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impairment was triggered by continued adverse changes in future natural gas prices and liquidity concerns at the privately held oil and gas company.</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 (Expense)</w:t>
      </w:r>
    </w:p>
    <w:p>
      <w:pPr>
        <w:spacing w:after="0" w:line="264" w:lineRule="exact"/>
        <w:rPr>
          <w:sz w:val="20"/>
          <w:szCs w:val="20"/>
          <w:color w:val="auto"/>
        </w:rPr>
      </w:pPr>
    </w:p>
    <w:p>
      <w:pPr>
        <w:ind w:right="46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For the six months ended June 30, 2021, the effective tax rate was 0.8% compared to 14.6% for the same period in 2020. See </w:t>
      </w:r>
      <w:hyperlink w:anchor="page29">
        <w:r>
          <w:rPr>
            <w:rFonts w:ascii="Arial" w:cs="Arial" w:eastAsia="Arial" w:hAnsi="Arial"/>
            <w:sz w:val="16"/>
            <w:szCs w:val="16"/>
            <w:u w:val="single" w:color="auto"/>
            <w:color w:val="0000FF"/>
          </w:rPr>
          <w:t>Note 11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for discussion of effective tax rate variances.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Liquidity and Capital Resources</w:t>
      </w:r>
    </w:p>
    <w:p>
      <w:pPr>
        <w:spacing w:after="0" w:line="26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There have been no material changes in Liquidity and Capital Resources from those reported in Item 7 of our 2020 Annual Report on Form 10-K except as described below.</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30, 2021, we did not experience significant impacts to our liquidity or financial condition due to the COVID-19 pandemic.</w:t>
      </w:r>
    </w:p>
    <w:p>
      <w:pPr>
        <w:spacing w:after="0" w:line="248" w:lineRule="exact"/>
        <w:rPr>
          <w:sz w:val="20"/>
          <w:szCs w:val="20"/>
          <w:color w:val="auto"/>
        </w:rPr>
      </w:pPr>
    </w:p>
    <w:p>
      <w:pPr>
        <w:ind w:right="14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In response to the February 2021 Winter Storm Uri, we took steps to maintain adequate liquidity to operate our businesses and fund our capital investment program as discussed in the </w:t>
      </w:r>
      <w:hyperlink w:anchor="page33">
        <w:r>
          <w:rPr>
            <w:rFonts w:ascii="Arial" w:cs="Arial" w:eastAsia="Arial" w:hAnsi="Arial"/>
            <w:sz w:val="16"/>
            <w:szCs w:val="16"/>
            <w:u w:val="single" w:color="auto"/>
            <w:color w:val="0000FF"/>
          </w:rPr>
          <w:t>Recent Developments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above and in further detail in </w:t>
      </w:r>
      <w:hyperlink w:anchor="page19">
        <w:r>
          <w:rPr>
            <w:rFonts w:ascii="Arial" w:cs="Arial" w:eastAsia="Arial" w:hAnsi="Arial"/>
            <w:sz w:val="16"/>
            <w:szCs w:val="16"/>
            <w:u w:val="single" w:color="auto"/>
            <w:color w:val="0000FF"/>
          </w:rPr>
          <w:t>Note 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gridSpan w:val="2"/>
          </w:tcPr>
          <w:p>
            <w:pPr>
              <w:spacing w:after="0"/>
              <w:rPr>
                <w:sz w:val="20"/>
                <w:szCs w:val="20"/>
                <w:color w:val="auto"/>
              </w:rPr>
            </w:pPr>
            <w:r>
              <w:rPr>
                <w:rFonts w:ascii="Arial" w:cs="Arial" w:eastAsia="Arial" w:hAnsi="Arial"/>
                <w:sz w:val="16"/>
                <w:szCs w:val="16"/>
                <w:b w:val="1"/>
                <w:bCs w:val="1"/>
                <w:color w:val="auto"/>
              </w:rPr>
              <w:t>Cash Flow Activities</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432"/>
        </w:trPr>
        <w:tc>
          <w:tcPr>
            <w:tcW w:w="7100" w:type="dxa"/>
            <w:vAlign w:val="bottom"/>
            <w:gridSpan w:val="2"/>
          </w:tcPr>
          <w:p>
            <w:pPr>
              <w:spacing w:after="0"/>
              <w:rPr>
                <w:sz w:val="20"/>
                <w:szCs w:val="20"/>
                <w:color w:val="auto"/>
              </w:rPr>
            </w:pPr>
            <w:r>
              <w:rPr>
                <w:rFonts w:ascii="Arial" w:cs="Arial" w:eastAsia="Arial" w:hAnsi="Arial"/>
                <w:sz w:val="16"/>
                <w:szCs w:val="16"/>
                <w:color w:val="auto"/>
              </w:rPr>
              <w:t>The following table summarizes our cash flows for the six months ended June 30, (in thousands):</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7"/>
        </w:trPr>
        <w:tc>
          <w:tcPr>
            <w:tcW w:w="20" w:type="dxa"/>
            <w:vAlign w:val="bottom"/>
          </w:tcPr>
          <w:p>
            <w:pPr>
              <w:spacing w:after="0"/>
              <w:rPr>
                <w:sz w:val="24"/>
                <w:szCs w:val="24"/>
                <w:color w:val="auto"/>
              </w:rPr>
            </w:pPr>
          </w:p>
        </w:tc>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provided by (used in):</w:t>
            </w: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2021</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Variance</w:t>
            </w:r>
          </w:p>
        </w:tc>
      </w:tr>
      <w:tr>
        <w:trPr>
          <w:trHeight w:val="213"/>
        </w:trPr>
        <w:tc>
          <w:tcPr>
            <w:tcW w:w="20" w:type="dxa"/>
            <w:vAlign w:val="bottom"/>
          </w:tcPr>
          <w:p>
            <w:pPr>
              <w:spacing w:after="0"/>
              <w:rPr>
                <w:sz w:val="18"/>
                <w:szCs w:val="18"/>
                <w:color w:val="auto"/>
              </w:rPr>
            </w:pPr>
          </w:p>
        </w:tc>
        <w:tc>
          <w:tcPr>
            <w:tcW w:w="7080" w:type="dxa"/>
            <w:vAlign w:val="bottom"/>
            <w:shd w:val="clear" w:color="auto" w:fill="CEFFE7"/>
          </w:tcPr>
          <w:p>
            <w:pPr>
              <w:ind w:left="20"/>
              <w:spacing w:after="0"/>
              <w:rPr>
                <w:sz w:val="20"/>
                <w:szCs w:val="20"/>
                <w:color w:val="auto"/>
              </w:rPr>
            </w:pPr>
            <w:r>
              <w:rPr>
                <w:rFonts w:ascii="Arial" w:cs="Arial" w:eastAsia="Arial" w:hAnsi="Arial"/>
                <w:sz w:val="16"/>
                <w:szCs w:val="16"/>
                <w:color w:val="auto"/>
              </w:rPr>
              <w:t>Operating activities</w:t>
            </w:r>
          </w:p>
        </w:tc>
        <w:tc>
          <w:tcPr>
            <w:tcW w:w="4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center"/>
              <w:ind w:left="219"/>
              <w:spacing w:after="0"/>
              <w:rPr>
                <w:sz w:val="20"/>
                <w:szCs w:val="20"/>
                <w:color w:val="auto"/>
              </w:rPr>
            </w:pPr>
            <w:r>
              <w:rPr>
                <w:rFonts w:ascii="Arial" w:cs="Arial" w:eastAsia="Arial" w:hAnsi="Arial"/>
                <w:sz w:val="16"/>
                <w:szCs w:val="16"/>
                <w:color w:val="auto"/>
                <w:w w:val="99"/>
              </w:rPr>
              <w:t>(250,173)</w:t>
            </w:r>
          </w:p>
        </w:tc>
        <w:tc>
          <w:tcPr>
            <w:tcW w:w="3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309,006</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(559,179)</w:t>
            </w:r>
          </w:p>
        </w:tc>
      </w:tr>
      <w:tr>
        <w:trPr>
          <w:trHeight w:val="213"/>
        </w:trPr>
        <w:tc>
          <w:tcPr>
            <w:tcW w:w="20" w:type="dxa"/>
            <w:vAlign w:val="bottom"/>
          </w:tcPr>
          <w:p>
            <w:pPr>
              <w:spacing w:after="0"/>
              <w:rPr>
                <w:sz w:val="18"/>
                <w:szCs w:val="18"/>
                <w:color w:val="auto"/>
              </w:rPr>
            </w:pPr>
          </w:p>
        </w:tc>
        <w:tc>
          <w:tcPr>
            <w:tcW w:w="708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center"/>
              <w:ind w:left="219"/>
              <w:spacing w:after="0"/>
              <w:rPr>
                <w:sz w:val="20"/>
                <w:szCs w:val="20"/>
                <w:color w:val="auto"/>
              </w:rPr>
            </w:pPr>
            <w:r>
              <w:rPr>
                <w:rFonts w:ascii="Arial" w:cs="Arial" w:eastAsia="Arial" w:hAnsi="Arial"/>
                <w:sz w:val="16"/>
                <w:szCs w:val="16"/>
                <w:color w:val="auto"/>
                <w:w w:val="99"/>
              </w:rPr>
              <w:t>(309,737)</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(349,725)</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39,988</w:t>
            </w:r>
          </w:p>
        </w:tc>
      </w:tr>
      <w:tr>
        <w:trPr>
          <w:trHeight w:val="219"/>
        </w:trPr>
        <w:tc>
          <w:tcPr>
            <w:tcW w:w="20" w:type="dxa"/>
            <w:vAlign w:val="bottom"/>
          </w:tcPr>
          <w:p>
            <w:pPr>
              <w:spacing w:after="0"/>
              <w:rPr>
                <w:sz w:val="19"/>
                <w:szCs w:val="19"/>
                <w:color w:val="auto"/>
              </w:rPr>
            </w:pPr>
          </w:p>
        </w:tc>
        <w:tc>
          <w:tcPr>
            <w:tcW w:w="7080" w:type="dxa"/>
            <w:vAlign w:val="bottom"/>
            <w:shd w:val="clear" w:color="auto" w:fill="CEFFE7"/>
          </w:tcPr>
          <w:p>
            <w:pPr>
              <w:ind w:left="20"/>
              <w:spacing w:after="0"/>
              <w:rPr>
                <w:sz w:val="20"/>
                <w:szCs w:val="20"/>
                <w:color w:val="auto"/>
              </w:rPr>
            </w:pPr>
            <w:r>
              <w:rPr>
                <w:rFonts w:ascii="Arial" w:cs="Arial" w:eastAsia="Arial" w:hAnsi="Arial"/>
                <w:sz w:val="16"/>
                <w:szCs w:val="16"/>
                <w:color w:val="auto"/>
              </w:rPr>
              <w:t>Financing activities</w:t>
            </w:r>
          </w:p>
        </w:tc>
        <w:tc>
          <w:tcPr>
            <w:tcW w:w="4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center"/>
              <w:ind w:left="239"/>
              <w:spacing w:after="0"/>
              <w:rPr>
                <w:sz w:val="20"/>
                <w:szCs w:val="20"/>
                <w:color w:val="auto"/>
              </w:rPr>
            </w:pPr>
            <w:r>
              <w:rPr>
                <w:rFonts w:ascii="Arial" w:cs="Arial" w:eastAsia="Arial" w:hAnsi="Arial"/>
                <w:sz w:val="16"/>
                <w:szCs w:val="16"/>
                <w:color w:val="auto"/>
              </w:rPr>
              <w:t>554,905</w:t>
            </w:r>
          </w:p>
        </w:tc>
        <w:tc>
          <w:tcPr>
            <w:tcW w:w="3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62,774</w:t>
            </w:r>
          </w:p>
        </w:tc>
        <w:tc>
          <w:tcPr>
            <w:tcW w:w="2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492,131</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Six Months Ended June 30, 2021 Compared to the Six Months Ended June 30, 2020</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Activities: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was $559 million lower than the same period in 2020. The variance to the prior year was primarily attributable to:</w:t>
      </w:r>
    </w:p>
    <w:p>
      <w:pPr>
        <w:spacing w:after="0" w:line="248" w:lineRule="exact"/>
        <w:rPr>
          <w:sz w:val="20"/>
          <w:szCs w:val="20"/>
          <w:color w:val="auto"/>
        </w:rPr>
      </w:pPr>
    </w:p>
    <w:p>
      <w:pPr>
        <w:ind w:left="660" w:right="420" w:hanging="328"/>
        <w:spacing w:after="0" w:line="260" w:lineRule="auto"/>
        <w:tabs>
          <w:tab w:leader="none" w:pos="6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Cash earnings (net income plus non-cash adjustments) were $13 million lower for the six months ended June 30, 2021 compared to the same period in the prior year primarily driven by higher operating expenses and higher interest expenses;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Net inflows from changes in certain operating assets and liabilities were $556 million lower, primarily attributable to:</w:t>
      </w:r>
    </w:p>
    <w:p>
      <w:pPr>
        <w:spacing w:after="0" w:line="248" w:lineRule="exact"/>
        <w:rPr>
          <w:rFonts w:ascii="Arial" w:cs="Arial" w:eastAsia="Arial" w:hAnsi="Arial"/>
          <w:sz w:val="16"/>
          <w:szCs w:val="16"/>
          <w:color w:val="auto"/>
        </w:rPr>
      </w:pPr>
    </w:p>
    <w:p>
      <w:pPr>
        <w:ind w:left="1140" w:right="200" w:hanging="322"/>
        <w:spacing w:after="0" w:line="260" w:lineRule="auto"/>
        <w:tabs>
          <w:tab w:leader="none" w:pos="1130" w:val="left"/>
        </w:tabs>
        <w:numPr>
          <w:ilvl w:val="1"/>
          <w:numId w:val="36"/>
        </w:numPr>
        <w:rPr>
          <w:rFonts w:ascii="Arial" w:cs="Arial" w:eastAsia="Arial" w:hAnsi="Arial"/>
          <w:sz w:val="16"/>
          <w:szCs w:val="16"/>
          <w:color w:val="auto"/>
        </w:rPr>
      </w:pPr>
      <w:r>
        <w:rPr>
          <w:rFonts w:ascii="Arial" w:cs="Arial" w:eastAsia="Arial" w:hAnsi="Arial"/>
          <w:sz w:val="16"/>
          <w:szCs w:val="16"/>
          <w:color w:val="auto"/>
        </w:rPr>
        <w:t>Cash outflows increased by $572 million as a result of changes in our regulatory assets and liabilities primarily driven by incremental costs from Winter Storm Uri;</w:t>
      </w:r>
    </w:p>
    <w:p>
      <w:pPr>
        <w:spacing w:after="0" w:line="222" w:lineRule="exact"/>
        <w:rPr>
          <w:rFonts w:ascii="Arial" w:cs="Arial" w:eastAsia="Arial" w:hAnsi="Arial"/>
          <w:sz w:val="16"/>
          <w:szCs w:val="16"/>
          <w:color w:val="auto"/>
        </w:rPr>
      </w:pPr>
    </w:p>
    <w:p>
      <w:pPr>
        <w:ind w:left="1140" w:right="460" w:hanging="322"/>
        <w:spacing w:after="0" w:line="260" w:lineRule="auto"/>
        <w:tabs>
          <w:tab w:leader="none" w:pos="1130" w:val="left"/>
        </w:tabs>
        <w:numPr>
          <w:ilvl w:val="1"/>
          <w:numId w:val="36"/>
        </w:numPr>
        <w:rPr>
          <w:rFonts w:ascii="Arial" w:cs="Arial" w:eastAsia="Arial" w:hAnsi="Arial"/>
          <w:sz w:val="16"/>
          <w:szCs w:val="16"/>
          <w:color w:val="auto"/>
        </w:rPr>
      </w:pPr>
      <w:r>
        <w:rPr>
          <w:rFonts w:ascii="Arial" w:cs="Arial" w:eastAsia="Arial" w:hAnsi="Arial"/>
          <w:sz w:val="16"/>
          <w:szCs w:val="16"/>
          <w:color w:val="auto"/>
        </w:rPr>
        <w:t>Cash inflows increased by $12 million as a result of changes in accounts receivable and other current assets primarily driven by higher collections of accounts receivable; and</w:t>
      </w:r>
    </w:p>
    <w:p>
      <w:pPr>
        <w:spacing w:after="0" w:line="222" w:lineRule="exact"/>
        <w:rPr>
          <w:rFonts w:ascii="Arial" w:cs="Arial" w:eastAsia="Arial" w:hAnsi="Arial"/>
          <w:sz w:val="16"/>
          <w:szCs w:val="16"/>
          <w:color w:val="auto"/>
        </w:rPr>
      </w:pPr>
    </w:p>
    <w:p>
      <w:pPr>
        <w:ind w:left="1140" w:right="440" w:hanging="322"/>
        <w:spacing w:after="0" w:line="260" w:lineRule="auto"/>
        <w:tabs>
          <w:tab w:leader="none" w:pos="1130" w:val="left"/>
        </w:tabs>
        <w:numPr>
          <w:ilvl w:val="1"/>
          <w:numId w:val="36"/>
        </w:numPr>
        <w:rPr>
          <w:rFonts w:ascii="Arial" w:cs="Arial" w:eastAsia="Arial" w:hAnsi="Arial"/>
          <w:sz w:val="16"/>
          <w:szCs w:val="16"/>
          <w:color w:val="auto"/>
        </w:rPr>
      </w:pPr>
      <w:r>
        <w:rPr>
          <w:rFonts w:ascii="Arial" w:cs="Arial" w:eastAsia="Arial" w:hAnsi="Arial"/>
          <w:sz w:val="16"/>
          <w:szCs w:val="16"/>
          <w:color w:val="auto"/>
        </w:rPr>
        <w:t>Cash outflows decreased by $3.4 million as a result of increases in accounts payable and accrued liabilities primarily driven by working capital requirements.</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Cash outflows decreased by $13 million due to pension contributions made in the prior year.</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Cash outflows increased by $1.7 million for other operating activities.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Investing Activities: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$40 million lower than the same period in 2020. The variance to the prior year was primarily attributable to:</w:t>
      </w:r>
    </w:p>
    <w:p>
      <w:pPr>
        <w:spacing w:after="0" w:line="248" w:lineRule="exact"/>
        <w:rPr>
          <w:sz w:val="20"/>
          <w:szCs w:val="20"/>
          <w:color w:val="auto"/>
        </w:rPr>
      </w:pPr>
    </w:p>
    <w:p>
      <w:pPr>
        <w:ind w:left="660" w:right="120" w:hanging="328"/>
        <w:spacing w:after="0" w:line="253"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Capital expenditures of $319 million for the six months ended June 30, 2021 compared to $348 million for the same period in the prior year. Lower current year expenditures are driven by lower programmatic safety, reliability and integrity spending at our Gas Utilities and Electric Utilities segments and the prior year Corriedale wind project at our Electric Utilities segment.</w:t>
      </w:r>
    </w:p>
    <w:p>
      <w:pPr>
        <w:spacing w:after="0" w:line="228" w:lineRule="exact"/>
        <w:rPr>
          <w:rFonts w:ascii="Arial" w:cs="Arial" w:eastAsia="Arial" w:hAnsi="Arial"/>
          <w:sz w:val="16"/>
          <w:szCs w:val="16"/>
          <w:color w:val="auto"/>
        </w:rPr>
      </w:pPr>
    </w:p>
    <w:p>
      <w:pPr>
        <w:ind w:left="660" w:hanging="328"/>
        <w:spacing w:after="0" w:line="260"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Cash inflows increased by $11 million for other investing activities which was primarily driven by the sales of transmission assets and facilities, none of which were individually significant.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Financing Activities: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financing activities was $492 million higher than the same period in 2020. The variance to the prior year was primarily attributable to:</w:t>
      </w:r>
    </w:p>
    <w:p>
      <w:pPr>
        <w:spacing w:after="0" w:line="248" w:lineRule="exact"/>
        <w:rPr>
          <w:sz w:val="20"/>
          <w:szCs w:val="20"/>
          <w:color w:val="auto"/>
        </w:rPr>
      </w:pPr>
    </w:p>
    <w:p>
      <w:pPr>
        <w:ind w:left="660" w:right="300" w:hanging="328"/>
        <w:spacing w:after="0" w:line="260" w:lineRule="auto"/>
        <w:tabs>
          <w:tab w:leader="none" w:pos="6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Cash inflows increased $550 million due to short-term and long-term borrowings in excess of repayments. This increase was primarily driven by $600 million net borrowings from our term loan partially offset by prior year net proceeds from the June 17, 2020 debt transaction;</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Cash inflows decreased $59 million due to lower issuances of common stock;</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Cash outflows increased $4.7 million due to increased dividends paid on common stock; and</w:t>
      </w:r>
    </w:p>
    <w:p>
      <w:pPr>
        <w:spacing w:after="0" w:line="248" w:lineRule="exact"/>
        <w:rPr>
          <w:rFonts w:ascii="Arial" w:cs="Arial" w:eastAsia="Arial" w:hAnsi="Arial"/>
          <w:sz w:val="16"/>
          <w:szCs w:val="16"/>
          <w:color w:val="auto"/>
        </w:rPr>
      </w:pPr>
    </w:p>
    <w:p>
      <w:pPr>
        <w:ind w:left="660" w:right="500" w:hanging="328"/>
        <w:spacing w:after="0" w:line="260" w:lineRule="auto"/>
        <w:tabs>
          <w:tab w:leader="none" w:pos="6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Cash inflows increased by $6.8 million for other financing activities driven by the prior year financing costs incurred in the June 17, 2020 debt transaction.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Sources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 Loan</w:t>
      </w:r>
    </w:p>
    <w:p>
      <w:pPr>
        <w:spacing w:after="0" w:line="268"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w:t>
      </w:r>
      <w:hyperlink w:anchor="page19">
        <w:r>
          <w:rPr>
            <w:rFonts w:ascii="Arial" w:cs="Arial" w:eastAsia="Arial" w:hAnsi="Arial"/>
            <w:sz w:val="16"/>
            <w:szCs w:val="16"/>
            <w:u w:val="single" w:color="auto"/>
            <w:color w:val="0000FF"/>
          </w:rPr>
          <w:t>Note 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for information relating to our term loan.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Revolving Credit Facility and CP Program</w:t>
      </w:r>
    </w:p>
    <w:p>
      <w:pPr>
        <w:spacing w:after="0" w:line="268" w:lineRule="exact"/>
        <w:rPr>
          <w:sz w:val="20"/>
          <w:szCs w:val="20"/>
          <w:color w:val="auto"/>
        </w:rPr>
      </w:pPr>
    </w:p>
    <w:p>
      <w:pPr>
        <w:ind w:right="72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On July 19, 2021, we amended and restated our corporate Revolving Credit Facility under similar terms and conditions, See </w:t>
      </w:r>
      <w:hyperlink w:anchor="page19">
        <w:r>
          <w:rPr>
            <w:rFonts w:ascii="Arial" w:cs="Arial" w:eastAsia="Arial" w:hAnsi="Arial"/>
            <w:sz w:val="16"/>
            <w:szCs w:val="16"/>
            <w:u w:val="single" w:color="auto"/>
            <w:color w:val="0000FF"/>
          </w:rPr>
          <w:t>Note 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for more information.</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Our Revolving Credit Facility and CP Program had the following borrowings, outstanding letters of credit and available capacity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color w:val="auto"/>
              </w:rPr>
              <w:t>Current</w:t>
            </w:r>
          </w:p>
        </w:tc>
        <w:tc>
          <w:tcPr>
            <w:tcW w:w="220" w:type="dxa"/>
            <w:vAlign w:val="bottom"/>
          </w:tcPr>
          <w:p>
            <w:pPr>
              <w:spacing w:after="0"/>
              <w:rPr>
                <w:sz w:val="21"/>
                <w:szCs w:val="21"/>
                <w:color w:val="auto"/>
              </w:rPr>
            </w:pPr>
          </w:p>
        </w:tc>
        <w:tc>
          <w:tcPr>
            <w:tcW w:w="2160" w:type="dxa"/>
            <w:vAlign w:val="bottom"/>
          </w:tcPr>
          <w:p>
            <w:pPr>
              <w:jc w:val="center"/>
              <w:ind w:right="99"/>
              <w:spacing w:after="0"/>
              <w:rPr>
                <w:sz w:val="20"/>
                <w:szCs w:val="20"/>
                <w:color w:val="auto"/>
              </w:rPr>
            </w:pPr>
            <w:r>
              <w:rPr>
                <w:rFonts w:ascii="Arial" w:cs="Arial" w:eastAsia="Arial" w:hAnsi="Arial"/>
                <w:sz w:val="16"/>
                <w:szCs w:val="16"/>
                <w:color w:val="auto"/>
              </w:rPr>
              <w:t>Short-term borrowings at</w:t>
            </w:r>
          </w:p>
        </w:tc>
        <w:tc>
          <w:tcPr>
            <w:tcW w:w="200" w:type="dxa"/>
            <w:vAlign w:val="bottom"/>
          </w:tcPr>
          <w:p>
            <w:pPr>
              <w:spacing w:after="0"/>
              <w:rPr>
                <w:sz w:val="21"/>
                <w:szCs w:val="21"/>
                <w:color w:val="auto"/>
              </w:rPr>
            </w:pPr>
          </w:p>
        </w:tc>
        <w:tc>
          <w:tcPr>
            <w:tcW w:w="1760" w:type="dxa"/>
            <w:vAlign w:val="bottom"/>
          </w:tcPr>
          <w:p>
            <w:pPr>
              <w:jc w:val="center"/>
              <w:ind w:right="59"/>
              <w:spacing w:after="0"/>
              <w:rPr>
                <w:sz w:val="20"/>
                <w:szCs w:val="20"/>
                <w:color w:val="auto"/>
              </w:rPr>
            </w:pPr>
            <w:r>
              <w:rPr>
                <w:rFonts w:ascii="Arial" w:cs="Arial" w:eastAsia="Arial" w:hAnsi="Arial"/>
                <w:sz w:val="16"/>
                <w:szCs w:val="16"/>
                <w:color w:val="auto"/>
                <w:w w:val="97"/>
              </w:rPr>
              <w:t xml:space="preserve">Letters of Credit </w:t>
            </w:r>
            <w:r>
              <w:rPr>
                <w:rFonts w:ascii="Arial" w:cs="Arial" w:eastAsia="Arial" w:hAnsi="Arial"/>
                <w:sz w:val="21"/>
                <w:szCs w:val="21"/>
                <w:color w:val="auto"/>
                <w:w w:val="97"/>
                <w:vertAlign w:val="superscript"/>
              </w:rPr>
              <w:t>(a)</w:t>
            </w:r>
            <w:r>
              <w:rPr>
                <w:rFonts w:ascii="Arial" w:cs="Arial" w:eastAsia="Arial" w:hAnsi="Arial"/>
                <w:sz w:val="16"/>
                <w:szCs w:val="16"/>
                <w:color w:val="auto"/>
                <w:w w:val="97"/>
              </w:rPr>
              <w:t xml:space="preserve"> at</w:t>
            </w:r>
          </w:p>
        </w:tc>
        <w:tc>
          <w:tcPr>
            <w:tcW w:w="240" w:type="dxa"/>
            <w:vAlign w:val="bottom"/>
          </w:tcPr>
          <w:p>
            <w:pPr>
              <w:spacing w:after="0"/>
              <w:rPr>
                <w:sz w:val="21"/>
                <w:szCs w:val="21"/>
                <w:color w:val="auto"/>
              </w:rPr>
            </w:pPr>
          </w:p>
        </w:tc>
        <w:tc>
          <w:tcPr>
            <w:tcW w:w="1940" w:type="dxa"/>
            <w:vAlign w:val="bottom"/>
          </w:tcPr>
          <w:p>
            <w:pPr>
              <w:jc w:val="center"/>
              <w:ind w:right="119"/>
              <w:spacing w:after="0"/>
              <w:rPr>
                <w:sz w:val="20"/>
                <w:szCs w:val="20"/>
                <w:color w:val="auto"/>
              </w:rPr>
            </w:pPr>
            <w:r>
              <w:rPr>
                <w:rFonts w:ascii="Arial" w:cs="Arial" w:eastAsia="Arial" w:hAnsi="Arial"/>
                <w:sz w:val="16"/>
                <w:szCs w:val="16"/>
                <w:color w:val="auto"/>
              </w:rPr>
              <w:t>Available Capacity at</w:t>
            </w:r>
          </w:p>
        </w:tc>
      </w:tr>
      <w:tr>
        <w:trPr>
          <w:trHeight w:val="198"/>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Credit Facility</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Expiration</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9"/>
              </w:rPr>
              <w:t>Capacity</w:t>
            </w:r>
          </w:p>
        </w:tc>
        <w:tc>
          <w:tcPr>
            <w:tcW w:w="2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June 30, 2021</w:t>
            </w: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June 30, 2021</w:t>
            </w:r>
          </w:p>
        </w:tc>
        <w:tc>
          <w:tcPr>
            <w:tcW w:w="2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June 30, 2021</w:t>
            </w:r>
          </w:p>
        </w:tc>
      </w:tr>
      <w:tr>
        <w:trPr>
          <w:trHeight w:val="174"/>
        </w:trPr>
        <w:tc>
          <w:tcPr>
            <w:tcW w:w="2240" w:type="dxa"/>
            <w:vAlign w:val="bottom"/>
            <w:shd w:val="clear" w:color="auto" w:fill="CEFFE7"/>
          </w:tcPr>
          <w:p>
            <w:pPr>
              <w:ind w:left="20"/>
              <w:spacing w:after="0" w:line="174" w:lineRule="exact"/>
              <w:rPr>
                <w:sz w:val="20"/>
                <w:szCs w:val="20"/>
                <w:color w:val="auto"/>
              </w:rPr>
            </w:pPr>
            <w:r>
              <w:rPr>
                <w:rFonts w:ascii="Arial" w:cs="Arial" w:eastAsia="Arial" w:hAnsi="Arial"/>
                <w:sz w:val="16"/>
                <w:szCs w:val="16"/>
                <w:color w:val="auto"/>
              </w:rPr>
              <w:t>Revolving Credit Facility and</w:t>
            </w:r>
          </w:p>
        </w:tc>
        <w:tc>
          <w:tcPr>
            <w:tcW w:w="1240" w:type="dxa"/>
            <w:vAlign w:val="bottom"/>
            <w:shd w:val="clear" w:color="auto" w:fill="CEFFE7"/>
          </w:tcPr>
          <w:p>
            <w:pPr>
              <w:spacing w:after="0"/>
              <w:rPr>
                <w:sz w:val="15"/>
                <w:szCs w:val="15"/>
                <w:color w:val="auto"/>
              </w:rPr>
            </w:pPr>
          </w:p>
        </w:tc>
        <w:tc>
          <w:tcPr>
            <w:tcW w:w="260" w:type="dxa"/>
            <w:vAlign w:val="bottom"/>
            <w:shd w:val="clear" w:color="auto" w:fill="CEFFE7"/>
          </w:tcPr>
          <w:p>
            <w:pPr>
              <w:spacing w:after="0"/>
              <w:rPr>
                <w:sz w:val="15"/>
                <w:szCs w:val="15"/>
                <w:color w:val="auto"/>
              </w:rPr>
            </w:pPr>
          </w:p>
        </w:tc>
        <w:tc>
          <w:tcPr>
            <w:tcW w:w="980" w:type="dxa"/>
            <w:vAlign w:val="bottom"/>
            <w:shd w:val="clear" w:color="auto" w:fill="CEFFE7"/>
          </w:tcPr>
          <w:p>
            <w:pPr>
              <w:spacing w:after="0"/>
              <w:rPr>
                <w:sz w:val="15"/>
                <w:szCs w:val="15"/>
                <w:color w:val="auto"/>
              </w:rPr>
            </w:pPr>
          </w:p>
        </w:tc>
        <w:tc>
          <w:tcPr>
            <w:tcW w:w="220" w:type="dxa"/>
            <w:vAlign w:val="bottom"/>
            <w:shd w:val="clear" w:color="auto" w:fill="CEFFE7"/>
          </w:tcPr>
          <w:p>
            <w:pPr>
              <w:spacing w:after="0"/>
              <w:rPr>
                <w:sz w:val="15"/>
                <w:szCs w:val="15"/>
                <w:color w:val="auto"/>
              </w:rPr>
            </w:pPr>
          </w:p>
        </w:tc>
        <w:tc>
          <w:tcPr>
            <w:tcW w:w="2160" w:type="dxa"/>
            <w:vAlign w:val="bottom"/>
            <w:shd w:val="clear" w:color="auto" w:fill="CEFFE7"/>
          </w:tcPr>
          <w:p>
            <w:pPr>
              <w:spacing w:after="0"/>
              <w:rPr>
                <w:sz w:val="15"/>
                <w:szCs w:val="15"/>
                <w:color w:val="auto"/>
              </w:rPr>
            </w:pPr>
          </w:p>
        </w:tc>
        <w:tc>
          <w:tcPr>
            <w:tcW w:w="200" w:type="dxa"/>
            <w:vAlign w:val="bottom"/>
            <w:shd w:val="clear" w:color="auto" w:fill="CEFFE7"/>
          </w:tcPr>
          <w:p>
            <w:pPr>
              <w:spacing w:after="0"/>
              <w:rPr>
                <w:sz w:val="15"/>
                <w:szCs w:val="15"/>
                <w:color w:val="auto"/>
              </w:rPr>
            </w:pPr>
          </w:p>
        </w:tc>
        <w:tc>
          <w:tcPr>
            <w:tcW w:w="1760" w:type="dxa"/>
            <w:vAlign w:val="bottom"/>
            <w:shd w:val="clear" w:color="auto" w:fill="CEFFE7"/>
          </w:tcPr>
          <w:p>
            <w:pPr>
              <w:spacing w:after="0"/>
              <w:rPr>
                <w:sz w:val="15"/>
                <w:szCs w:val="15"/>
                <w:color w:val="auto"/>
              </w:rPr>
            </w:pPr>
          </w:p>
        </w:tc>
        <w:tc>
          <w:tcPr>
            <w:tcW w:w="240" w:type="dxa"/>
            <w:vAlign w:val="bottom"/>
            <w:shd w:val="clear" w:color="auto" w:fill="CEFFE7"/>
          </w:tcPr>
          <w:p>
            <w:pPr>
              <w:spacing w:after="0"/>
              <w:rPr>
                <w:sz w:val="15"/>
                <w:szCs w:val="15"/>
                <w:color w:val="auto"/>
              </w:rPr>
            </w:pPr>
          </w:p>
        </w:tc>
        <w:tc>
          <w:tcPr>
            <w:tcW w:w="1940" w:type="dxa"/>
            <w:vAlign w:val="bottom"/>
            <w:shd w:val="clear" w:color="auto" w:fill="CEFFE7"/>
          </w:tcPr>
          <w:p>
            <w:pPr>
              <w:spacing w:after="0"/>
              <w:rPr>
                <w:sz w:val="15"/>
                <w:szCs w:val="15"/>
                <w:color w:val="auto"/>
              </w:rPr>
            </w:pPr>
          </w:p>
        </w:tc>
      </w:tr>
      <w:tr>
        <w:trPr>
          <w:trHeight w:val="201"/>
        </w:trPr>
        <w:tc>
          <w:tcPr>
            <w:tcW w:w="2240" w:type="dxa"/>
            <w:vAlign w:val="bottom"/>
            <w:shd w:val="clear" w:color="auto" w:fill="CEFFE7"/>
          </w:tcPr>
          <w:p>
            <w:pPr>
              <w:ind w:left="20"/>
              <w:spacing w:after="0"/>
              <w:rPr>
                <w:sz w:val="20"/>
                <w:szCs w:val="20"/>
                <w:color w:val="auto"/>
              </w:rPr>
            </w:pPr>
            <w:r>
              <w:rPr>
                <w:rFonts w:ascii="Arial" w:cs="Arial" w:eastAsia="Arial" w:hAnsi="Arial"/>
                <w:sz w:val="16"/>
                <w:szCs w:val="16"/>
                <w:color w:val="auto"/>
              </w:rPr>
              <w:t>CP Program</w:t>
            </w:r>
          </w:p>
        </w:tc>
        <w:tc>
          <w:tcPr>
            <w:tcW w:w="124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July 19, 2026</w:t>
            </w:r>
          </w:p>
        </w:tc>
        <w:tc>
          <w:tcPr>
            <w:tcW w:w="2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750</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230</w:t>
            </w:r>
          </w:p>
        </w:tc>
        <w:tc>
          <w:tcPr>
            <w:tcW w:w="2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w:t>
            </w:r>
          </w:p>
        </w:tc>
        <w:tc>
          <w:tcPr>
            <w:tcW w:w="2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507</w:t>
            </w:r>
          </w:p>
        </w:tc>
      </w:tr>
      <w:tr>
        <w:trPr>
          <w:trHeight w:val="275"/>
        </w:trPr>
        <w:tc>
          <w:tcPr>
            <w:tcW w:w="2240" w:type="dxa"/>
            <w:vAlign w:val="bottom"/>
          </w:tcPr>
          <w:p>
            <w:pPr>
              <w:spacing w:after="0"/>
              <w:rPr>
                <w:sz w:val="20"/>
                <w:szCs w:val="20"/>
                <w:color w:val="auto"/>
              </w:rPr>
            </w:pPr>
            <w:r>
              <w:rPr>
                <w:rFonts w:ascii="Arial" w:cs="Arial" w:eastAsia="Arial" w:hAnsi="Arial"/>
                <w:sz w:val="16"/>
                <w:szCs w:val="16"/>
                <w:color w:val="auto"/>
              </w:rPr>
              <w:t>__________</w:t>
            </w: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40" w:type="dxa"/>
            <w:vAlign w:val="bottom"/>
          </w:tcPr>
          <w:p>
            <w:pPr>
              <w:spacing w:after="0"/>
              <w:rPr>
                <w:sz w:val="23"/>
                <w:szCs w:val="23"/>
                <w:color w:val="auto"/>
              </w:rPr>
            </w:pPr>
          </w:p>
        </w:tc>
      </w:tr>
    </w:tbl>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Letters of credit are off-balance sheet commitments that reduce the borrowing capacity available on our corporate Revolving Credit</w:t>
      </w:r>
    </w:p>
    <w:p>
      <w:pPr>
        <w:spacing w:after="0" w:line="241"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The weighted average interest rate on short-term borrowings related to our Revolving Credit Facility and CP Program at June 30, 2021 was 0.19%. Short-term borrowing activity related to our Revolving Credit Facility and CP Program for the six months ended June 30, 2021 was: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69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(dollars in millions)</w:t>
            </w:r>
          </w:p>
        </w:tc>
      </w:tr>
      <w:tr>
        <w:trPr>
          <w:trHeight w:val="212"/>
        </w:trPr>
        <w:tc>
          <w:tcPr>
            <w:tcW w:w="6920" w:type="dxa"/>
            <w:vAlign w:val="bottom"/>
            <w:shd w:val="clear" w:color="auto" w:fill="CEFFE7"/>
          </w:tcPr>
          <w:p>
            <w:pPr>
              <w:spacing w:after="0"/>
              <w:rPr>
                <w:sz w:val="20"/>
                <w:szCs w:val="20"/>
                <w:color w:val="auto"/>
              </w:rPr>
            </w:pPr>
            <w:r>
              <w:rPr>
                <w:rFonts w:ascii="Arial" w:cs="Arial" w:eastAsia="Arial" w:hAnsi="Arial"/>
                <w:sz w:val="16"/>
                <w:szCs w:val="16"/>
                <w:color w:val="auto"/>
              </w:rPr>
              <w:t>Maximum amount outstanding (based on daily outstanding balances)</w:t>
            </w:r>
          </w:p>
        </w:tc>
        <w:tc>
          <w:tcPr>
            <w:tcW w:w="224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w:t>
            </w:r>
          </w:p>
        </w:tc>
        <w:tc>
          <w:tcPr>
            <w:tcW w:w="2020" w:type="dxa"/>
            <w:vAlign w:val="bottom"/>
            <w:shd w:val="clear" w:color="auto" w:fill="CEFFE7"/>
          </w:tcPr>
          <w:p>
            <w:pPr>
              <w:jc w:val="right"/>
              <w:ind w:right="119"/>
              <w:spacing w:after="0"/>
              <w:rPr>
                <w:sz w:val="20"/>
                <w:szCs w:val="20"/>
                <w:color w:val="auto"/>
              </w:rPr>
            </w:pPr>
            <w:r>
              <w:rPr>
                <w:rFonts w:ascii="Arial" w:cs="Arial" w:eastAsia="Arial" w:hAnsi="Arial"/>
                <w:sz w:val="16"/>
                <w:szCs w:val="16"/>
                <w:color w:val="auto"/>
              </w:rPr>
              <w:t>311</w:t>
            </w:r>
          </w:p>
        </w:tc>
      </w:tr>
      <w:tr>
        <w:trPr>
          <w:trHeight w:val="213"/>
        </w:trPr>
        <w:tc>
          <w:tcPr>
            <w:tcW w:w="6920" w:type="dxa"/>
            <w:vAlign w:val="bottom"/>
          </w:tcPr>
          <w:p>
            <w:pPr>
              <w:spacing w:after="0"/>
              <w:rPr>
                <w:sz w:val="20"/>
                <w:szCs w:val="20"/>
                <w:color w:val="auto"/>
              </w:rPr>
            </w:pPr>
            <w:r>
              <w:rPr>
                <w:rFonts w:ascii="Arial" w:cs="Arial" w:eastAsia="Arial" w:hAnsi="Arial"/>
                <w:sz w:val="16"/>
                <w:szCs w:val="16"/>
                <w:color w:val="auto"/>
              </w:rPr>
              <w:t>Average amount outstanding (based on daily outstanding balances)</w:t>
            </w:r>
          </w:p>
        </w:tc>
        <w:tc>
          <w:tcPr>
            <w:tcW w:w="22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119"/>
              <w:spacing w:after="0"/>
              <w:rPr>
                <w:sz w:val="20"/>
                <w:szCs w:val="20"/>
                <w:color w:val="auto"/>
              </w:rPr>
            </w:pPr>
            <w:r>
              <w:rPr>
                <w:rFonts w:ascii="Arial" w:cs="Arial" w:eastAsia="Arial" w:hAnsi="Arial"/>
                <w:sz w:val="16"/>
                <w:szCs w:val="16"/>
                <w:color w:val="auto"/>
              </w:rPr>
              <w:t>200</w:t>
            </w:r>
          </w:p>
        </w:tc>
      </w:tr>
      <w:tr>
        <w:trPr>
          <w:trHeight w:val="219"/>
        </w:trPr>
        <w:tc>
          <w:tcPr>
            <w:tcW w:w="6920" w:type="dxa"/>
            <w:vAlign w:val="bottom"/>
            <w:shd w:val="clear" w:color="auto" w:fill="CEFFE7"/>
          </w:tcPr>
          <w:p>
            <w:pPr>
              <w:spacing w:after="0"/>
              <w:rPr>
                <w:sz w:val="20"/>
                <w:szCs w:val="20"/>
                <w:color w:val="auto"/>
              </w:rPr>
            </w:pPr>
            <w:r>
              <w:rPr>
                <w:rFonts w:ascii="Arial" w:cs="Arial" w:eastAsia="Arial" w:hAnsi="Arial"/>
                <w:sz w:val="16"/>
                <w:szCs w:val="16"/>
                <w:color w:val="auto"/>
              </w:rPr>
              <w:t>Weighted average interest rates</w:t>
            </w:r>
          </w:p>
        </w:tc>
        <w:tc>
          <w:tcPr>
            <w:tcW w:w="2240" w:type="dxa"/>
            <w:vAlign w:val="bottom"/>
            <w:shd w:val="clear" w:color="auto" w:fill="CEFFE7"/>
          </w:tcPr>
          <w:p>
            <w:pPr>
              <w:spacing w:after="0"/>
              <w:rPr>
                <w:sz w:val="19"/>
                <w:szCs w:val="19"/>
                <w:color w:val="auto"/>
              </w:rPr>
            </w:pP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0.23 %</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Covenant Requirements</w:t>
      </w:r>
    </w:p>
    <w:p>
      <w:pPr>
        <w:spacing w:after="0" w:line="268" w:lineRule="exact"/>
        <w:rPr>
          <w:sz w:val="20"/>
          <w:szCs w:val="20"/>
          <w:color w:val="auto"/>
        </w:rPr>
      </w:pPr>
    </w:p>
    <w:p>
      <w:pPr>
        <w:jc w:val="both"/>
        <w:ind w:right="6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The Revolving Credit Facility and Wyoming Electric’s financing agreements contain covenant requirements. We were in compliance with these covenants as of June 30, 2021. See </w:t>
      </w:r>
      <w:hyperlink w:anchor="page19">
        <w:r>
          <w:rPr>
            <w:rFonts w:ascii="Arial" w:cs="Arial" w:eastAsia="Arial" w:hAnsi="Arial"/>
            <w:sz w:val="16"/>
            <w:szCs w:val="16"/>
            <w:u w:val="single" w:color="auto"/>
            <w:color w:val="0000FF"/>
          </w:rPr>
          <w:t>Note 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for more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Financing Plans</w:t>
      </w:r>
    </w:p>
    <w:p>
      <w:pPr>
        <w:spacing w:after="0" w:line="268" w:lineRule="exact"/>
        <w:rPr>
          <w:sz w:val="20"/>
          <w:szCs w:val="20"/>
          <w:color w:val="auto"/>
        </w:rPr>
      </w:pPr>
    </w:p>
    <w:p>
      <w:pPr>
        <w:ind w:right="100"/>
        <w:spacing w:after="0" w:line="249" w:lineRule="auto"/>
        <w:rPr>
          <w:rFonts w:ascii="Arial" w:cs="Arial" w:eastAsia="Arial" w:hAnsi="Arial"/>
          <w:sz w:val="16"/>
          <w:szCs w:val="16"/>
          <w:color w:val="0000FF"/>
        </w:rPr>
      </w:pPr>
      <w:r>
        <w:rPr>
          <w:rFonts w:ascii="Arial" w:cs="Arial" w:eastAsia="Arial" w:hAnsi="Arial"/>
          <w:sz w:val="16"/>
          <w:szCs w:val="16"/>
          <w:color w:val="auto"/>
        </w:rPr>
        <w:t xml:space="preserve">We will continue to assess debt and equity needs to support our capital investment plans and other key strategic objectives. In the second half of 2021, we expect to fund our capital plan and strategic objectives by using cash generated from operating activities, our Revolving Credit Facility and CP Program and issuing an additional $60 million to $80 million of common stock under the ATM. As discussed in the </w:t>
      </w:r>
      <w:hyperlink w:anchor="page33">
        <w:r>
          <w:rPr>
            <w:rFonts w:ascii="Arial" w:cs="Arial" w:eastAsia="Arial" w:hAnsi="Arial"/>
            <w:sz w:val="16"/>
            <w:szCs w:val="16"/>
            <w:u w:val="single" w:color="auto"/>
            <w:color w:val="0000FF"/>
          </w:rPr>
          <w:t>Recent Developments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above and in further detail in </w:t>
      </w:r>
      <w:hyperlink w:anchor="page19">
        <w:r>
          <w:rPr>
            <w:rFonts w:ascii="Arial" w:cs="Arial" w:eastAsia="Arial" w:hAnsi="Arial"/>
            <w:sz w:val="16"/>
            <w:szCs w:val="16"/>
            <w:u w:val="single" w:color="auto"/>
            <w:color w:val="0000FF"/>
          </w:rPr>
          <w:t>Note 5</w:t>
        </w:r>
        <w:r>
          <w:rPr>
            <w:rFonts w:ascii="Arial" w:cs="Arial" w:eastAsia="Arial" w:hAnsi="Arial"/>
            <w:sz w:val="16"/>
            <w:szCs w:val="16"/>
            <w:color w:val="0000FF"/>
          </w:rPr>
          <w:t xml:space="preserve"> </w:t>
        </w:r>
      </w:hyperlink>
      <w:r>
        <w:rPr>
          <w:rFonts w:ascii="Arial" w:cs="Arial" w:eastAsia="Arial" w:hAnsi="Arial"/>
          <w:sz w:val="16"/>
          <w:szCs w:val="16"/>
          <w:color w:val="000000"/>
        </w:rPr>
        <w:t>of</w:t>
      </w:r>
      <w:r>
        <w:rPr>
          <w:rFonts w:ascii="Arial" w:cs="Arial" w:eastAsia="Arial" w:hAnsi="Arial"/>
          <w:sz w:val="16"/>
          <w:szCs w:val="16"/>
          <w:color w:val="0000FF"/>
        </w:rPr>
        <w:t xml:space="preserve"> </w:t>
      </w:r>
      <w:r>
        <w:rPr>
          <w:rFonts w:ascii="Arial" w:cs="Arial" w:eastAsia="Arial" w:hAnsi="Arial"/>
          <w:sz w:val="16"/>
          <w:szCs w:val="16"/>
          <w:color w:val="000000"/>
        </w:rPr>
        <w:t>the Notes to Condensed Consolidated Financial Statements, on February 24, 2021, we entered into an $800 million term loan maturing on</w:t>
      </w:r>
      <w:r>
        <w:rPr>
          <w:rFonts w:ascii="Arial" w:cs="Arial" w:eastAsia="Arial" w:hAnsi="Arial"/>
          <w:sz w:val="16"/>
          <w:szCs w:val="16"/>
          <w:color w:val="0000FF"/>
        </w:rPr>
        <w:t xml:space="preserve"> </w:t>
      </w:r>
      <w:r>
        <w:rPr>
          <w:rFonts w:ascii="Arial" w:cs="Arial" w:eastAsia="Arial" w:hAnsi="Arial"/>
          <w:sz w:val="16"/>
          <w:szCs w:val="16"/>
          <w:color w:val="000000"/>
        </w:rPr>
        <w:t>November 24, 2021. We repaid $200 million of this term loan in the first quarter of 2021. We expect to refinance a portion of the term loan with longer-term debt.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Ratings</w:t>
      </w:r>
    </w:p>
    <w:p>
      <w:pPr>
        <w:spacing w:after="0" w:line="26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After assessing the current operating performance, liquidity and credit ratings of the Company, management believes that the Company will have access to the capital markets at prevailing market rates for companies with comparable credit ratings.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credit ratings and outlook and risk profile of BHC at June 30, 2021:</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Rating Agency</w:t>
            </w:r>
          </w:p>
        </w:tc>
        <w:tc>
          <w:tcPr>
            <w:tcW w:w="5540" w:type="dxa"/>
            <w:vAlign w:val="bottom"/>
            <w:tcBorders>
              <w:bottom w:val="single" w:sz="8" w:color="auto"/>
            </w:tcBorders>
          </w:tcPr>
          <w:p>
            <w:pPr>
              <w:jc w:val="center"/>
              <w:ind w:left="2359"/>
              <w:spacing w:after="0"/>
              <w:rPr>
                <w:sz w:val="20"/>
                <w:szCs w:val="20"/>
                <w:color w:val="auto"/>
              </w:rPr>
            </w:pPr>
            <w:r>
              <w:rPr>
                <w:rFonts w:ascii="Arial" w:cs="Arial" w:eastAsia="Arial" w:hAnsi="Arial"/>
                <w:sz w:val="16"/>
                <w:szCs w:val="16"/>
                <w:b w:val="1"/>
                <w:bCs w:val="1"/>
                <w:color w:val="auto"/>
              </w:rPr>
              <w:t>Senior Unsecured Rating</w:t>
            </w:r>
          </w:p>
        </w:tc>
        <w:tc>
          <w:tcPr>
            <w:tcW w:w="152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rPr>
              <w:t>Outlook</w:t>
            </w:r>
          </w:p>
        </w:tc>
      </w:tr>
      <w:tr>
        <w:trPr>
          <w:trHeight w:val="213"/>
        </w:trPr>
        <w:tc>
          <w:tcPr>
            <w:tcW w:w="4180" w:type="dxa"/>
            <w:vAlign w:val="bottom"/>
            <w:shd w:val="clear" w:color="auto" w:fill="CEFFE7"/>
          </w:tcPr>
          <w:p>
            <w:pPr>
              <w:ind w:left="20"/>
              <w:spacing w:after="0" w:line="213" w:lineRule="exact"/>
              <w:rPr>
                <w:sz w:val="20"/>
                <w:szCs w:val="20"/>
                <w:color w:val="auto"/>
              </w:rPr>
            </w:pPr>
            <w:r>
              <w:rPr>
                <w:rFonts w:ascii="Arial" w:cs="Arial" w:eastAsia="Arial" w:hAnsi="Arial"/>
                <w:sz w:val="16"/>
                <w:szCs w:val="16"/>
                <w:color w:val="auto"/>
              </w:rPr>
              <w:t xml:space="preserve">S&amp;P </w:t>
            </w:r>
            <w:r>
              <w:rPr>
                <w:rFonts w:ascii="Arial" w:cs="Arial" w:eastAsia="Arial" w:hAnsi="Arial"/>
                <w:sz w:val="21"/>
                <w:szCs w:val="21"/>
                <w:color w:val="auto"/>
                <w:vertAlign w:val="superscript"/>
              </w:rPr>
              <w:t>(a)</w:t>
            </w:r>
          </w:p>
        </w:tc>
        <w:tc>
          <w:tcPr>
            <w:tcW w:w="5540" w:type="dxa"/>
            <w:vAlign w:val="bottom"/>
            <w:shd w:val="clear" w:color="auto" w:fill="CEFFE7"/>
          </w:tcPr>
          <w:p>
            <w:pPr>
              <w:jc w:val="center"/>
              <w:ind w:left="2359"/>
              <w:spacing w:after="0"/>
              <w:rPr>
                <w:sz w:val="20"/>
                <w:szCs w:val="20"/>
                <w:color w:val="auto"/>
              </w:rPr>
            </w:pPr>
            <w:r>
              <w:rPr>
                <w:rFonts w:ascii="Arial" w:cs="Arial" w:eastAsia="Arial" w:hAnsi="Arial"/>
                <w:sz w:val="16"/>
                <w:szCs w:val="16"/>
                <w:color w:val="auto"/>
              </w:rPr>
              <w:t>BBB+</w:t>
            </w:r>
          </w:p>
        </w:tc>
        <w:tc>
          <w:tcPr>
            <w:tcW w:w="152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rPr>
              <w:t>Stable</w:t>
            </w:r>
          </w:p>
        </w:tc>
      </w:tr>
      <w:tr>
        <w:trPr>
          <w:trHeight w:val="216"/>
        </w:trPr>
        <w:tc>
          <w:tcPr>
            <w:tcW w:w="41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Moody’s </w:t>
            </w:r>
            <w:r>
              <w:rPr>
                <w:rFonts w:ascii="Arial" w:cs="Arial" w:eastAsia="Arial" w:hAnsi="Arial"/>
                <w:sz w:val="21"/>
                <w:szCs w:val="21"/>
                <w:color w:val="auto"/>
                <w:vertAlign w:val="superscript"/>
              </w:rPr>
              <w:t>(b)</w:t>
            </w:r>
          </w:p>
        </w:tc>
        <w:tc>
          <w:tcPr>
            <w:tcW w:w="5540" w:type="dxa"/>
            <w:vAlign w:val="bottom"/>
          </w:tcPr>
          <w:p>
            <w:pPr>
              <w:jc w:val="center"/>
              <w:ind w:left="2359"/>
              <w:spacing w:after="0"/>
              <w:rPr>
                <w:sz w:val="20"/>
                <w:szCs w:val="20"/>
                <w:color w:val="auto"/>
              </w:rPr>
            </w:pPr>
            <w:r>
              <w:rPr>
                <w:rFonts w:ascii="Arial" w:cs="Arial" w:eastAsia="Arial" w:hAnsi="Arial"/>
                <w:sz w:val="16"/>
                <w:szCs w:val="16"/>
                <w:color w:val="auto"/>
              </w:rPr>
              <w:t>Baa2</w:t>
            </w:r>
          </w:p>
        </w:tc>
        <w:tc>
          <w:tcPr>
            <w:tcW w:w="1520" w:type="dxa"/>
            <w:vAlign w:val="bottom"/>
          </w:tcPr>
          <w:p>
            <w:pPr>
              <w:jc w:val="center"/>
              <w:ind w:left="179"/>
              <w:spacing w:after="0"/>
              <w:rPr>
                <w:sz w:val="20"/>
                <w:szCs w:val="20"/>
                <w:color w:val="auto"/>
              </w:rPr>
            </w:pPr>
            <w:r>
              <w:rPr>
                <w:rFonts w:ascii="Arial" w:cs="Arial" w:eastAsia="Arial" w:hAnsi="Arial"/>
                <w:sz w:val="16"/>
                <w:szCs w:val="16"/>
                <w:color w:val="auto"/>
              </w:rPr>
              <w:t>Stable</w:t>
            </w:r>
          </w:p>
        </w:tc>
      </w:tr>
      <w:tr>
        <w:trPr>
          <w:trHeight w:val="216"/>
        </w:trPr>
        <w:tc>
          <w:tcPr>
            <w:tcW w:w="4180" w:type="dxa"/>
            <w:vAlign w:val="bottom"/>
            <w:shd w:val="clear" w:color="auto" w:fill="CEFFE7"/>
          </w:tcPr>
          <w:p>
            <w:pPr>
              <w:ind w:left="20"/>
              <w:spacing w:after="0" w:line="216" w:lineRule="exact"/>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(c)</w:t>
            </w:r>
          </w:p>
        </w:tc>
        <w:tc>
          <w:tcPr>
            <w:tcW w:w="5540" w:type="dxa"/>
            <w:vAlign w:val="bottom"/>
            <w:shd w:val="clear" w:color="auto" w:fill="CEFFE7"/>
          </w:tcPr>
          <w:p>
            <w:pPr>
              <w:jc w:val="center"/>
              <w:ind w:left="2359"/>
              <w:spacing w:after="0"/>
              <w:rPr>
                <w:sz w:val="20"/>
                <w:szCs w:val="20"/>
                <w:color w:val="auto"/>
              </w:rPr>
            </w:pPr>
            <w:r>
              <w:rPr>
                <w:rFonts w:ascii="Arial" w:cs="Arial" w:eastAsia="Arial" w:hAnsi="Arial"/>
                <w:sz w:val="16"/>
                <w:szCs w:val="16"/>
                <w:color w:val="auto"/>
              </w:rPr>
              <w:t>BBB+</w:t>
            </w:r>
          </w:p>
        </w:tc>
        <w:tc>
          <w:tcPr>
            <w:tcW w:w="1520" w:type="dxa"/>
            <w:vAlign w:val="bottom"/>
            <w:shd w:val="clear" w:color="auto" w:fill="CEFFE7"/>
          </w:tcPr>
          <w:p>
            <w:pPr>
              <w:jc w:val="center"/>
              <w:ind w:left="179"/>
              <w:spacing w:after="0"/>
              <w:rPr>
                <w:sz w:val="20"/>
                <w:szCs w:val="20"/>
                <w:color w:val="auto"/>
              </w:rPr>
            </w:pPr>
            <w:r>
              <w:rPr>
                <w:rFonts w:ascii="Arial" w:cs="Arial" w:eastAsia="Arial" w:hAnsi="Arial"/>
                <w:sz w:val="16"/>
                <w:szCs w:val="16"/>
                <w:color w:val="auto"/>
              </w:rPr>
              <w:t>Stable</w:t>
            </w:r>
          </w:p>
        </w:tc>
      </w:tr>
      <w:tr>
        <w:trPr>
          <w:trHeight w:val="288"/>
        </w:trPr>
        <w:tc>
          <w:tcPr>
            <w:tcW w:w="4180" w:type="dxa"/>
            <w:vAlign w:val="bottom"/>
          </w:tcPr>
          <w:p>
            <w:pPr>
              <w:spacing w:after="0"/>
              <w:rPr>
                <w:sz w:val="20"/>
                <w:szCs w:val="20"/>
                <w:color w:val="auto"/>
              </w:rPr>
            </w:pPr>
            <w:r>
              <w:rPr>
                <w:rFonts w:ascii="Arial" w:cs="Arial" w:eastAsia="Arial" w:hAnsi="Arial"/>
                <w:sz w:val="16"/>
                <w:szCs w:val="16"/>
                <w:color w:val="auto"/>
              </w:rPr>
              <w:t>__________</w:t>
            </w:r>
          </w:p>
        </w:tc>
        <w:tc>
          <w:tcPr>
            <w:tcW w:w="55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On April 10, 2020, S&amp;P reported BBB+ rating and maintained a Stable outlook.</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On December 21, 2020, Moody’s reported Baa2 rating and maintained a Stable outlook.</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On August 20, 2020, Fitch reported BBB+ rating and maintained a Stable outlook.</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20"/>
                <w:szCs w:val="20"/>
                <w:color w:val="auto"/>
              </w:rPr>
            </w:pPr>
            <w:r>
              <w:rPr>
                <w:rFonts w:ascii="Arial" w:cs="Arial" w:eastAsia="Arial" w:hAnsi="Arial"/>
                <w:sz w:val="16"/>
                <w:szCs w:val="16"/>
                <w:color w:val="auto"/>
              </w:rPr>
              <w:t>The following table represents the credit ratings of South Dakota Electric at June 30, 2021:</w:t>
            </w:r>
          </w:p>
        </w:tc>
        <w:tc>
          <w:tcPr>
            <w:tcW w:w="3640" w:type="dxa"/>
            <w:vAlign w:val="bottom"/>
          </w:tcPr>
          <w:p>
            <w:pPr>
              <w:spacing w:after="0"/>
              <w:rPr>
                <w:sz w:val="16"/>
                <w:szCs w:val="16"/>
                <w:color w:val="auto"/>
              </w:rPr>
            </w:pPr>
          </w:p>
        </w:tc>
      </w:tr>
      <w:tr>
        <w:trPr>
          <w:trHeight w:val="327"/>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Rating Agency</w:t>
            </w:r>
          </w:p>
        </w:tc>
        <w:tc>
          <w:tcPr>
            <w:tcW w:w="364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rPr>
              <w:t>Senior Secured Rating</w:t>
            </w:r>
          </w:p>
        </w:tc>
      </w:tr>
      <w:tr>
        <w:trPr>
          <w:trHeight w:val="213"/>
        </w:trPr>
        <w:tc>
          <w:tcPr>
            <w:tcW w:w="7600" w:type="dxa"/>
            <w:vAlign w:val="bottom"/>
            <w:shd w:val="clear" w:color="auto" w:fill="CEFFE7"/>
          </w:tcPr>
          <w:p>
            <w:pPr>
              <w:ind w:left="20"/>
              <w:spacing w:after="0" w:line="213" w:lineRule="exact"/>
              <w:rPr>
                <w:sz w:val="20"/>
                <w:szCs w:val="20"/>
                <w:color w:val="auto"/>
              </w:rPr>
            </w:pPr>
            <w:r>
              <w:rPr>
                <w:rFonts w:ascii="Arial" w:cs="Arial" w:eastAsia="Arial" w:hAnsi="Arial"/>
                <w:sz w:val="16"/>
                <w:szCs w:val="16"/>
                <w:color w:val="auto"/>
              </w:rPr>
              <w:t xml:space="preserve">S&amp;P </w:t>
            </w:r>
            <w:r>
              <w:rPr>
                <w:rFonts w:ascii="Arial" w:cs="Arial" w:eastAsia="Arial" w:hAnsi="Arial"/>
                <w:sz w:val="21"/>
                <w:szCs w:val="21"/>
                <w:color w:val="auto"/>
                <w:vertAlign w:val="superscript"/>
              </w:rPr>
              <w:t>(a)</w:t>
            </w:r>
          </w:p>
        </w:tc>
        <w:tc>
          <w:tcPr>
            <w:tcW w:w="3640" w:type="dxa"/>
            <w:vAlign w:val="bottom"/>
            <w:shd w:val="clear" w:color="auto" w:fill="CEFFE7"/>
          </w:tcPr>
          <w:p>
            <w:pPr>
              <w:jc w:val="center"/>
              <w:ind w:left="259"/>
              <w:spacing w:after="0"/>
              <w:rPr>
                <w:sz w:val="20"/>
                <w:szCs w:val="20"/>
                <w:color w:val="auto"/>
              </w:rPr>
            </w:pPr>
            <w:r>
              <w:rPr>
                <w:rFonts w:ascii="Arial" w:cs="Arial" w:eastAsia="Arial" w:hAnsi="Arial"/>
                <w:sz w:val="16"/>
                <w:szCs w:val="16"/>
                <w:color w:val="auto"/>
                <w:w w:val="93"/>
              </w:rPr>
              <w:t>A</w:t>
            </w:r>
          </w:p>
        </w:tc>
      </w:tr>
      <w:tr>
        <w:trPr>
          <w:trHeight w:val="216"/>
        </w:trPr>
        <w:tc>
          <w:tcPr>
            <w:tcW w:w="76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Moody’s </w:t>
            </w:r>
            <w:r>
              <w:rPr>
                <w:rFonts w:ascii="Arial" w:cs="Arial" w:eastAsia="Arial" w:hAnsi="Arial"/>
                <w:sz w:val="21"/>
                <w:szCs w:val="21"/>
                <w:color w:val="auto"/>
                <w:vertAlign w:val="superscript"/>
              </w:rPr>
              <w:t>(b)</w:t>
            </w:r>
          </w:p>
        </w:tc>
        <w:tc>
          <w:tcPr>
            <w:tcW w:w="3640" w:type="dxa"/>
            <w:vAlign w:val="bottom"/>
          </w:tcPr>
          <w:p>
            <w:pPr>
              <w:jc w:val="center"/>
              <w:ind w:left="239"/>
              <w:spacing w:after="0"/>
              <w:rPr>
                <w:sz w:val="20"/>
                <w:szCs w:val="20"/>
                <w:color w:val="auto"/>
              </w:rPr>
            </w:pPr>
            <w:r>
              <w:rPr>
                <w:rFonts w:ascii="Arial" w:cs="Arial" w:eastAsia="Arial" w:hAnsi="Arial"/>
                <w:sz w:val="16"/>
                <w:szCs w:val="16"/>
                <w:color w:val="auto"/>
              </w:rPr>
              <w:t>A1</w:t>
            </w:r>
          </w:p>
        </w:tc>
      </w:tr>
      <w:tr>
        <w:trPr>
          <w:trHeight w:val="216"/>
        </w:trPr>
        <w:tc>
          <w:tcPr>
            <w:tcW w:w="7600" w:type="dxa"/>
            <w:vAlign w:val="bottom"/>
            <w:shd w:val="clear" w:color="auto" w:fill="CEFFE7"/>
          </w:tcPr>
          <w:p>
            <w:pPr>
              <w:ind w:left="20"/>
              <w:spacing w:after="0" w:line="216" w:lineRule="exact"/>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(c)</w:t>
            </w:r>
          </w:p>
        </w:tc>
        <w:tc>
          <w:tcPr>
            <w:tcW w:w="3640" w:type="dxa"/>
            <w:vAlign w:val="bottom"/>
            <w:shd w:val="clear" w:color="auto" w:fill="CEFFE7"/>
          </w:tcPr>
          <w:p>
            <w:pPr>
              <w:jc w:val="center"/>
              <w:ind w:left="259"/>
              <w:spacing w:after="0"/>
              <w:rPr>
                <w:sz w:val="20"/>
                <w:szCs w:val="20"/>
                <w:color w:val="auto"/>
              </w:rPr>
            </w:pPr>
            <w:r>
              <w:rPr>
                <w:rFonts w:ascii="Arial" w:cs="Arial" w:eastAsia="Arial" w:hAnsi="Arial"/>
                <w:sz w:val="16"/>
                <w:szCs w:val="16"/>
                <w:color w:val="auto"/>
                <w:w w:val="93"/>
              </w:rPr>
              <w:t>A</w:t>
            </w:r>
          </w:p>
        </w:tc>
      </w:tr>
      <w:tr>
        <w:trPr>
          <w:trHeight w:val="275"/>
        </w:trPr>
        <w:tc>
          <w:tcPr>
            <w:tcW w:w="7600" w:type="dxa"/>
            <w:vAlign w:val="bottom"/>
          </w:tcPr>
          <w:p>
            <w:pPr>
              <w:spacing w:after="0"/>
              <w:rPr>
                <w:sz w:val="20"/>
                <w:szCs w:val="20"/>
                <w:color w:val="auto"/>
              </w:rPr>
            </w:pPr>
            <w:r>
              <w:rPr>
                <w:rFonts w:ascii="Arial" w:cs="Arial" w:eastAsia="Arial" w:hAnsi="Arial"/>
                <w:sz w:val="16"/>
                <w:szCs w:val="16"/>
                <w:color w:val="auto"/>
              </w:rPr>
              <w:t>__________</w:t>
            </w:r>
          </w:p>
        </w:tc>
        <w:tc>
          <w:tcPr>
            <w:tcW w:w="3640" w:type="dxa"/>
            <w:vAlign w:val="bottom"/>
          </w:tcPr>
          <w:p>
            <w:pPr>
              <w:spacing w:after="0"/>
              <w:rPr>
                <w:sz w:val="23"/>
                <w:szCs w:val="23"/>
                <w:color w:val="auto"/>
              </w:rPr>
            </w:pPr>
          </w:p>
        </w:tc>
      </w:tr>
    </w:tbl>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On April 16, 2020, S&amp;P reported A rating.</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On December 21, 2020, Moody’s reported A1 rating.</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On August 20, 2020, Fitch reported A rating.</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60" w:type="dxa"/>
            <w:vAlign w:val="bottom"/>
          </w:tcPr>
          <w:p>
            <w:pPr>
              <w:spacing w:after="0"/>
              <w:rPr>
                <w:sz w:val="20"/>
                <w:szCs w:val="20"/>
                <w:color w:val="auto"/>
              </w:rPr>
            </w:pPr>
            <w:r>
              <w:rPr>
                <w:rFonts w:ascii="Arial" w:cs="Arial" w:eastAsia="Arial" w:hAnsi="Arial"/>
                <w:sz w:val="16"/>
                <w:szCs w:val="16"/>
                <w:b w:val="1"/>
                <w:bCs w:val="1"/>
                <w:color w:val="auto"/>
              </w:rPr>
              <w:t>Capital Requirements</w:t>
            </w:r>
          </w:p>
        </w:tc>
        <w:tc>
          <w:tcPr>
            <w:tcW w:w="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432"/>
        </w:trPr>
        <w:tc>
          <w:tcPr>
            <w:tcW w:w="2460" w:type="dxa"/>
            <w:vAlign w:val="bottom"/>
          </w:tcPr>
          <w:p>
            <w:pPr>
              <w:spacing w:after="0"/>
              <w:rPr>
                <w:sz w:val="20"/>
                <w:szCs w:val="20"/>
                <w:color w:val="auto"/>
              </w:rPr>
            </w:pPr>
            <w:r>
              <w:rPr>
                <w:rFonts w:ascii="Arial" w:cs="Arial" w:eastAsia="Arial" w:hAnsi="Arial"/>
                <w:sz w:val="16"/>
                <w:szCs w:val="16"/>
                <w:b w:val="1"/>
                <w:bCs w:val="1"/>
                <w:color w:val="auto"/>
              </w:rPr>
              <w:t>Capital Expenditures</w:t>
            </w:r>
          </w:p>
        </w:tc>
        <w:tc>
          <w:tcPr>
            <w:tcW w:w="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7"/>
        </w:trPr>
        <w:tc>
          <w:tcPr>
            <w:tcW w:w="24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rPr>
              <w:t>Actual</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Forecasted</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71"/>
        </w:trPr>
        <w:tc>
          <w:tcPr>
            <w:tcW w:w="2460" w:type="dxa"/>
            <w:vAlign w:val="bottom"/>
          </w:tcPr>
          <w:p>
            <w:pPr>
              <w:spacing w:after="0"/>
              <w:rPr>
                <w:sz w:val="14"/>
                <w:szCs w:val="14"/>
                <w:color w:val="auto"/>
              </w:rPr>
            </w:pPr>
          </w:p>
        </w:tc>
        <w:tc>
          <w:tcPr>
            <w:tcW w:w="2240" w:type="dxa"/>
            <w:vAlign w:val="bottom"/>
            <w:gridSpan w:val="3"/>
          </w:tcPr>
          <w:p>
            <w:pPr>
              <w:jc w:val="center"/>
              <w:ind w:right="100"/>
              <w:spacing w:after="0" w:line="171" w:lineRule="exact"/>
              <w:rPr>
                <w:sz w:val="20"/>
                <w:szCs w:val="20"/>
                <w:color w:val="auto"/>
              </w:rPr>
            </w:pPr>
            <w:r>
              <w:rPr>
                <w:rFonts w:ascii="Arial" w:cs="Arial" w:eastAsia="Arial" w:hAnsi="Arial"/>
                <w:sz w:val="16"/>
                <w:szCs w:val="16"/>
                <w:color w:val="auto"/>
              </w:rPr>
              <w:t>Six Months Ended June 30,</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3"/>
        </w:trPr>
        <w:tc>
          <w:tcPr>
            <w:tcW w:w="2460" w:type="dxa"/>
            <w:vAlign w:val="bottom"/>
          </w:tcPr>
          <w:p>
            <w:pPr>
              <w:ind w:left="20"/>
              <w:spacing w:after="0"/>
              <w:rPr>
                <w:sz w:val="20"/>
                <w:szCs w:val="20"/>
                <w:color w:val="auto"/>
              </w:rPr>
            </w:pPr>
            <w:r>
              <w:rPr>
                <w:rFonts w:ascii="Arial" w:cs="Arial" w:eastAsia="Arial" w:hAnsi="Arial"/>
                <w:sz w:val="16"/>
                <w:szCs w:val="16"/>
                <w:color w:val="auto"/>
              </w:rPr>
              <w:t>Capital Expenditures by Segment</w:t>
            </w:r>
          </w:p>
        </w:tc>
        <w:tc>
          <w:tcPr>
            <w:tcW w:w="440" w:type="dxa"/>
            <w:vAlign w:val="bottom"/>
          </w:tcPr>
          <w:p>
            <w:pPr>
              <w:spacing w:after="0"/>
              <w:rPr>
                <w:sz w:val="17"/>
                <w:szCs w:val="17"/>
                <w:color w:val="auto"/>
              </w:rPr>
            </w:pPr>
          </w:p>
        </w:tc>
        <w:tc>
          <w:tcPr>
            <w:tcW w:w="1800" w:type="dxa"/>
            <w:vAlign w:val="bottom"/>
            <w:gridSpan w:val="2"/>
          </w:tcPr>
          <w:p>
            <w:pPr>
              <w:jc w:val="center"/>
              <w:ind w:right="540"/>
              <w:spacing w:after="0" w:line="204" w:lineRule="exact"/>
              <w:rPr>
                <w:sz w:val="20"/>
                <w:szCs w:val="20"/>
                <w:color w:val="auto"/>
              </w:rPr>
            </w:pPr>
            <w:r>
              <w:rPr>
                <w:rFonts w:ascii="Arial" w:cs="Arial" w:eastAsia="Arial" w:hAnsi="Arial"/>
                <w:sz w:val="16"/>
                <w:szCs w:val="16"/>
                <w:color w:val="auto"/>
                <w:w w:val="94"/>
              </w:rPr>
              <w:t xml:space="preserve">2021 </w:t>
            </w:r>
            <w:r>
              <w:rPr>
                <w:rFonts w:ascii="Arial" w:cs="Arial" w:eastAsia="Arial" w:hAnsi="Arial"/>
                <w:sz w:val="21"/>
                <w:szCs w:val="21"/>
                <w:color w:val="auto"/>
                <w:w w:val="94"/>
                <w:vertAlign w:val="superscript"/>
              </w:rPr>
              <w:t>(a)</w:t>
            </w:r>
          </w:p>
        </w:tc>
        <w:tc>
          <w:tcPr>
            <w:tcW w:w="240" w:type="dxa"/>
            <w:vAlign w:val="bottom"/>
          </w:tcPr>
          <w:p>
            <w:pPr>
              <w:spacing w:after="0"/>
              <w:rPr>
                <w:sz w:val="17"/>
                <w:szCs w:val="17"/>
                <w:color w:val="auto"/>
              </w:rPr>
            </w:pPr>
          </w:p>
        </w:tc>
        <w:tc>
          <w:tcPr>
            <w:tcW w:w="1040" w:type="dxa"/>
            <w:vAlign w:val="bottom"/>
          </w:tcPr>
          <w:p>
            <w:pPr>
              <w:jc w:val="right"/>
              <w:ind w:right="279"/>
              <w:spacing w:after="0" w:line="204" w:lineRule="exact"/>
              <w:rPr>
                <w:sz w:val="20"/>
                <w:szCs w:val="20"/>
                <w:color w:val="auto"/>
              </w:rPr>
            </w:pPr>
            <w:r>
              <w:rPr>
                <w:rFonts w:ascii="Arial" w:cs="Arial" w:eastAsia="Arial" w:hAnsi="Arial"/>
                <w:sz w:val="16"/>
                <w:szCs w:val="16"/>
                <w:color w:val="auto"/>
              </w:rPr>
              <w:t xml:space="preserve">2021 </w:t>
            </w:r>
            <w:r>
              <w:rPr>
                <w:rFonts w:ascii="Arial" w:cs="Arial" w:eastAsia="Arial" w:hAnsi="Arial"/>
                <w:sz w:val="21"/>
                <w:szCs w:val="21"/>
                <w:color w:val="auto"/>
                <w:vertAlign w:val="superscript"/>
              </w:rPr>
              <w:t>(b)</w:t>
            </w:r>
          </w:p>
        </w:tc>
        <w:tc>
          <w:tcPr>
            <w:tcW w:w="320" w:type="dxa"/>
            <w:vAlign w:val="bottom"/>
          </w:tcPr>
          <w:p>
            <w:pPr>
              <w:spacing w:after="0"/>
              <w:rPr>
                <w:sz w:val="17"/>
                <w:szCs w:val="17"/>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17"/>
                <w:szCs w:val="17"/>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color w:val="auto"/>
              </w:rPr>
              <w:t>2023</w:t>
            </w:r>
          </w:p>
        </w:tc>
        <w:tc>
          <w:tcPr>
            <w:tcW w:w="320" w:type="dxa"/>
            <w:vAlign w:val="bottom"/>
          </w:tcPr>
          <w:p>
            <w:pPr>
              <w:spacing w:after="0"/>
              <w:rPr>
                <w:sz w:val="17"/>
                <w:szCs w:val="17"/>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color w:val="auto"/>
              </w:rPr>
              <w:t>2024</w:t>
            </w:r>
          </w:p>
        </w:tc>
        <w:tc>
          <w:tcPr>
            <w:tcW w:w="320" w:type="dxa"/>
            <w:vAlign w:val="bottom"/>
          </w:tcPr>
          <w:p>
            <w:pPr>
              <w:spacing w:after="0"/>
              <w:rPr>
                <w:sz w:val="17"/>
                <w:szCs w:val="17"/>
                <w:color w:val="auto"/>
              </w:rPr>
            </w:pPr>
          </w:p>
        </w:tc>
        <w:tc>
          <w:tcPr>
            <w:tcW w:w="1020" w:type="dxa"/>
            <w:vAlign w:val="bottom"/>
          </w:tcPr>
          <w:p>
            <w:pPr>
              <w:jc w:val="right"/>
              <w:ind w:right="399"/>
              <w:spacing w:after="0"/>
              <w:rPr>
                <w:sz w:val="20"/>
                <w:szCs w:val="20"/>
                <w:color w:val="auto"/>
              </w:rPr>
            </w:pPr>
            <w:r>
              <w:rPr>
                <w:rFonts w:ascii="Arial" w:cs="Arial" w:eastAsia="Arial" w:hAnsi="Arial"/>
                <w:sz w:val="16"/>
                <w:szCs w:val="16"/>
                <w:color w:val="auto"/>
              </w:rPr>
              <w:t>2025</w:t>
            </w:r>
          </w:p>
        </w:tc>
      </w:tr>
      <w:tr>
        <w:trPr>
          <w:trHeight w:val="196"/>
        </w:trPr>
        <w:tc>
          <w:tcPr>
            <w:tcW w:w="2460" w:type="dxa"/>
            <w:vAlign w:val="bottom"/>
            <w:tcBorders>
              <w:top w:val="single" w:sz="8" w:color="CEFFE7"/>
            </w:tcBorders>
            <w:shd w:val="clear" w:color="auto" w:fill="CEFFE7"/>
          </w:tcPr>
          <w:p>
            <w:pPr>
              <w:ind w:left="20"/>
              <w:spacing w:after="0"/>
              <w:rPr>
                <w:sz w:val="20"/>
                <w:szCs w:val="20"/>
                <w:color w:val="auto"/>
              </w:rPr>
            </w:pPr>
            <w:r>
              <w:rPr>
                <w:rFonts w:ascii="Arial" w:cs="Arial" w:eastAsia="Arial" w:hAnsi="Arial"/>
                <w:sz w:val="16"/>
                <w:szCs w:val="16"/>
                <w:i w:val="1"/>
                <w:iCs w:val="1"/>
                <w:color w:val="auto"/>
              </w:rPr>
              <w:t>(in millions)</w:t>
            </w:r>
          </w:p>
        </w:tc>
        <w:tc>
          <w:tcPr>
            <w:tcW w:w="440" w:type="dxa"/>
            <w:vAlign w:val="bottom"/>
            <w:tcBorders>
              <w:top w:val="single" w:sz="8" w:color="auto"/>
            </w:tcBorders>
            <w:shd w:val="clear" w:color="auto" w:fill="CEFFE7"/>
          </w:tcPr>
          <w:p>
            <w:pPr>
              <w:spacing w:after="0"/>
              <w:rPr>
                <w:sz w:val="17"/>
                <w:szCs w:val="17"/>
                <w:color w:val="auto"/>
              </w:rPr>
            </w:pPr>
          </w:p>
        </w:tc>
        <w:tc>
          <w:tcPr>
            <w:tcW w:w="1700" w:type="dxa"/>
            <w:vAlign w:val="bottom"/>
            <w:tcBorders>
              <w:top w:val="single" w:sz="8" w:color="auto"/>
            </w:tcBorders>
            <w:shd w:val="clear" w:color="auto" w:fill="CEFFE7"/>
          </w:tcPr>
          <w:p>
            <w:pPr>
              <w:spacing w:after="0"/>
              <w:rPr>
                <w:sz w:val="17"/>
                <w:szCs w:val="17"/>
                <w:color w:val="auto"/>
              </w:rPr>
            </w:pPr>
          </w:p>
        </w:tc>
        <w:tc>
          <w:tcPr>
            <w:tcW w:w="100" w:type="dxa"/>
            <w:vAlign w:val="bottom"/>
            <w:tcBorders>
              <w:top w:val="single" w:sz="8" w:color="CEFFE7"/>
            </w:tcBorders>
            <w:shd w:val="clear" w:color="auto" w:fill="CEFFE7"/>
          </w:tcPr>
          <w:p>
            <w:pPr>
              <w:spacing w:after="0"/>
              <w:rPr>
                <w:sz w:val="17"/>
                <w:szCs w:val="17"/>
                <w:color w:val="auto"/>
              </w:rPr>
            </w:pPr>
          </w:p>
        </w:tc>
        <w:tc>
          <w:tcPr>
            <w:tcW w:w="240" w:type="dxa"/>
            <w:vAlign w:val="bottom"/>
            <w:tcBorders>
              <w:top w:val="single" w:sz="8" w:color="auto"/>
            </w:tcBorders>
            <w:shd w:val="clear" w:color="auto" w:fill="CEFFE7"/>
          </w:tcPr>
          <w:p>
            <w:pPr>
              <w:spacing w:after="0"/>
              <w:rPr>
                <w:sz w:val="17"/>
                <w:szCs w:val="17"/>
                <w:color w:val="auto"/>
              </w:rPr>
            </w:pPr>
          </w:p>
        </w:tc>
        <w:tc>
          <w:tcPr>
            <w:tcW w:w="1040" w:type="dxa"/>
            <w:vAlign w:val="bottom"/>
            <w:tcBorders>
              <w:top w:val="single" w:sz="8" w:color="auto"/>
            </w:tcBorders>
            <w:shd w:val="clear" w:color="auto" w:fill="CEFFE7"/>
          </w:tcPr>
          <w:p>
            <w:pPr>
              <w:spacing w:after="0"/>
              <w:rPr>
                <w:sz w:val="17"/>
                <w:szCs w:val="17"/>
                <w:color w:val="auto"/>
              </w:rPr>
            </w:pPr>
          </w:p>
        </w:tc>
        <w:tc>
          <w:tcPr>
            <w:tcW w:w="320" w:type="dxa"/>
            <w:vAlign w:val="bottom"/>
            <w:tcBorders>
              <w:top w:val="single" w:sz="8" w:color="auto"/>
            </w:tcBorders>
            <w:shd w:val="clear" w:color="auto" w:fill="CEFFE7"/>
          </w:tcPr>
          <w:p>
            <w:pPr>
              <w:spacing w:after="0"/>
              <w:rPr>
                <w:sz w:val="17"/>
                <w:szCs w:val="17"/>
                <w:color w:val="auto"/>
              </w:rPr>
            </w:pPr>
          </w:p>
        </w:tc>
        <w:tc>
          <w:tcPr>
            <w:tcW w:w="980" w:type="dxa"/>
            <w:vAlign w:val="bottom"/>
            <w:tcBorders>
              <w:top w:val="single" w:sz="8" w:color="auto"/>
            </w:tcBorders>
            <w:shd w:val="clear" w:color="auto" w:fill="CEFFE7"/>
          </w:tcPr>
          <w:p>
            <w:pPr>
              <w:spacing w:after="0"/>
              <w:rPr>
                <w:sz w:val="17"/>
                <w:szCs w:val="17"/>
                <w:color w:val="auto"/>
              </w:rPr>
            </w:pPr>
          </w:p>
        </w:tc>
        <w:tc>
          <w:tcPr>
            <w:tcW w:w="200" w:type="dxa"/>
            <w:vAlign w:val="bottom"/>
            <w:tcBorders>
              <w:top w:val="single" w:sz="8" w:color="auto"/>
            </w:tcBorders>
            <w:shd w:val="clear" w:color="auto" w:fill="CEFFE7"/>
          </w:tcPr>
          <w:p>
            <w:pPr>
              <w:spacing w:after="0"/>
              <w:rPr>
                <w:sz w:val="17"/>
                <w:szCs w:val="17"/>
                <w:color w:val="auto"/>
              </w:rPr>
            </w:pPr>
          </w:p>
        </w:tc>
        <w:tc>
          <w:tcPr>
            <w:tcW w:w="1120" w:type="dxa"/>
            <w:vAlign w:val="bottom"/>
            <w:tcBorders>
              <w:top w:val="single" w:sz="8" w:color="auto"/>
            </w:tcBorders>
            <w:shd w:val="clear" w:color="auto" w:fill="CEFFE7"/>
          </w:tcPr>
          <w:p>
            <w:pPr>
              <w:spacing w:after="0"/>
              <w:rPr>
                <w:sz w:val="17"/>
                <w:szCs w:val="17"/>
                <w:color w:val="auto"/>
              </w:rPr>
            </w:pPr>
          </w:p>
        </w:tc>
        <w:tc>
          <w:tcPr>
            <w:tcW w:w="320" w:type="dxa"/>
            <w:vAlign w:val="bottom"/>
            <w:tcBorders>
              <w:top w:val="single" w:sz="8" w:color="auto"/>
            </w:tcBorders>
            <w:shd w:val="clear" w:color="auto" w:fill="CEFFE7"/>
          </w:tcPr>
          <w:p>
            <w:pPr>
              <w:spacing w:after="0"/>
              <w:rPr>
                <w:sz w:val="17"/>
                <w:szCs w:val="17"/>
                <w:color w:val="auto"/>
              </w:rPr>
            </w:pPr>
          </w:p>
        </w:tc>
        <w:tc>
          <w:tcPr>
            <w:tcW w:w="980" w:type="dxa"/>
            <w:vAlign w:val="bottom"/>
            <w:tcBorders>
              <w:top w:val="single" w:sz="8" w:color="auto"/>
            </w:tcBorders>
            <w:shd w:val="clear" w:color="auto" w:fill="CEFFE7"/>
          </w:tcPr>
          <w:p>
            <w:pPr>
              <w:spacing w:after="0"/>
              <w:rPr>
                <w:sz w:val="17"/>
                <w:szCs w:val="17"/>
                <w:color w:val="auto"/>
              </w:rPr>
            </w:pPr>
          </w:p>
        </w:tc>
        <w:tc>
          <w:tcPr>
            <w:tcW w:w="320" w:type="dxa"/>
            <w:vAlign w:val="bottom"/>
            <w:tcBorders>
              <w:top w:val="single" w:sz="8" w:color="auto"/>
            </w:tcBorders>
            <w:shd w:val="clear" w:color="auto" w:fill="CEFFE7"/>
          </w:tcPr>
          <w:p>
            <w:pPr>
              <w:spacing w:after="0"/>
              <w:rPr>
                <w:sz w:val="17"/>
                <w:szCs w:val="17"/>
                <w:color w:val="auto"/>
              </w:rPr>
            </w:pPr>
          </w:p>
        </w:tc>
        <w:tc>
          <w:tcPr>
            <w:tcW w:w="1020" w:type="dxa"/>
            <w:vAlign w:val="bottom"/>
            <w:tcBorders>
              <w:top w:val="single" w:sz="8" w:color="auto"/>
            </w:tcBorders>
            <w:shd w:val="clear" w:color="auto" w:fill="CEFFE7"/>
          </w:tcPr>
          <w:p>
            <w:pPr>
              <w:spacing w:after="0"/>
              <w:rPr>
                <w:sz w:val="17"/>
                <w:szCs w:val="17"/>
                <w:color w:val="auto"/>
              </w:rPr>
            </w:pP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Electric Utilities</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240</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143</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156</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19"/>
        </w:trPr>
        <w:tc>
          <w:tcPr>
            <w:tcW w:w="2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Gas Utilities</w:t>
            </w:r>
          </w:p>
        </w:tc>
        <w:tc>
          <w:tcPr>
            <w:tcW w:w="440" w:type="dxa"/>
            <w:vAlign w:val="bottom"/>
            <w:shd w:val="clear" w:color="auto" w:fill="CEFFE7"/>
          </w:tcPr>
          <w:p>
            <w:pPr>
              <w:spacing w:after="0"/>
              <w:rPr>
                <w:sz w:val="19"/>
                <w:szCs w:val="19"/>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377</w:t>
            </w:r>
          </w:p>
        </w:tc>
        <w:tc>
          <w:tcPr>
            <w:tcW w:w="32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347</w:t>
            </w:r>
          </w:p>
        </w:tc>
        <w:tc>
          <w:tcPr>
            <w:tcW w:w="200" w:type="dxa"/>
            <w:vAlign w:val="bottom"/>
            <w:shd w:val="clear" w:color="auto" w:fill="CEFFE7"/>
          </w:tcPr>
          <w:p>
            <w:pPr>
              <w:spacing w:after="0"/>
              <w:rPr>
                <w:sz w:val="19"/>
                <w:szCs w:val="19"/>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339</w:t>
            </w:r>
          </w:p>
        </w:tc>
        <w:tc>
          <w:tcPr>
            <w:tcW w:w="32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330</w:t>
            </w:r>
          </w:p>
        </w:tc>
        <w:tc>
          <w:tcPr>
            <w:tcW w:w="320" w:type="dxa"/>
            <w:vAlign w:val="bottom"/>
            <w:shd w:val="clear" w:color="auto" w:fill="CEFFE7"/>
          </w:tcPr>
          <w:p>
            <w:pPr>
              <w:spacing w:after="0"/>
              <w:rPr>
                <w:sz w:val="19"/>
                <w:szCs w:val="19"/>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326</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Power Generation</w:t>
            </w:r>
          </w:p>
        </w:tc>
        <w:tc>
          <w:tcPr>
            <w:tcW w:w="4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9"/>
        </w:trPr>
        <w:tc>
          <w:tcPr>
            <w:tcW w:w="2460" w:type="dxa"/>
            <w:vAlign w:val="bottom"/>
            <w:shd w:val="clear" w:color="auto" w:fill="CEFFE7"/>
          </w:tcPr>
          <w:p>
            <w:pPr>
              <w:ind w:left="20"/>
              <w:spacing w:after="0"/>
              <w:rPr>
                <w:sz w:val="20"/>
                <w:szCs w:val="20"/>
                <w:color w:val="auto"/>
              </w:rPr>
            </w:pPr>
            <w:r>
              <w:rPr>
                <w:rFonts w:ascii="Arial" w:cs="Arial" w:eastAsia="Arial" w:hAnsi="Arial"/>
                <w:sz w:val="16"/>
                <w:szCs w:val="16"/>
                <w:color w:val="auto"/>
              </w:rPr>
              <w:t>Mining</w:t>
            </w:r>
          </w:p>
        </w:tc>
        <w:tc>
          <w:tcPr>
            <w:tcW w:w="440" w:type="dxa"/>
            <w:vAlign w:val="bottom"/>
            <w:shd w:val="clear" w:color="auto" w:fill="CEFFE7"/>
          </w:tcPr>
          <w:p>
            <w:pPr>
              <w:spacing w:after="0"/>
              <w:rPr>
                <w:sz w:val="19"/>
                <w:szCs w:val="19"/>
                <w:color w:val="auto"/>
              </w:rPr>
            </w:pPr>
          </w:p>
        </w:tc>
        <w:tc>
          <w:tcPr>
            <w:tcW w:w="17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w:t>
            </w:r>
          </w:p>
        </w:tc>
        <w:tc>
          <w:tcPr>
            <w:tcW w:w="32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CEFFE7"/>
          </w:tcPr>
          <w:p>
            <w:pPr>
              <w:spacing w:after="0"/>
              <w:rPr>
                <w:sz w:val="19"/>
                <w:szCs w:val="19"/>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w:t>
            </w:r>
          </w:p>
        </w:tc>
        <w:tc>
          <w:tcPr>
            <w:tcW w:w="32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w:t>
            </w:r>
          </w:p>
        </w:tc>
        <w:tc>
          <w:tcPr>
            <w:tcW w:w="320" w:type="dxa"/>
            <w:vAlign w:val="bottom"/>
            <w:shd w:val="clear" w:color="auto" w:fill="CEFFE7"/>
          </w:tcPr>
          <w:p>
            <w:pPr>
              <w:spacing w:after="0"/>
              <w:rPr>
                <w:sz w:val="19"/>
                <w:szCs w:val="19"/>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2460" w:type="dxa"/>
            <w:vAlign w:val="bottom"/>
          </w:tcPr>
          <w:p>
            <w:pPr>
              <w:ind w:left="20"/>
              <w:spacing w:after="0"/>
              <w:rPr>
                <w:sz w:val="20"/>
                <w:szCs w:val="20"/>
                <w:color w:val="auto"/>
              </w:rPr>
            </w:pPr>
            <w:r>
              <w:rPr>
                <w:rFonts w:ascii="Arial" w:cs="Arial" w:eastAsia="Arial" w:hAnsi="Arial"/>
                <w:sz w:val="16"/>
                <w:szCs w:val="16"/>
                <w:color w:val="auto"/>
              </w:rPr>
              <w:t>Corporate and Other</w:t>
            </w:r>
          </w:p>
        </w:tc>
        <w:tc>
          <w:tcPr>
            <w:tcW w:w="4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2460" w:type="dxa"/>
            <w:vAlign w:val="bottom"/>
            <w:shd w:val="clear" w:color="auto" w:fill="CEFFE7"/>
          </w:tcPr>
          <w:p>
            <w:pPr>
              <w:ind w:left="20"/>
              <w:spacing w:after="0" w:line="219" w:lineRule="exact"/>
              <w:rPr>
                <w:sz w:val="20"/>
                <w:szCs w:val="20"/>
                <w:color w:val="auto"/>
              </w:rPr>
            </w:pPr>
            <w:r>
              <w:rPr>
                <w:rFonts w:ascii="Arial" w:cs="Arial" w:eastAsia="Arial" w:hAnsi="Arial"/>
                <w:sz w:val="16"/>
                <w:szCs w:val="16"/>
                <w:color w:val="auto"/>
              </w:rPr>
              <w:t xml:space="preserve">Incremental Projects </w:t>
            </w:r>
            <w:r>
              <w:rPr>
                <w:rFonts w:ascii="Arial" w:cs="Arial" w:eastAsia="Arial" w:hAnsi="Arial"/>
                <w:sz w:val="21"/>
                <w:szCs w:val="21"/>
                <w:color w:val="auto"/>
                <w:vertAlign w:val="superscript"/>
              </w:rPr>
              <w:t>(c)</w:t>
            </w:r>
          </w:p>
        </w:tc>
        <w:tc>
          <w:tcPr>
            <w:tcW w:w="440" w:type="dxa"/>
            <w:vAlign w:val="bottom"/>
            <w:shd w:val="clear" w:color="auto" w:fill="CEFFE7"/>
          </w:tcPr>
          <w:p>
            <w:pPr>
              <w:spacing w:after="0"/>
              <w:rPr>
                <w:sz w:val="19"/>
                <w:szCs w:val="19"/>
                <w:color w:val="auto"/>
              </w:rPr>
            </w:pPr>
          </w:p>
        </w:tc>
        <w:tc>
          <w:tcPr>
            <w:tcW w:w="1800" w:type="dxa"/>
            <w:vAlign w:val="bottom"/>
            <w:gridSpan w:val="2"/>
            <w:shd w:val="clear" w:color="auto" w:fill="CEFFE7"/>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EFFE7"/>
          </w:tcPr>
          <w:p>
            <w:pPr>
              <w:spacing w:after="0"/>
              <w:rPr>
                <w:sz w:val="19"/>
                <w:szCs w:val="19"/>
                <w:color w:val="auto"/>
              </w:rPr>
            </w:pPr>
          </w:p>
        </w:tc>
        <w:tc>
          <w:tcPr>
            <w:tcW w:w="10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50</w:t>
            </w:r>
          </w:p>
        </w:tc>
        <w:tc>
          <w:tcPr>
            <w:tcW w:w="200" w:type="dxa"/>
            <w:vAlign w:val="bottom"/>
            <w:shd w:val="clear" w:color="auto" w:fill="CEFFE7"/>
          </w:tcPr>
          <w:p>
            <w:pPr>
              <w:spacing w:after="0"/>
              <w:rPr>
                <w:sz w:val="19"/>
                <w:szCs w:val="19"/>
                <w:color w:val="auto"/>
              </w:rPr>
            </w:pPr>
          </w:p>
        </w:tc>
        <w:tc>
          <w:tcPr>
            <w:tcW w:w="11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100</w:t>
            </w:r>
          </w:p>
        </w:tc>
        <w:tc>
          <w:tcPr>
            <w:tcW w:w="320" w:type="dxa"/>
            <w:vAlign w:val="bottom"/>
            <w:shd w:val="clear" w:color="auto" w:fill="CEFFE7"/>
          </w:tcPr>
          <w:p>
            <w:pPr>
              <w:spacing w:after="0"/>
              <w:rPr>
                <w:sz w:val="19"/>
                <w:szCs w:val="19"/>
                <w:color w:val="auto"/>
              </w:rPr>
            </w:pP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100</w:t>
            </w:r>
          </w:p>
        </w:tc>
        <w:tc>
          <w:tcPr>
            <w:tcW w:w="320" w:type="dxa"/>
            <w:vAlign w:val="bottom"/>
            <w:shd w:val="clear" w:color="auto" w:fill="CEFFE7"/>
          </w:tcPr>
          <w:p>
            <w:pPr>
              <w:spacing w:after="0"/>
              <w:rPr>
                <w:sz w:val="19"/>
                <w:szCs w:val="19"/>
                <w:color w:val="auto"/>
              </w:rPr>
            </w:pPr>
          </w:p>
        </w:tc>
        <w:tc>
          <w:tcPr>
            <w:tcW w:w="1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100</w:t>
            </w:r>
          </w:p>
        </w:tc>
      </w:tr>
      <w:tr>
        <w:trPr>
          <w:trHeight w:val="207"/>
        </w:trPr>
        <w:tc>
          <w:tcPr>
            <w:tcW w:w="246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647</w:t>
            </w:r>
          </w:p>
        </w:tc>
        <w:tc>
          <w:tcPr>
            <w:tcW w:w="3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612</w:t>
            </w:r>
          </w:p>
        </w:tc>
        <w:tc>
          <w:tcPr>
            <w:tcW w:w="3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608</w:t>
            </w:r>
          </w:p>
        </w:tc>
      </w:tr>
      <w:tr>
        <w:trPr>
          <w:trHeight w:val="24"/>
        </w:trPr>
        <w:tc>
          <w:tcPr>
            <w:tcW w:w="24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8" w:lineRule="exact"/>
        <w:rPr>
          <w:sz w:val="20"/>
          <w:szCs w:val="20"/>
          <w:color w:val="auto"/>
        </w:rPr>
      </w:pPr>
    </w:p>
    <w:p>
      <w:pPr>
        <w:ind w:left="340" w:right="200" w:hanging="332"/>
        <w:spacing w:after="0" w:line="241" w:lineRule="auto"/>
        <w:tabs>
          <w:tab w:leader="none" w:pos="352"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supplemental cash flow information in the </w:t>
      </w:r>
      <w:hyperlink w:anchor="page11">
        <w:r>
          <w:rPr>
            <w:rFonts w:ascii="Arial" w:cs="Arial" w:eastAsia="Arial" w:hAnsi="Arial"/>
            <w:sz w:val="14"/>
            <w:szCs w:val="14"/>
            <w:u w:val="single" w:color="auto"/>
            <w:color w:val="0000FF"/>
          </w:rPr>
          <w:t>Condensed Consolidated Statements of Cash Flows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in the Condensed Consolidated Financial Statements.</w:t>
      </w: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actual capital expenditures for the six months ended June 30, 2021.</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These represent projects that are being evaluated by our segments for timing, cost and other factors.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6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Dividends paid on our common stock totaled $71 million for the six months ended June 30, 2021, or $0.565 per share per quarter. On July 26, 2021, our board of directors declared a quarterly dividend of $0.565 per share payable September 1, 2021, equivalent to an annual dividend of $2.26 per share. The amount of any future cash dividends to be declared and paid, if any, will depend upon, among other things, our financial condition, funds from operations, the level of our capital expenditures, restrictions under our Revolving Credit Facility and our future business prospects.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Unconditional Purchase Obligations</w:t>
      </w:r>
    </w:p>
    <w:p>
      <w:pPr>
        <w:spacing w:after="0" w:line="268"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w:t>
      </w:r>
      <w:hyperlink w:anchor="page17">
        <w:r>
          <w:rPr>
            <w:rFonts w:ascii="Arial" w:cs="Arial" w:eastAsia="Arial" w:hAnsi="Arial"/>
            <w:sz w:val="16"/>
            <w:szCs w:val="16"/>
            <w:u w:val="single" w:color="auto"/>
            <w:color w:val="0000FF"/>
          </w:rPr>
          <w:t>Note 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for recent updates to our purchase obligations.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Policies Involving Significant Estimates</w:t>
      </w:r>
    </w:p>
    <w:p>
      <w:pPr>
        <w:spacing w:after="0" w:line="268"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There have been no material changes in our critical accounting estimates from those reported in our 2020 Annual Report on Form 10-K. We continue to closely monitor the impacts of COVID-19 and Winter Storm Uri on our critical accounting estimates including, but not limited to, collectibility of customer receivables, cost recoverability through regulatory assets, impairment risk of goodwill and long-lived assets, valuation of pension assets and liabilities and contingent liabilities. For more information on our critical accounting estimates, see Part II, Item 7 of our 2020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New Accounting Pronouncements</w:t>
      </w:r>
    </w:p>
    <w:p>
      <w:pPr>
        <w:spacing w:after="0" w:line="268" w:lineRule="exact"/>
        <w:rPr>
          <w:sz w:val="20"/>
          <w:szCs w:val="20"/>
          <w:color w:val="auto"/>
        </w:rPr>
      </w:pPr>
    </w:p>
    <w:p>
      <w:pPr>
        <w:ind w:right="8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Other than the pronouncements reported in our 2020 Annual Report on Form 10-K and those discussed in </w:t>
      </w:r>
      <w:hyperlink w:anchor="page14">
        <w:r>
          <w:rPr>
            <w:rFonts w:ascii="Arial" w:cs="Arial" w:eastAsia="Arial" w:hAnsi="Arial"/>
            <w:sz w:val="16"/>
            <w:szCs w:val="16"/>
            <w:u w:val="single" w:color="auto"/>
            <w:color w:val="0000FF"/>
          </w:rPr>
          <w:t>Note 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Condensed Consolidated Financial Statements in this Quarterly Report on Form 10-Q, there have been no new accounting pronouncements that are expected to have a material effect on our financial position, results of operations or cash flows.</w:t>
      </w:r>
    </w:p>
    <w:p>
      <w:pPr>
        <w:spacing w:after="0" w:line="200" w:lineRule="exact"/>
        <w:rPr>
          <w:sz w:val="20"/>
          <w:szCs w:val="20"/>
          <w:color w:val="auto"/>
        </w:rPr>
      </w:pPr>
    </w:p>
    <w:p>
      <w:pPr>
        <w:spacing w:after="0" w:line="24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7"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There have been no material changes to our quantitative and qualitative disclosures about market risk previously disclosed in Item 7A of our Annual Report on Form 10-K.</w:t>
      </w:r>
    </w:p>
    <w:p>
      <w:pPr>
        <w:spacing w:after="0" w:line="200" w:lineRule="exact"/>
        <w:rPr>
          <w:sz w:val="20"/>
          <w:szCs w:val="20"/>
          <w:color w:val="auto"/>
        </w:rPr>
      </w:pPr>
    </w:p>
    <w:p>
      <w:pPr>
        <w:spacing w:after="0" w:line="24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7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Rules 13a-15(e) and 15d-15(e) of the Securities Exchange Act of 1934, as amended (the “Exchange Act”)) as of June 30, 2021. Based on their evaluation, they have concluded that our disclosure controls and procedures were effective at June 30, 2021.</w:t>
      </w:r>
    </w:p>
    <w:p>
      <w:pPr>
        <w:spacing w:after="0" w:line="22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68"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During the quarter ended June 30, 2021, there have been no changes in our internal controls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1" w:name="page52"/>
    <w:bookmarkEnd w:id="5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77" w:lineRule="exact"/>
        <w:rPr>
          <w:sz w:val="20"/>
          <w:szCs w:val="20"/>
          <w:color w:val="auto"/>
        </w:rPr>
      </w:pPr>
    </w:p>
    <w:p>
      <w:pPr>
        <w:ind w:right="28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For information regarding legal proceedings, see Note 3 in Item 8 of our 2020 Annual Report on Form 10-K and </w:t>
      </w:r>
      <w:hyperlink w:anchor="page17">
        <w:r>
          <w:rPr>
            <w:rFonts w:ascii="Arial" w:cs="Arial" w:eastAsia="Arial" w:hAnsi="Arial"/>
            <w:sz w:val="16"/>
            <w:szCs w:val="16"/>
            <w:u w:val="single" w:color="auto"/>
            <w:color w:val="0000FF"/>
          </w:rPr>
          <w:t>Note 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 Item 1 of Part I of this Quarterly Report on Form 10-Q.</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There are no material changes to the risk factors previously disclosed in Item 1A of Part I in our 2020 Annual Report on Form 10-K.</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monthly information about our acquisitions of equity securities for the three months ended June 30, 2021: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rPr>
              <w:t>Maximum Number (or</w:t>
            </w:r>
          </w:p>
        </w:tc>
      </w:tr>
      <w:tr>
        <w:trPr>
          <w:trHeight w:val="162"/>
        </w:trPr>
        <w:tc>
          <w:tcPr>
            <w:tcW w:w="37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rPr>
              <w:t>Total Number of Shares</w:t>
            </w: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rPr>
              <w:t>Approximate Dollar Value)</w:t>
            </w:r>
          </w:p>
        </w:tc>
      </w:tr>
      <w:tr>
        <w:trPr>
          <w:trHeight w:val="162"/>
        </w:trPr>
        <w:tc>
          <w:tcPr>
            <w:tcW w:w="37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rPr>
              <w:t>Purchased as Part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color w:val="auto"/>
                <w:w w:val="99"/>
              </w:rPr>
              <w:t>of Shares That May Yet</w:t>
            </w:r>
          </w:p>
        </w:tc>
      </w:tr>
      <w:tr>
        <w:trPr>
          <w:trHeight w:val="159"/>
        </w:trPr>
        <w:tc>
          <w:tcPr>
            <w:tcW w:w="3700" w:type="dxa"/>
            <w:vAlign w:val="bottom"/>
          </w:tcPr>
          <w:p>
            <w:pPr>
              <w:spacing w:after="0"/>
              <w:rPr>
                <w:sz w:val="13"/>
                <w:szCs w:val="13"/>
                <w:color w:val="auto"/>
              </w:rPr>
            </w:pPr>
          </w:p>
        </w:tc>
        <w:tc>
          <w:tcPr>
            <w:tcW w:w="2020" w:type="dxa"/>
            <w:vAlign w:val="bottom"/>
          </w:tcPr>
          <w:p>
            <w:pPr>
              <w:jc w:val="right"/>
              <w:ind w:right="79"/>
              <w:spacing w:after="0" w:line="159" w:lineRule="exact"/>
              <w:rPr>
                <w:sz w:val="20"/>
                <w:szCs w:val="20"/>
                <w:color w:val="auto"/>
              </w:rPr>
            </w:pPr>
            <w:r>
              <w:rPr>
                <w:rFonts w:ascii="Arial" w:cs="Arial" w:eastAsia="Arial" w:hAnsi="Arial"/>
                <w:sz w:val="16"/>
                <w:szCs w:val="16"/>
                <w:color w:val="auto"/>
              </w:rPr>
              <w:t>Total Number of Shares</w:t>
            </w:r>
          </w:p>
        </w:tc>
        <w:tc>
          <w:tcPr>
            <w:tcW w:w="120" w:type="dxa"/>
            <w:vAlign w:val="bottom"/>
          </w:tcPr>
          <w:p>
            <w:pPr>
              <w:spacing w:after="0"/>
              <w:rPr>
                <w:sz w:val="13"/>
                <w:szCs w:val="13"/>
                <w:color w:val="auto"/>
              </w:rPr>
            </w:pPr>
          </w:p>
        </w:tc>
        <w:tc>
          <w:tcPr>
            <w:tcW w:w="1520" w:type="dxa"/>
            <w:vAlign w:val="bottom"/>
          </w:tcPr>
          <w:p>
            <w:pPr>
              <w:jc w:val="right"/>
              <w:ind w:right="39"/>
              <w:spacing w:after="0" w:line="159" w:lineRule="exact"/>
              <w:rPr>
                <w:sz w:val="20"/>
                <w:szCs w:val="20"/>
                <w:color w:val="auto"/>
              </w:rPr>
            </w:pPr>
            <w:r>
              <w:rPr>
                <w:rFonts w:ascii="Arial" w:cs="Arial" w:eastAsia="Arial" w:hAnsi="Arial"/>
                <w:sz w:val="16"/>
                <w:szCs w:val="16"/>
                <w:color w:val="auto"/>
              </w:rPr>
              <w:t>Average Price Paid</w:t>
            </w:r>
          </w:p>
        </w:tc>
        <w:tc>
          <w:tcPr>
            <w:tcW w:w="1940" w:type="dxa"/>
            <w:vAlign w:val="bottom"/>
          </w:tcPr>
          <w:p>
            <w:pPr>
              <w:jc w:val="center"/>
              <w:spacing w:after="0" w:line="159" w:lineRule="exact"/>
              <w:rPr>
                <w:sz w:val="20"/>
                <w:szCs w:val="20"/>
                <w:color w:val="auto"/>
              </w:rPr>
            </w:pPr>
            <w:r>
              <w:rPr>
                <w:rFonts w:ascii="Arial" w:cs="Arial" w:eastAsia="Arial" w:hAnsi="Arial"/>
                <w:sz w:val="16"/>
                <w:szCs w:val="16"/>
                <w:color w:val="auto"/>
              </w:rPr>
              <w:t>Publicly Announced Plans</w:t>
            </w:r>
          </w:p>
        </w:tc>
        <w:tc>
          <w:tcPr>
            <w:tcW w:w="1940" w:type="dxa"/>
            <w:vAlign w:val="bottom"/>
          </w:tcPr>
          <w:p>
            <w:pPr>
              <w:jc w:val="right"/>
              <w:spacing w:after="0" w:line="159" w:lineRule="exact"/>
              <w:rPr>
                <w:sz w:val="20"/>
                <w:szCs w:val="20"/>
                <w:color w:val="auto"/>
              </w:rPr>
            </w:pPr>
            <w:r>
              <w:rPr>
                <w:rFonts w:ascii="Arial" w:cs="Arial" w:eastAsia="Arial" w:hAnsi="Arial"/>
                <w:sz w:val="16"/>
                <w:szCs w:val="16"/>
                <w:color w:val="auto"/>
              </w:rPr>
              <w:t>Be Purchased Under the</w:t>
            </w:r>
          </w:p>
        </w:tc>
      </w:tr>
      <w:tr>
        <w:trPr>
          <w:trHeight w:val="203"/>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Period</w:t>
            </w:r>
          </w:p>
        </w:tc>
        <w:tc>
          <w:tcPr>
            <w:tcW w:w="2020" w:type="dxa"/>
            <w:vAlign w:val="bottom"/>
            <w:tcBorders>
              <w:bottom w:val="single" w:sz="8" w:color="auto"/>
            </w:tcBorders>
          </w:tcPr>
          <w:p>
            <w:pPr>
              <w:jc w:val="right"/>
              <w:ind w:right="459"/>
              <w:spacing w:after="0" w:line="204" w:lineRule="exact"/>
              <w:rPr>
                <w:sz w:val="20"/>
                <w:szCs w:val="20"/>
                <w:color w:val="auto"/>
              </w:rPr>
            </w:pPr>
            <w:r>
              <w:rPr>
                <w:rFonts w:ascii="Arial" w:cs="Arial" w:eastAsia="Arial" w:hAnsi="Arial"/>
                <w:sz w:val="16"/>
                <w:szCs w:val="16"/>
                <w:color w:val="auto"/>
              </w:rPr>
              <w:t xml:space="preserve">Purchased </w:t>
            </w:r>
            <w:r>
              <w:rPr>
                <w:rFonts w:ascii="Arial" w:cs="Arial" w:eastAsia="Arial" w:hAnsi="Arial"/>
                <w:sz w:val="21"/>
                <w:szCs w:val="21"/>
                <w:color w:val="auto"/>
                <w:vertAlign w:val="superscript"/>
              </w:rPr>
              <w:t>(a)</w:t>
            </w: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per Share</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or Programs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Plans or Programs</w:t>
            </w:r>
          </w:p>
        </w:tc>
      </w:tr>
      <w:tr>
        <w:trPr>
          <w:trHeight w:val="209"/>
        </w:trPr>
        <w:tc>
          <w:tcPr>
            <w:tcW w:w="3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April 1, 2021 - April 30, 2021</w:t>
            </w:r>
          </w:p>
        </w:tc>
        <w:tc>
          <w:tcPr>
            <w:tcW w:w="20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66.69</w:t>
            </w:r>
          </w:p>
        </w:tc>
        <w:tc>
          <w:tcPr>
            <w:tcW w:w="1940" w:type="dxa"/>
            <w:vAlign w:val="bottom"/>
            <w:shd w:val="clear" w:color="auto" w:fill="CEFFE7"/>
          </w:tcPr>
          <w:p>
            <w:pPr>
              <w:ind w:left="17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color w:val="auto"/>
              </w:rPr>
              <w:t>May 1, 2021 - May 31, 2021</w:t>
            </w:r>
          </w:p>
        </w:tc>
        <w:tc>
          <w:tcPr>
            <w:tcW w:w="2020" w:type="dxa"/>
            <w:vAlign w:val="bottom"/>
          </w:tcPr>
          <w:p>
            <w:pPr>
              <w:jc w:val="right"/>
              <w:spacing w:after="0"/>
              <w:rPr>
                <w:sz w:val="20"/>
                <w:szCs w:val="20"/>
                <w:color w:val="auto"/>
              </w:rPr>
            </w:pPr>
            <w:r>
              <w:rPr>
                <w:rFonts w:ascii="Arial" w:cs="Arial" w:eastAsia="Arial" w:hAnsi="Arial"/>
                <w:sz w:val="16"/>
                <w:szCs w:val="16"/>
                <w:color w:val="auto"/>
              </w:rPr>
              <w:t>805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68.43</w:t>
            </w:r>
          </w:p>
        </w:tc>
        <w:tc>
          <w:tcPr>
            <w:tcW w:w="1940" w:type="dxa"/>
            <w:vAlign w:val="bottom"/>
          </w:tcPr>
          <w:p>
            <w:pPr>
              <w:ind w:left="1720"/>
              <w:spacing w:after="0"/>
              <w:rPr>
                <w:sz w:val="20"/>
                <w:szCs w:val="20"/>
                <w:color w:val="auto"/>
              </w:rPr>
            </w:pPr>
            <w:r>
              <w:rPr>
                <w:rFonts w:ascii="Arial" w:cs="Arial" w:eastAsia="Arial" w:hAnsi="Arial"/>
                <w:sz w:val="16"/>
                <w:szCs w:val="16"/>
                <w:color w:val="auto"/>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700" w:type="dxa"/>
            <w:vAlign w:val="bottom"/>
            <w:shd w:val="clear" w:color="auto" w:fill="CEFFE7"/>
          </w:tcPr>
          <w:p>
            <w:pPr>
              <w:ind w:left="20"/>
              <w:spacing w:after="0"/>
              <w:rPr>
                <w:sz w:val="20"/>
                <w:szCs w:val="20"/>
                <w:color w:val="auto"/>
              </w:rPr>
            </w:pPr>
            <w:r>
              <w:rPr>
                <w:rFonts w:ascii="Arial" w:cs="Arial" w:eastAsia="Arial" w:hAnsi="Arial"/>
                <w:sz w:val="16"/>
                <w:szCs w:val="16"/>
                <w:color w:val="auto"/>
              </w:rPr>
              <w:t>June 1, 2021 - June 30, 2021</w:t>
            </w:r>
          </w:p>
        </w:tc>
        <w:tc>
          <w:tcPr>
            <w:tcW w:w="2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65.97</w:t>
            </w:r>
          </w:p>
        </w:tc>
        <w:tc>
          <w:tcPr>
            <w:tcW w:w="1940" w:type="dxa"/>
            <w:vAlign w:val="bottom"/>
            <w:tcBorders>
              <w:bottom w:val="single" w:sz="8" w:color="auto"/>
            </w:tcBorders>
            <w:shd w:val="clear" w:color="auto" w:fill="CEFFE7"/>
          </w:tcPr>
          <w:p>
            <w:pPr>
              <w:ind w:left="17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3700" w:type="dxa"/>
            <w:vAlign w:val="bottom"/>
          </w:tcPr>
          <w:p>
            <w:pPr>
              <w:ind w:left="1680"/>
              <w:spacing w:after="0"/>
              <w:rPr>
                <w:sz w:val="20"/>
                <w:szCs w:val="20"/>
                <w:color w:val="auto"/>
              </w:rPr>
            </w:pPr>
            <w:r>
              <w:rPr>
                <w:rFonts w:ascii="Arial" w:cs="Arial" w:eastAsia="Arial" w:hAnsi="Arial"/>
                <w:sz w:val="16"/>
                <w:szCs w:val="16"/>
                <w:color w:val="auto"/>
              </w:rPr>
              <w:t>Total</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68.42</w:t>
            </w:r>
          </w:p>
        </w:tc>
        <w:tc>
          <w:tcPr>
            <w:tcW w:w="1940" w:type="dxa"/>
            <w:vAlign w:val="bottom"/>
            <w:tcBorders>
              <w:bottom w:val="single" w:sz="8" w:color="auto"/>
            </w:tcBorders>
          </w:tcPr>
          <w:p>
            <w:pPr>
              <w:ind w:left="17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
        </w:trPr>
        <w:tc>
          <w:tcPr>
            <w:tcW w:w="37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1" w:lineRule="exact"/>
        <w:rPr>
          <w:sz w:val="20"/>
          <w:szCs w:val="20"/>
          <w:color w:val="auto"/>
        </w:rPr>
      </w:pPr>
    </w:p>
    <w:p>
      <w:pPr>
        <w:ind w:left="340" w:right="860" w:hanging="332"/>
        <w:spacing w:after="0" w:line="258" w:lineRule="auto"/>
        <w:tabs>
          <w:tab w:leader="none" w:pos="352" w:val="left"/>
        </w:tabs>
        <w:numPr>
          <w:ilvl w:val="0"/>
          <w:numId w:val="43"/>
        </w:numPr>
        <w:rPr>
          <w:rFonts w:ascii="Arial" w:cs="Arial" w:eastAsia="Arial" w:hAnsi="Arial"/>
          <w:sz w:val="14"/>
          <w:szCs w:val="14"/>
          <w:color w:val="auto"/>
        </w:rPr>
      </w:pPr>
      <w:r>
        <w:rPr>
          <w:rFonts w:ascii="Arial" w:cs="Arial" w:eastAsia="Arial" w:hAnsi="Arial"/>
          <w:sz w:val="14"/>
          <w:szCs w:val="14"/>
          <w:color w:val="auto"/>
        </w:rPr>
        <w:t>Shares were acquired under the share withholding provisions of the Omnibus Incentive Plan for payment of taxes associated with the vesting of various equity compensation plans.</w:t>
      </w:r>
    </w:p>
    <w:p>
      <w:pPr>
        <w:spacing w:after="0" w:line="200" w:lineRule="exact"/>
        <w:rPr>
          <w:sz w:val="20"/>
          <w:szCs w:val="20"/>
          <w:color w:val="auto"/>
        </w:rPr>
      </w:pPr>
    </w:p>
    <w:p>
      <w:pPr>
        <w:spacing w:after="0" w:line="23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77" w:lineRule="exact"/>
        <w:rPr>
          <w:sz w:val="20"/>
          <w:szCs w:val="20"/>
          <w:color w:val="auto"/>
        </w:rPr>
      </w:pPr>
    </w:p>
    <w:p>
      <w:pPr>
        <w:ind w:right="40"/>
        <w:spacing w:after="0" w:line="260" w:lineRule="auto"/>
        <w:rPr>
          <w:rFonts w:ascii="Arial" w:cs="Arial" w:eastAsia="Arial" w:hAnsi="Arial"/>
          <w:sz w:val="16"/>
          <w:szCs w:val="16"/>
          <w:color w:val="auto"/>
        </w:rPr>
      </w:pPr>
      <w:r>
        <w:rPr>
          <w:rFonts w:ascii="Arial" w:cs="Arial" w:eastAsia="Arial" w:hAnsi="Arial"/>
          <w:sz w:val="16"/>
          <w:szCs w:val="16"/>
          <w:color w:val="auto"/>
        </w:rPr>
        <w:t xml:space="preserve">Information concerning mine safety violations or other regulatory matters required by Sections 1503(a) of the Dodd-Frank Wall Street Reform and Consumer Protection Act is included in </w:t>
      </w:r>
      <w:hyperlink w:anchor="page59">
        <w:r>
          <w:rPr>
            <w:rFonts w:ascii="Arial" w:cs="Arial" w:eastAsia="Arial" w:hAnsi="Arial"/>
            <w:sz w:val="16"/>
            <w:szCs w:val="16"/>
            <w:u w:val="single" w:color="auto"/>
            <w:color w:val="0000FF"/>
          </w:rPr>
          <w:t>Exhibit 95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Quarterly Report on Form 10-Q.</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Exhibits filed herewithin are designated by an asterisk (*). All exhibits not so designated are incorporated by reference to a prior filing, as indicated.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Exhibit Number</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580" w:type="dxa"/>
            <w:vAlign w:val="bottom"/>
            <w:tcBorders>
              <w:bottom w:val="single" w:sz="8" w:color="auto"/>
            </w:tcBorders>
            <w:gridSpan w:val="8"/>
          </w:tcPr>
          <w:p>
            <w:pPr>
              <w:ind w:left="3180"/>
              <w:spacing w:after="0"/>
              <w:rPr>
                <w:sz w:val="20"/>
                <w:szCs w:val="20"/>
                <w:color w:val="auto"/>
              </w:rPr>
            </w:pPr>
            <w:r>
              <w:rPr>
                <w:rFonts w:ascii="Arial" w:cs="Arial" w:eastAsia="Arial" w:hAnsi="Arial"/>
                <w:sz w:val="16"/>
                <w:szCs w:val="16"/>
                <w:b w:val="1"/>
                <w:bCs w:val="1"/>
                <w:color w:val="auto"/>
              </w:rPr>
              <w:t>Description</w:t>
            </w:r>
          </w:p>
        </w:tc>
      </w:tr>
      <w:tr>
        <w:trPr>
          <w:trHeight w:val="145"/>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6"/>
        </w:trPr>
        <w:tc>
          <w:tcPr>
            <w:tcW w:w="1340" w:type="dxa"/>
            <w:vAlign w:val="bottom"/>
            <w:shd w:val="clear" w:color="auto" w:fill="CEFFE7"/>
          </w:tcPr>
          <w:p>
            <w:pPr>
              <w:jc w:val="right"/>
              <w:ind w:right="999"/>
              <w:spacing w:after="0" w:line="175" w:lineRule="exact"/>
              <w:rPr>
                <w:sz w:val="20"/>
                <w:szCs w:val="20"/>
                <w:color w:val="auto"/>
              </w:rPr>
            </w:pPr>
            <w:r>
              <w:rPr>
                <w:rFonts w:ascii="Arial" w:cs="Arial" w:eastAsia="Arial" w:hAnsi="Arial"/>
                <w:sz w:val="16"/>
                <w:szCs w:val="16"/>
                <w:color w:val="auto"/>
              </w:rPr>
              <w:t>3.1</w:t>
            </w:r>
          </w:p>
        </w:tc>
        <w:tc>
          <w:tcPr>
            <w:tcW w:w="9900" w:type="dxa"/>
            <w:vAlign w:val="bottom"/>
            <w:gridSpan w:val="13"/>
            <w:shd w:val="clear" w:color="auto" w:fill="CEFFE7"/>
          </w:tcPr>
          <w:p>
            <w:pPr>
              <w:spacing w:after="0" w:line="175" w:lineRule="exact"/>
              <w:rPr>
                <w:rFonts w:ascii="Arial" w:cs="Arial" w:eastAsia="Arial" w:hAnsi="Arial"/>
                <w:sz w:val="16"/>
                <w:szCs w:val="16"/>
                <w:color w:val="0000FF"/>
              </w:rPr>
            </w:pPr>
            <w:hyperlink r:id="rId98">
              <w:r>
                <w:rPr>
                  <w:rFonts w:ascii="Arial" w:cs="Arial" w:eastAsia="Arial" w:hAnsi="Arial"/>
                  <w:sz w:val="16"/>
                  <w:szCs w:val="16"/>
                  <w:color w:val="0000FF"/>
                </w:rPr>
                <w:t>Restated Articles of Incorporation of the Registrant dated January 30, 2018 (filed as Exhibit 3 to the Registrant’s Form 8-K filed on</w:t>
              </w:r>
            </w:hyperlink>
          </w:p>
        </w:tc>
      </w:tr>
      <w:tr>
        <w:trPr>
          <w:trHeight w:val="142"/>
        </w:trPr>
        <w:tc>
          <w:tcPr>
            <w:tcW w:w="1340" w:type="dxa"/>
            <w:vAlign w:val="bottom"/>
            <w:tcBorders>
              <w:top w:val="single" w:sz="8" w:color="CEFFE7"/>
            </w:tcBorders>
            <w:shd w:val="clear" w:color="auto" w:fill="CEFFE7"/>
          </w:tcPr>
          <w:p>
            <w:pPr>
              <w:spacing w:after="0"/>
              <w:rPr>
                <w:sz w:val="12"/>
                <w:szCs w:val="12"/>
                <w:color w:val="auto"/>
              </w:rPr>
            </w:pPr>
          </w:p>
        </w:tc>
        <w:tc>
          <w:tcPr>
            <w:tcW w:w="9280" w:type="dxa"/>
            <w:vAlign w:val="bottom"/>
            <w:tcBorders>
              <w:top w:val="single" w:sz="8" w:color="0000FF"/>
            </w:tcBorders>
            <w:gridSpan w:val="7"/>
            <w:shd w:val="clear" w:color="auto" w:fill="CEFFE7"/>
          </w:tcPr>
          <w:p>
            <w:pPr>
              <w:spacing w:after="0" w:line="142" w:lineRule="exact"/>
              <w:rPr>
                <w:rFonts w:ascii="Arial" w:cs="Arial" w:eastAsia="Arial" w:hAnsi="Arial"/>
                <w:sz w:val="16"/>
                <w:szCs w:val="16"/>
                <w:color w:val="0000FF"/>
              </w:rPr>
            </w:pPr>
            <w:hyperlink r:id="rId98">
              <w:r>
                <w:rPr>
                  <w:rFonts w:ascii="Arial" w:cs="Arial" w:eastAsia="Arial" w:hAnsi="Arial"/>
                  <w:sz w:val="16"/>
                  <w:szCs w:val="16"/>
                  <w:color w:val="0000FF"/>
                </w:rPr>
                <w:t>February 5, 2018).</w:t>
              </w:r>
            </w:hyperlink>
          </w:p>
        </w:tc>
        <w:tc>
          <w:tcPr>
            <w:tcW w:w="20" w:type="dxa"/>
            <w:vAlign w:val="bottom"/>
            <w:tcBorders>
              <w:top w:val="single" w:sz="8" w:color="CEFFE7"/>
            </w:tcBorders>
            <w:shd w:val="clear" w:color="auto" w:fill="CEFFE7"/>
          </w:tcPr>
          <w:p>
            <w:pPr>
              <w:spacing w:after="0"/>
              <w:rPr>
                <w:sz w:val="12"/>
                <w:szCs w:val="12"/>
                <w:color w:val="auto"/>
              </w:rPr>
            </w:pPr>
          </w:p>
        </w:tc>
        <w:tc>
          <w:tcPr>
            <w:tcW w:w="40" w:type="dxa"/>
            <w:vAlign w:val="bottom"/>
            <w:tcBorders>
              <w:top w:val="single" w:sz="8" w:color="CEFFE7"/>
            </w:tcBorders>
            <w:shd w:val="clear" w:color="auto" w:fill="CEFFE7"/>
          </w:tcPr>
          <w:p>
            <w:pPr>
              <w:spacing w:after="0"/>
              <w:rPr>
                <w:sz w:val="12"/>
                <w:szCs w:val="12"/>
                <w:color w:val="auto"/>
              </w:rPr>
            </w:pPr>
          </w:p>
        </w:tc>
        <w:tc>
          <w:tcPr>
            <w:tcW w:w="200" w:type="dxa"/>
            <w:vAlign w:val="bottom"/>
            <w:tcBorders>
              <w:top w:val="single" w:sz="8" w:color="CEFFE7"/>
            </w:tcBorders>
            <w:shd w:val="clear" w:color="auto" w:fill="CEFFE7"/>
          </w:tcPr>
          <w:p>
            <w:pPr>
              <w:spacing w:after="0"/>
              <w:rPr>
                <w:sz w:val="12"/>
                <w:szCs w:val="12"/>
                <w:color w:val="auto"/>
              </w:rPr>
            </w:pPr>
          </w:p>
        </w:tc>
        <w:tc>
          <w:tcPr>
            <w:tcW w:w="140" w:type="dxa"/>
            <w:vAlign w:val="bottom"/>
            <w:tcBorders>
              <w:top w:val="single" w:sz="8" w:color="CEFFE7"/>
            </w:tcBorders>
            <w:shd w:val="clear" w:color="auto" w:fill="CEFFE7"/>
          </w:tcPr>
          <w:p>
            <w:pPr>
              <w:spacing w:after="0"/>
              <w:rPr>
                <w:sz w:val="12"/>
                <w:szCs w:val="12"/>
                <w:color w:val="auto"/>
              </w:rPr>
            </w:pPr>
          </w:p>
        </w:tc>
        <w:tc>
          <w:tcPr>
            <w:tcW w:w="140" w:type="dxa"/>
            <w:vAlign w:val="bottom"/>
            <w:tcBorders>
              <w:top w:val="single" w:sz="8" w:color="CEFFE7"/>
            </w:tcBorders>
            <w:shd w:val="clear" w:color="auto" w:fill="CEFFE7"/>
          </w:tcPr>
          <w:p>
            <w:pPr>
              <w:spacing w:after="0"/>
              <w:rPr>
                <w:sz w:val="12"/>
                <w:szCs w:val="12"/>
                <w:color w:val="auto"/>
              </w:rPr>
            </w:pPr>
          </w:p>
        </w:tc>
        <w:tc>
          <w:tcPr>
            <w:tcW w:w="80" w:type="dxa"/>
            <w:vAlign w:val="bottom"/>
            <w:tcBorders>
              <w:top w:val="single" w:sz="8" w:color="CEFFE7"/>
            </w:tcBorders>
            <w:shd w:val="clear" w:color="auto" w:fill="CEFFE7"/>
          </w:tcPr>
          <w:p>
            <w:pPr>
              <w:spacing w:after="0"/>
              <w:rPr>
                <w:sz w:val="12"/>
                <w:szCs w:val="12"/>
                <w:color w:val="auto"/>
              </w:rPr>
            </w:pPr>
          </w:p>
        </w:tc>
      </w:tr>
      <w:tr>
        <w:trPr>
          <w:trHeight w:val="21"/>
        </w:trPr>
        <w:tc>
          <w:tcPr>
            <w:tcW w:w="13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7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7520" w:type="dxa"/>
            <w:vAlign w:val="bottom"/>
            <w:tcBorders>
              <w:top w:val="single" w:sz="8" w:color="CEFFE7"/>
            </w:tcBorders>
            <w:shd w:val="clear" w:color="auto" w:fill="CEFFE7"/>
          </w:tcPr>
          <w:p>
            <w:pPr>
              <w:spacing w:after="0" w:line="20" w:lineRule="exact"/>
              <w:rPr>
                <w:sz w:val="1"/>
                <w:szCs w:val="1"/>
                <w:color w:val="auto"/>
              </w:rPr>
            </w:pPr>
          </w:p>
        </w:tc>
        <w:tc>
          <w:tcPr>
            <w:tcW w:w="4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1340" w:type="dxa"/>
            <w:vAlign w:val="bottom"/>
          </w:tcPr>
          <w:p>
            <w:pPr>
              <w:jc w:val="right"/>
              <w:ind w:right="999"/>
              <w:spacing w:after="0" w:line="175" w:lineRule="exact"/>
              <w:rPr>
                <w:sz w:val="20"/>
                <w:szCs w:val="20"/>
                <w:color w:val="auto"/>
              </w:rPr>
            </w:pPr>
            <w:r>
              <w:rPr>
                <w:rFonts w:ascii="Arial" w:cs="Arial" w:eastAsia="Arial" w:hAnsi="Arial"/>
                <w:sz w:val="16"/>
                <w:szCs w:val="16"/>
                <w:color w:val="auto"/>
              </w:rPr>
              <w:t>3.2</w:t>
            </w:r>
          </w:p>
        </w:tc>
        <w:tc>
          <w:tcPr>
            <w:tcW w:w="9900" w:type="dxa"/>
            <w:vAlign w:val="bottom"/>
            <w:gridSpan w:val="13"/>
          </w:tcPr>
          <w:p>
            <w:pPr>
              <w:spacing w:after="0" w:line="175" w:lineRule="exact"/>
              <w:rPr>
                <w:rFonts w:ascii="Arial" w:cs="Arial" w:eastAsia="Arial" w:hAnsi="Arial"/>
                <w:sz w:val="16"/>
                <w:szCs w:val="16"/>
                <w:color w:val="0000FF"/>
              </w:rPr>
            </w:pPr>
            <w:hyperlink r:id="rId99">
              <w:r>
                <w:rPr>
                  <w:rFonts w:ascii="Arial" w:cs="Arial" w:eastAsia="Arial" w:hAnsi="Arial"/>
                  <w:sz w:val="16"/>
                  <w:szCs w:val="16"/>
                  <w:color w:val="0000FF"/>
                </w:rPr>
                <w:t>Amended and Restated Bylaws of the Registrant dated April 24, 2017 (filed as Exhibit 3 to the Registrant’s Form 8-K filed on April 28,</w:t>
              </w:r>
            </w:hyperlink>
          </w:p>
        </w:tc>
      </w:tr>
      <w:tr>
        <w:trPr>
          <w:trHeight w:val="142"/>
        </w:trPr>
        <w:tc>
          <w:tcPr>
            <w:tcW w:w="1340" w:type="dxa"/>
            <w:vAlign w:val="bottom"/>
          </w:tcPr>
          <w:p>
            <w:pPr>
              <w:spacing w:after="0"/>
              <w:rPr>
                <w:sz w:val="12"/>
                <w:szCs w:val="12"/>
                <w:color w:val="auto"/>
              </w:rPr>
            </w:pPr>
          </w:p>
        </w:tc>
        <w:tc>
          <w:tcPr>
            <w:tcW w:w="46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6"/>
              </w:rPr>
            </w:pPr>
            <w:hyperlink r:id="rId99">
              <w:r>
                <w:rPr>
                  <w:rFonts w:ascii="Arial" w:cs="Arial" w:eastAsia="Arial" w:hAnsi="Arial"/>
                  <w:sz w:val="16"/>
                  <w:szCs w:val="16"/>
                  <w:color w:val="0000FF"/>
                  <w:w w:val="96"/>
                </w:rPr>
                <w:t>2017).</w:t>
              </w:r>
            </w:hyperlink>
          </w:p>
        </w:tc>
        <w:tc>
          <w:tcPr>
            <w:tcW w:w="7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752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1340" w:type="dxa"/>
            <w:vAlign w:val="bottom"/>
            <w:shd w:val="clear" w:color="auto" w:fill="CEFFE7"/>
          </w:tcPr>
          <w:p>
            <w:pPr>
              <w:jc w:val="right"/>
              <w:ind w:right="999"/>
              <w:spacing w:after="0" w:line="175" w:lineRule="exact"/>
              <w:rPr>
                <w:sz w:val="20"/>
                <w:szCs w:val="20"/>
                <w:color w:val="auto"/>
              </w:rPr>
            </w:pPr>
            <w:r>
              <w:rPr>
                <w:rFonts w:ascii="Arial" w:cs="Arial" w:eastAsia="Arial" w:hAnsi="Arial"/>
                <w:sz w:val="16"/>
                <w:szCs w:val="16"/>
                <w:color w:val="auto"/>
              </w:rPr>
              <w:t>4.1</w:t>
            </w:r>
          </w:p>
        </w:tc>
        <w:tc>
          <w:tcPr>
            <w:tcW w:w="9900" w:type="dxa"/>
            <w:vAlign w:val="bottom"/>
            <w:gridSpan w:val="13"/>
            <w:shd w:val="clear" w:color="auto" w:fill="CEFFE7"/>
          </w:tcPr>
          <w:p>
            <w:pPr>
              <w:spacing w:after="0" w:line="175" w:lineRule="exact"/>
              <w:rPr>
                <w:rFonts w:ascii="Arial" w:cs="Arial" w:eastAsia="Arial" w:hAnsi="Arial"/>
                <w:sz w:val="16"/>
                <w:szCs w:val="16"/>
                <w:color w:val="0000FF"/>
              </w:rPr>
            </w:pPr>
            <w:hyperlink r:id="rId100">
              <w:r>
                <w:rPr>
                  <w:rFonts w:ascii="Arial" w:cs="Arial" w:eastAsia="Arial" w:hAnsi="Arial"/>
                  <w:sz w:val="16"/>
                  <w:szCs w:val="16"/>
                  <w:color w:val="0000FF"/>
                </w:rPr>
                <w:t>Indenture dated as of May 21, 2003 between the Registrant and Wells Fargo Bank, National Association (as successor to LaSalle Bank</w:t>
              </w:r>
            </w:hyperlink>
          </w:p>
        </w:tc>
      </w:tr>
      <w:tr>
        <w:trPr>
          <w:trHeight w:val="163"/>
        </w:trPr>
        <w:tc>
          <w:tcPr>
            <w:tcW w:w="1340" w:type="dxa"/>
            <w:vAlign w:val="bottom"/>
            <w:tcBorders>
              <w:top w:val="single" w:sz="8" w:color="CEFFE7"/>
              <w:bottom w:val="single" w:sz="8" w:color="CEFFE7"/>
            </w:tcBorders>
            <w:shd w:val="clear" w:color="auto" w:fill="CEFFE7"/>
          </w:tcPr>
          <w:p>
            <w:pPr>
              <w:spacing w:after="0"/>
              <w:rPr>
                <w:sz w:val="14"/>
                <w:szCs w:val="14"/>
                <w:color w:val="auto"/>
              </w:rPr>
            </w:pPr>
          </w:p>
        </w:tc>
        <w:tc>
          <w:tcPr>
            <w:tcW w:w="9300" w:type="dxa"/>
            <w:vAlign w:val="bottom"/>
            <w:tcBorders>
              <w:top w:val="single" w:sz="8" w:color="0000FF"/>
              <w:bottom w:val="single" w:sz="8" w:color="0000FF"/>
            </w:tcBorders>
            <w:gridSpan w:val="8"/>
            <w:shd w:val="clear" w:color="auto" w:fill="CEFFE7"/>
          </w:tcPr>
          <w:p>
            <w:pPr>
              <w:spacing w:after="0" w:line="142" w:lineRule="exact"/>
              <w:rPr>
                <w:rFonts w:ascii="Arial" w:cs="Arial" w:eastAsia="Arial" w:hAnsi="Arial"/>
                <w:sz w:val="16"/>
                <w:szCs w:val="16"/>
                <w:color w:val="0000FF"/>
              </w:rPr>
            </w:pPr>
            <w:hyperlink r:id="rId100">
              <w:r>
                <w:rPr>
                  <w:rFonts w:ascii="Arial" w:cs="Arial" w:eastAsia="Arial" w:hAnsi="Arial"/>
                  <w:sz w:val="16"/>
                  <w:szCs w:val="16"/>
                  <w:color w:val="0000FF"/>
                </w:rPr>
                <w:t>National Association), as Trustee (filed as Exhibit 4.1 to the Registrant’s Form 10-Q for the quarterly period ended June 30, 2003).</w:t>
              </w:r>
            </w:hyperlink>
          </w:p>
        </w:tc>
        <w:tc>
          <w:tcPr>
            <w:tcW w:w="380" w:type="dxa"/>
            <w:vAlign w:val="bottom"/>
            <w:tcBorders>
              <w:top w:val="single" w:sz="8" w:color="0000FF"/>
              <w:bottom w:val="single" w:sz="8" w:color="CEFFE7"/>
            </w:tcBorders>
            <w:gridSpan w:val="3"/>
            <w:shd w:val="clear" w:color="auto" w:fill="CEFFE7"/>
          </w:tcPr>
          <w:p>
            <w:pPr>
              <w:spacing w:after="0"/>
              <w:rPr>
                <w:sz w:val="14"/>
                <w:szCs w:val="14"/>
                <w:color w:val="auto"/>
              </w:rPr>
            </w:pPr>
          </w:p>
        </w:tc>
        <w:tc>
          <w:tcPr>
            <w:tcW w:w="140" w:type="dxa"/>
            <w:vAlign w:val="bottom"/>
            <w:tcBorders>
              <w:top w:val="single" w:sz="8" w:color="CEFFE7"/>
              <w:bottom w:val="single" w:sz="8" w:color="CEFFE7"/>
            </w:tcBorders>
            <w:shd w:val="clear" w:color="auto" w:fill="CEFFE7"/>
          </w:tcPr>
          <w:p>
            <w:pPr>
              <w:spacing w:after="0"/>
              <w:rPr>
                <w:sz w:val="14"/>
                <w:szCs w:val="14"/>
                <w:color w:val="auto"/>
              </w:rPr>
            </w:pPr>
          </w:p>
        </w:tc>
        <w:tc>
          <w:tcPr>
            <w:tcW w:w="80" w:type="dxa"/>
            <w:vAlign w:val="bottom"/>
            <w:tcBorders>
              <w:top w:val="single" w:sz="8" w:color="CEFFE7"/>
              <w:bottom w:val="single" w:sz="8" w:color="CEFFE7"/>
            </w:tcBorders>
            <w:shd w:val="clear" w:color="auto" w:fill="CEFFE7"/>
          </w:tcPr>
          <w:p>
            <w:pPr>
              <w:spacing w:after="0"/>
              <w:rPr>
                <w:sz w:val="14"/>
                <w:szCs w:val="14"/>
                <w:color w:val="auto"/>
              </w:rPr>
            </w:pPr>
          </w:p>
        </w:tc>
      </w:tr>
      <w:tr>
        <w:trPr>
          <w:trHeight w:val="175"/>
        </w:trPr>
        <w:tc>
          <w:tcPr>
            <w:tcW w:w="1340" w:type="dxa"/>
            <w:vAlign w:val="bottom"/>
          </w:tcPr>
          <w:p>
            <w:pPr>
              <w:jc w:val="right"/>
              <w:ind w:right="659"/>
              <w:spacing w:after="0" w:line="175" w:lineRule="exact"/>
              <w:rPr>
                <w:sz w:val="20"/>
                <w:szCs w:val="20"/>
                <w:color w:val="auto"/>
              </w:rPr>
            </w:pPr>
            <w:r>
              <w:rPr>
                <w:rFonts w:ascii="Arial" w:cs="Arial" w:eastAsia="Arial" w:hAnsi="Arial"/>
                <w:sz w:val="16"/>
                <w:szCs w:val="16"/>
                <w:color w:val="auto"/>
              </w:rPr>
              <w:t>4.1.1</w:t>
            </w:r>
          </w:p>
        </w:tc>
        <w:tc>
          <w:tcPr>
            <w:tcW w:w="100" w:type="dxa"/>
            <w:vAlign w:val="bottom"/>
          </w:tcPr>
          <w:p>
            <w:pPr>
              <w:spacing w:after="0"/>
              <w:rPr>
                <w:sz w:val="15"/>
                <w:szCs w:val="15"/>
                <w:color w:val="auto"/>
              </w:rPr>
            </w:pPr>
          </w:p>
        </w:tc>
        <w:tc>
          <w:tcPr>
            <w:tcW w:w="9800" w:type="dxa"/>
            <w:vAlign w:val="bottom"/>
            <w:gridSpan w:val="12"/>
          </w:tcPr>
          <w:p>
            <w:pPr>
              <w:spacing w:after="0" w:line="175" w:lineRule="exact"/>
              <w:rPr>
                <w:rFonts w:ascii="Arial" w:cs="Arial" w:eastAsia="Arial" w:hAnsi="Arial"/>
                <w:sz w:val="16"/>
                <w:szCs w:val="16"/>
                <w:color w:val="0000FF"/>
              </w:rPr>
            </w:pPr>
            <w:hyperlink r:id="rId101">
              <w:r>
                <w:rPr>
                  <w:rFonts w:ascii="Arial" w:cs="Arial" w:eastAsia="Arial" w:hAnsi="Arial"/>
                  <w:sz w:val="16"/>
                  <w:szCs w:val="16"/>
                  <w:color w:val="0000FF"/>
                </w:rPr>
                <w:t>First Supplemental Indenture dated as of May 21, 2003 (filed as Exhibit 4.2 to the Registrant’s Form 10-Q for the quarterly period ended</w:t>
              </w:r>
            </w:hyperlink>
          </w:p>
        </w:tc>
      </w:tr>
      <w:tr>
        <w:trPr>
          <w:trHeight w:val="142"/>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72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101">
              <w:r>
                <w:rPr>
                  <w:rFonts w:ascii="Arial" w:cs="Arial" w:eastAsia="Arial" w:hAnsi="Arial"/>
                  <w:sz w:val="16"/>
                  <w:szCs w:val="16"/>
                  <w:color w:val="0000FF"/>
                </w:rPr>
                <w:t>June 30, 2003).</w:t>
              </w:r>
            </w:hyperlink>
          </w:p>
        </w:tc>
        <w:tc>
          <w:tcPr>
            <w:tcW w:w="8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5"/>
        </w:trPr>
        <w:tc>
          <w:tcPr>
            <w:tcW w:w="1340" w:type="dxa"/>
            <w:vAlign w:val="bottom"/>
            <w:shd w:val="clear" w:color="auto" w:fill="CEFFE7"/>
          </w:tcPr>
          <w:p>
            <w:pPr>
              <w:jc w:val="right"/>
              <w:ind w:right="659"/>
              <w:spacing w:after="0" w:line="175" w:lineRule="exact"/>
              <w:rPr>
                <w:sz w:val="20"/>
                <w:szCs w:val="20"/>
                <w:color w:val="auto"/>
              </w:rPr>
            </w:pPr>
            <w:r>
              <w:rPr>
                <w:rFonts w:ascii="Arial" w:cs="Arial" w:eastAsia="Arial" w:hAnsi="Arial"/>
                <w:sz w:val="16"/>
                <w:szCs w:val="16"/>
                <w:color w:val="auto"/>
              </w:rPr>
              <w:t>4.1.2</w:t>
            </w:r>
          </w:p>
        </w:tc>
        <w:tc>
          <w:tcPr>
            <w:tcW w:w="100" w:type="dxa"/>
            <w:vAlign w:val="bottom"/>
            <w:shd w:val="clear" w:color="auto" w:fill="CEFFE7"/>
          </w:tcPr>
          <w:p>
            <w:pPr>
              <w:spacing w:after="0"/>
              <w:rPr>
                <w:sz w:val="15"/>
                <w:szCs w:val="15"/>
                <w:color w:val="auto"/>
              </w:rPr>
            </w:pPr>
          </w:p>
        </w:tc>
        <w:tc>
          <w:tcPr>
            <w:tcW w:w="9800" w:type="dxa"/>
            <w:vAlign w:val="bottom"/>
            <w:gridSpan w:val="12"/>
            <w:shd w:val="clear" w:color="auto" w:fill="CEFFE7"/>
          </w:tcPr>
          <w:p>
            <w:pPr>
              <w:spacing w:after="0" w:line="175" w:lineRule="exact"/>
              <w:rPr>
                <w:rFonts w:ascii="Arial" w:cs="Arial" w:eastAsia="Arial" w:hAnsi="Arial"/>
                <w:sz w:val="16"/>
                <w:szCs w:val="16"/>
                <w:color w:val="0000FF"/>
              </w:rPr>
            </w:pPr>
            <w:hyperlink r:id="rId102">
              <w:r>
                <w:rPr>
                  <w:rFonts w:ascii="Arial" w:cs="Arial" w:eastAsia="Arial" w:hAnsi="Arial"/>
                  <w:sz w:val="16"/>
                  <w:szCs w:val="16"/>
                  <w:color w:val="0000FF"/>
                </w:rPr>
                <w:t>Second Supplemental Indenture dated as of May 14, 2009 (filed as Exhibit 4 to the Registrant’s Form 8-K filed on May 14, 2009).</w:t>
              </w:r>
            </w:hyperlink>
          </w:p>
        </w:tc>
      </w:tr>
      <w:tr>
        <w:trPr>
          <w:trHeight w:val="20"/>
        </w:trPr>
        <w:tc>
          <w:tcPr>
            <w:tcW w:w="13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340" w:type="dxa"/>
            <w:vAlign w:val="bottom"/>
            <w:tcBorders>
              <w:top w:val="single" w:sz="8" w:color="0000FF"/>
            </w:tcBorders>
            <w:shd w:val="clear" w:color="auto" w:fill="CEFFE7"/>
          </w:tcPr>
          <w:p>
            <w:pPr>
              <w:spacing w:after="0" w:line="20" w:lineRule="exact"/>
              <w:rPr>
                <w:sz w:val="1"/>
                <w:szCs w:val="1"/>
                <w:color w:val="auto"/>
              </w:rPr>
            </w:pPr>
          </w:p>
        </w:tc>
        <w:tc>
          <w:tcPr>
            <w:tcW w:w="76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7520" w:type="dxa"/>
            <w:vAlign w:val="bottom"/>
            <w:tcBorders>
              <w:top w:val="single" w:sz="8" w:color="0000FF"/>
            </w:tcBorders>
            <w:shd w:val="clear" w:color="auto" w:fill="CEFFE7"/>
          </w:tcPr>
          <w:p>
            <w:pPr>
              <w:spacing w:after="0" w:line="20" w:lineRule="exact"/>
              <w:rPr>
                <w:sz w:val="1"/>
                <w:szCs w:val="1"/>
                <w:color w:val="auto"/>
              </w:rPr>
            </w:pPr>
          </w:p>
        </w:tc>
        <w:tc>
          <w:tcPr>
            <w:tcW w:w="440" w:type="dxa"/>
            <w:vAlign w:val="bottom"/>
            <w:tcBorders>
              <w:top w:val="single" w:sz="8" w:color="0000FF"/>
            </w:tcBorders>
            <w:shd w:val="clear" w:color="auto" w:fill="CEFFE7"/>
          </w:tcPr>
          <w:p>
            <w:pPr>
              <w:spacing w:after="0" w:line="20" w:lineRule="exact"/>
              <w:rPr>
                <w:sz w:val="1"/>
                <w:szCs w:val="1"/>
                <w:color w:val="auto"/>
              </w:rPr>
            </w:pPr>
          </w:p>
        </w:tc>
        <w:tc>
          <w:tcPr>
            <w:tcW w:w="20" w:type="dxa"/>
            <w:vAlign w:val="bottom"/>
            <w:tcBorders>
              <w:top w:val="single" w:sz="8" w:color="0000FF"/>
            </w:tcBorders>
            <w:shd w:val="clear" w:color="auto" w:fill="CEFFE7"/>
          </w:tcPr>
          <w:p>
            <w:pPr>
              <w:spacing w:after="0" w:line="20" w:lineRule="exact"/>
              <w:rPr>
                <w:sz w:val="1"/>
                <w:szCs w:val="1"/>
                <w:color w:val="auto"/>
              </w:rPr>
            </w:pPr>
          </w:p>
        </w:tc>
        <w:tc>
          <w:tcPr>
            <w:tcW w:w="40" w:type="dxa"/>
            <w:vAlign w:val="bottom"/>
            <w:tcBorders>
              <w:top w:val="single" w:sz="8" w:color="0000FF"/>
            </w:tcBorders>
            <w:shd w:val="clear" w:color="auto" w:fill="CEFFE7"/>
          </w:tcPr>
          <w:p>
            <w:pPr>
              <w:spacing w:after="0" w:line="20" w:lineRule="exact"/>
              <w:rPr>
                <w:sz w:val="1"/>
                <w:szCs w:val="1"/>
                <w:color w:val="auto"/>
              </w:rPr>
            </w:pPr>
          </w:p>
        </w:tc>
        <w:tc>
          <w:tcPr>
            <w:tcW w:w="20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14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r>
      <w:tr>
        <w:trPr>
          <w:trHeight w:val="175"/>
        </w:trPr>
        <w:tc>
          <w:tcPr>
            <w:tcW w:w="1340" w:type="dxa"/>
            <w:vAlign w:val="bottom"/>
          </w:tcPr>
          <w:p>
            <w:pPr>
              <w:jc w:val="right"/>
              <w:ind w:right="659"/>
              <w:spacing w:after="0" w:line="175" w:lineRule="exact"/>
              <w:rPr>
                <w:sz w:val="20"/>
                <w:szCs w:val="20"/>
                <w:color w:val="auto"/>
              </w:rPr>
            </w:pPr>
            <w:r>
              <w:rPr>
                <w:rFonts w:ascii="Arial" w:cs="Arial" w:eastAsia="Arial" w:hAnsi="Arial"/>
                <w:sz w:val="16"/>
                <w:szCs w:val="16"/>
                <w:color w:val="auto"/>
              </w:rPr>
              <w:t>4.1.3</w:t>
            </w:r>
          </w:p>
        </w:tc>
        <w:tc>
          <w:tcPr>
            <w:tcW w:w="100" w:type="dxa"/>
            <w:vAlign w:val="bottom"/>
          </w:tcPr>
          <w:p>
            <w:pPr>
              <w:spacing w:after="0"/>
              <w:rPr>
                <w:sz w:val="15"/>
                <w:szCs w:val="15"/>
                <w:color w:val="auto"/>
              </w:rPr>
            </w:pPr>
          </w:p>
        </w:tc>
        <w:tc>
          <w:tcPr>
            <w:tcW w:w="9800" w:type="dxa"/>
            <w:vAlign w:val="bottom"/>
            <w:gridSpan w:val="12"/>
          </w:tcPr>
          <w:p>
            <w:pPr>
              <w:spacing w:after="0" w:line="175" w:lineRule="exact"/>
              <w:rPr>
                <w:rFonts w:ascii="Arial" w:cs="Arial" w:eastAsia="Arial" w:hAnsi="Arial"/>
                <w:sz w:val="16"/>
                <w:szCs w:val="16"/>
                <w:color w:val="0000FF"/>
              </w:rPr>
            </w:pPr>
            <w:hyperlink r:id="rId103">
              <w:r>
                <w:rPr>
                  <w:rFonts w:ascii="Arial" w:cs="Arial" w:eastAsia="Arial" w:hAnsi="Arial"/>
                  <w:sz w:val="16"/>
                  <w:szCs w:val="16"/>
                  <w:color w:val="0000FF"/>
                </w:rPr>
                <w:t>Third Supplemental Indenture dated as of July 16, 2010 (filed as Exhibit 4 to Registrant’s Form 8-K filed on July 15, 2010).</w:t>
              </w:r>
            </w:hyperlink>
          </w:p>
        </w:tc>
      </w:tr>
      <w:tr>
        <w:trPr>
          <w:trHeight w:val="649"/>
        </w:trPr>
        <w:tc>
          <w:tcPr>
            <w:tcW w:w="13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8720" w:type="dxa"/>
            <w:vAlign w:val="bottom"/>
            <w:tcBorders>
              <w:top w:val="single" w:sz="8" w:color="0000FF"/>
            </w:tcBorders>
            <w:gridSpan w:val="4"/>
          </w:tcPr>
          <w:p>
            <w:pPr>
              <w:jc w:val="right"/>
              <w:ind w:right="4379"/>
              <w:spacing w:after="0"/>
              <w:rPr>
                <w:sz w:val="20"/>
                <w:szCs w:val="20"/>
                <w:color w:val="auto"/>
              </w:rPr>
            </w:pPr>
            <w:r>
              <w:rPr>
                <w:rFonts w:ascii="Arial" w:cs="Arial" w:eastAsia="Arial" w:hAnsi="Arial"/>
                <w:sz w:val="16"/>
                <w:szCs w:val="16"/>
                <w:color w:val="auto"/>
              </w:rPr>
              <w:t>52</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1"/>
        </w:trPr>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40" w:type="dxa"/>
            <w:vAlign w:val="bottom"/>
            <w:shd w:val="clear" w:color="auto" w:fill="CEFFE7"/>
          </w:tcPr>
          <w:p>
            <w:pPr>
              <w:ind w:left="240"/>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EFFE7"/>
          </w:tcPr>
          <w:p>
            <w:pPr>
              <w:spacing w:after="0"/>
              <w:rPr>
                <w:sz w:val="16"/>
                <w:szCs w:val="16"/>
                <w:color w:val="auto"/>
              </w:rPr>
            </w:pPr>
          </w:p>
        </w:tc>
        <w:tc>
          <w:tcPr>
            <w:tcW w:w="9800" w:type="dxa"/>
            <w:vAlign w:val="bottom"/>
            <w:gridSpan w:val="30"/>
            <w:shd w:val="clear" w:color="auto" w:fill="CEFFE7"/>
          </w:tcPr>
          <w:p>
            <w:pPr>
              <w:spacing w:after="0"/>
              <w:rPr>
                <w:rFonts w:ascii="Arial" w:cs="Arial" w:eastAsia="Arial" w:hAnsi="Arial"/>
                <w:sz w:val="16"/>
                <w:szCs w:val="16"/>
                <w:color w:val="0000FF"/>
              </w:rPr>
            </w:pPr>
            <w:hyperlink r:id="rId106">
              <w:r>
                <w:rPr>
                  <w:rFonts w:ascii="Arial" w:cs="Arial" w:eastAsia="Arial" w:hAnsi="Arial"/>
                  <w:sz w:val="16"/>
                  <w:szCs w:val="16"/>
                  <w:color w:val="0000FF"/>
                </w:rPr>
                <w:t>Fourth Supplemental Indenture dated as of November 19, 2013 (filed as Exhibit 4 to the Registrant’s Form 8-K filed on November 18,</w:t>
              </w:r>
            </w:hyperlink>
          </w:p>
        </w:tc>
      </w:tr>
      <w:tr>
        <w:trPr>
          <w:trHeight w:val="168"/>
        </w:trPr>
        <w:tc>
          <w:tcPr>
            <w:tcW w:w="1340" w:type="dxa"/>
            <w:vAlign w:val="bottom"/>
            <w:tcBorders>
              <w:top w:val="single" w:sz="8" w:color="CEFFE7"/>
              <w:bottom w:val="single" w:sz="8" w:color="CEFFE7"/>
            </w:tcBorders>
            <w:shd w:val="clear" w:color="auto" w:fill="CEFFE7"/>
          </w:tcPr>
          <w:p>
            <w:pPr>
              <w:spacing w:after="0"/>
              <w:rPr>
                <w:sz w:val="14"/>
                <w:szCs w:val="14"/>
                <w:color w:val="auto"/>
              </w:rPr>
            </w:pPr>
          </w:p>
        </w:tc>
        <w:tc>
          <w:tcPr>
            <w:tcW w:w="100" w:type="dxa"/>
            <w:vAlign w:val="bottom"/>
            <w:tcBorders>
              <w:top w:val="single" w:sz="8" w:color="CEFFE7"/>
              <w:bottom w:val="single" w:sz="8" w:color="CEFFE7"/>
            </w:tcBorders>
            <w:shd w:val="clear" w:color="auto" w:fill="CEFFE7"/>
          </w:tcPr>
          <w:p>
            <w:pPr>
              <w:spacing w:after="0"/>
              <w:rPr>
                <w:sz w:val="14"/>
                <w:szCs w:val="14"/>
                <w:color w:val="auto"/>
              </w:rPr>
            </w:pPr>
          </w:p>
        </w:tc>
        <w:tc>
          <w:tcPr>
            <w:tcW w:w="460" w:type="dxa"/>
            <w:vAlign w:val="bottom"/>
            <w:tcBorders>
              <w:top w:val="single" w:sz="8" w:color="0000FF"/>
              <w:bottom w:val="single" w:sz="8" w:color="0000FF"/>
            </w:tcBorders>
            <w:shd w:val="clear" w:color="auto" w:fill="CEFFE7"/>
          </w:tcPr>
          <w:p>
            <w:pPr>
              <w:spacing w:after="0" w:line="142" w:lineRule="exact"/>
              <w:rPr>
                <w:rFonts w:ascii="Arial" w:cs="Arial" w:eastAsia="Arial" w:hAnsi="Arial"/>
                <w:sz w:val="16"/>
                <w:szCs w:val="16"/>
                <w:color w:val="0000FF"/>
                <w:w w:val="96"/>
              </w:rPr>
            </w:pPr>
            <w:hyperlink r:id="rId106">
              <w:r>
                <w:rPr>
                  <w:rFonts w:ascii="Arial" w:cs="Arial" w:eastAsia="Arial" w:hAnsi="Arial"/>
                  <w:sz w:val="16"/>
                  <w:szCs w:val="16"/>
                  <w:color w:val="0000FF"/>
                  <w:w w:val="96"/>
                </w:rPr>
                <w:t>2013).</w:t>
              </w:r>
            </w:hyperlink>
          </w:p>
        </w:tc>
        <w:tc>
          <w:tcPr>
            <w:tcW w:w="240" w:type="dxa"/>
            <w:vAlign w:val="bottom"/>
            <w:tcBorders>
              <w:top w:val="single" w:sz="8" w:color="0000FF"/>
              <w:bottom w:val="single" w:sz="8" w:color="CEFFE7"/>
            </w:tcBorders>
            <w:shd w:val="clear" w:color="auto" w:fill="CEFFE7"/>
          </w:tcPr>
          <w:p>
            <w:pPr>
              <w:spacing w:after="0"/>
              <w:rPr>
                <w:sz w:val="14"/>
                <w:szCs w:val="14"/>
                <w:color w:val="auto"/>
              </w:rPr>
            </w:pPr>
          </w:p>
        </w:tc>
        <w:tc>
          <w:tcPr>
            <w:tcW w:w="60" w:type="dxa"/>
            <w:vAlign w:val="bottom"/>
            <w:tcBorders>
              <w:top w:val="single" w:sz="8" w:color="0000FF"/>
              <w:bottom w:val="single" w:sz="8" w:color="CEFFE7"/>
            </w:tcBorders>
            <w:shd w:val="clear" w:color="auto" w:fill="CEFFE7"/>
          </w:tcPr>
          <w:p>
            <w:pPr>
              <w:spacing w:after="0"/>
              <w:rPr>
                <w:sz w:val="14"/>
                <w:szCs w:val="14"/>
                <w:color w:val="auto"/>
              </w:rPr>
            </w:pPr>
          </w:p>
        </w:tc>
        <w:tc>
          <w:tcPr>
            <w:tcW w:w="1440" w:type="dxa"/>
            <w:vAlign w:val="bottom"/>
            <w:tcBorders>
              <w:top w:val="single" w:sz="8" w:color="0000FF"/>
              <w:bottom w:val="single" w:sz="8" w:color="CEFFE7"/>
            </w:tcBorders>
            <w:shd w:val="clear" w:color="auto" w:fill="CEFFE7"/>
          </w:tcPr>
          <w:p>
            <w:pPr>
              <w:spacing w:after="0"/>
              <w:rPr>
                <w:sz w:val="14"/>
                <w:szCs w:val="14"/>
                <w:color w:val="auto"/>
              </w:rPr>
            </w:pPr>
          </w:p>
        </w:tc>
        <w:tc>
          <w:tcPr>
            <w:tcW w:w="1140" w:type="dxa"/>
            <w:vAlign w:val="bottom"/>
            <w:tcBorders>
              <w:top w:val="single" w:sz="8" w:color="0000FF"/>
              <w:bottom w:val="single" w:sz="8" w:color="CEFFE7"/>
            </w:tcBorders>
            <w:shd w:val="clear" w:color="auto" w:fill="CEFFE7"/>
          </w:tcPr>
          <w:p>
            <w:pPr>
              <w:spacing w:after="0"/>
              <w:rPr>
                <w:sz w:val="14"/>
                <w:szCs w:val="14"/>
                <w:color w:val="auto"/>
              </w:rPr>
            </w:pPr>
          </w:p>
        </w:tc>
        <w:tc>
          <w:tcPr>
            <w:tcW w:w="60" w:type="dxa"/>
            <w:vAlign w:val="bottom"/>
            <w:tcBorders>
              <w:top w:val="single" w:sz="8" w:color="0000FF"/>
              <w:bottom w:val="single" w:sz="8" w:color="CEFFE7"/>
            </w:tcBorders>
            <w:shd w:val="clear" w:color="auto" w:fill="CEFFE7"/>
          </w:tcPr>
          <w:p>
            <w:pPr>
              <w:spacing w:after="0"/>
              <w:rPr>
                <w:sz w:val="14"/>
                <w:szCs w:val="14"/>
                <w:color w:val="auto"/>
              </w:rPr>
            </w:pPr>
          </w:p>
        </w:tc>
        <w:tc>
          <w:tcPr>
            <w:tcW w:w="180" w:type="dxa"/>
            <w:vAlign w:val="bottom"/>
            <w:tcBorders>
              <w:top w:val="single" w:sz="8" w:color="0000FF"/>
              <w:bottom w:val="single" w:sz="8" w:color="CEFFE7"/>
            </w:tcBorders>
            <w:shd w:val="clear" w:color="auto" w:fill="CEFFE7"/>
          </w:tcPr>
          <w:p>
            <w:pPr>
              <w:spacing w:after="0"/>
              <w:rPr>
                <w:sz w:val="14"/>
                <w:szCs w:val="14"/>
                <w:color w:val="auto"/>
              </w:rPr>
            </w:pPr>
          </w:p>
        </w:tc>
        <w:tc>
          <w:tcPr>
            <w:tcW w:w="1220" w:type="dxa"/>
            <w:vAlign w:val="bottom"/>
            <w:tcBorders>
              <w:top w:val="single" w:sz="8" w:color="0000FF"/>
              <w:bottom w:val="single" w:sz="8" w:color="CEFFE7"/>
            </w:tcBorders>
            <w:shd w:val="clear" w:color="auto" w:fill="CEFFE7"/>
          </w:tcPr>
          <w:p>
            <w:pPr>
              <w:spacing w:after="0"/>
              <w:rPr>
                <w:sz w:val="14"/>
                <w:szCs w:val="14"/>
                <w:color w:val="auto"/>
              </w:rPr>
            </w:pPr>
          </w:p>
        </w:tc>
        <w:tc>
          <w:tcPr>
            <w:tcW w:w="100" w:type="dxa"/>
            <w:vAlign w:val="bottom"/>
            <w:tcBorders>
              <w:top w:val="single" w:sz="8" w:color="0000FF"/>
              <w:bottom w:val="single" w:sz="8" w:color="CEFFE7"/>
            </w:tcBorders>
            <w:shd w:val="clear" w:color="auto" w:fill="CEFFE7"/>
          </w:tcPr>
          <w:p>
            <w:pPr>
              <w:spacing w:after="0"/>
              <w:rPr>
                <w:sz w:val="14"/>
                <w:szCs w:val="14"/>
                <w:color w:val="auto"/>
              </w:rPr>
            </w:pPr>
          </w:p>
        </w:tc>
        <w:tc>
          <w:tcPr>
            <w:tcW w:w="2480" w:type="dxa"/>
            <w:vAlign w:val="bottom"/>
            <w:tcBorders>
              <w:top w:val="single" w:sz="8" w:color="0000FF"/>
              <w:bottom w:val="single" w:sz="8" w:color="CEFFE7"/>
            </w:tcBorders>
            <w:shd w:val="clear" w:color="auto" w:fill="CEFFE7"/>
          </w:tcPr>
          <w:p>
            <w:pPr>
              <w:spacing w:after="0"/>
              <w:rPr>
                <w:sz w:val="14"/>
                <w:szCs w:val="14"/>
                <w:color w:val="auto"/>
              </w:rPr>
            </w:pPr>
          </w:p>
        </w:tc>
        <w:tc>
          <w:tcPr>
            <w:tcW w:w="1840" w:type="dxa"/>
            <w:vAlign w:val="bottom"/>
            <w:tcBorders>
              <w:top w:val="single" w:sz="8" w:color="0000FF"/>
              <w:bottom w:val="single" w:sz="8" w:color="CEFFE7"/>
            </w:tcBorders>
            <w:shd w:val="clear" w:color="auto" w:fill="CEFFE7"/>
          </w:tcPr>
          <w:p>
            <w:pPr>
              <w:spacing w:after="0"/>
              <w:rPr>
                <w:sz w:val="14"/>
                <w:szCs w:val="14"/>
                <w:color w:val="auto"/>
              </w:rPr>
            </w:pPr>
          </w:p>
        </w:tc>
        <w:tc>
          <w:tcPr>
            <w:tcW w:w="20" w:type="dxa"/>
            <w:vAlign w:val="bottom"/>
            <w:tcBorders>
              <w:top w:val="single" w:sz="8" w:color="0000FF"/>
              <w:bottom w:val="single" w:sz="8" w:color="CEFFE7"/>
            </w:tcBorders>
            <w:shd w:val="clear" w:color="auto" w:fill="CEFFE7"/>
          </w:tcPr>
          <w:p>
            <w:pPr>
              <w:spacing w:after="0"/>
              <w:rPr>
                <w:sz w:val="14"/>
                <w:szCs w:val="14"/>
                <w:color w:val="auto"/>
              </w:rPr>
            </w:pPr>
          </w:p>
        </w:tc>
        <w:tc>
          <w:tcPr>
            <w:tcW w:w="20" w:type="dxa"/>
            <w:vAlign w:val="bottom"/>
            <w:tcBorders>
              <w:top w:val="single" w:sz="8" w:color="0000FF"/>
              <w:bottom w:val="single" w:sz="8" w:color="CEFFE7"/>
            </w:tcBorders>
            <w:shd w:val="clear" w:color="auto" w:fill="CEFFE7"/>
          </w:tcPr>
          <w:p>
            <w:pPr>
              <w:spacing w:after="0"/>
              <w:rPr>
                <w:sz w:val="14"/>
                <w:szCs w:val="14"/>
                <w:color w:val="auto"/>
              </w:rPr>
            </w:pPr>
          </w:p>
        </w:tc>
        <w:tc>
          <w:tcPr>
            <w:tcW w:w="20" w:type="dxa"/>
            <w:vAlign w:val="bottom"/>
            <w:tcBorders>
              <w:top w:val="single" w:sz="8" w:color="0000FF"/>
              <w:bottom w:val="single" w:sz="8" w:color="CEFFE7"/>
            </w:tcBorders>
            <w:shd w:val="clear" w:color="auto" w:fill="CEFFE7"/>
          </w:tcPr>
          <w:p>
            <w:pPr>
              <w:spacing w:after="0"/>
              <w:rPr>
                <w:sz w:val="14"/>
                <w:szCs w:val="14"/>
                <w:color w:val="auto"/>
              </w:rPr>
            </w:pPr>
          </w:p>
        </w:tc>
        <w:tc>
          <w:tcPr>
            <w:tcW w:w="20" w:type="dxa"/>
            <w:vAlign w:val="bottom"/>
            <w:tcBorders>
              <w:top w:val="single" w:sz="8" w:color="0000FF"/>
              <w:bottom w:val="single" w:sz="8" w:color="CEFFE7"/>
            </w:tcBorders>
            <w:shd w:val="clear" w:color="auto" w:fill="CEFFE7"/>
          </w:tcPr>
          <w:p>
            <w:pPr>
              <w:spacing w:after="0"/>
              <w:rPr>
                <w:sz w:val="14"/>
                <w:szCs w:val="14"/>
                <w:color w:val="auto"/>
              </w:rPr>
            </w:pPr>
          </w:p>
        </w:tc>
        <w:tc>
          <w:tcPr>
            <w:tcW w:w="20" w:type="dxa"/>
            <w:vAlign w:val="bottom"/>
            <w:tcBorders>
              <w:top w:val="single" w:sz="8" w:color="0000FF"/>
              <w:bottom w:val="single" w:sz="8" w:color="CEFFE7"/>
            </w:tcBorders>
            <w:shd w:val="clear" w:color="auto" w:fill="CEFFE7"/>
          </w:tcPr>
          <w:p>
            <w:pPr>
              <w:spacing w:after="0"/>
              <w:rPr>
                <w:sz w:val="14"/>
                <w:szCs w:val="14"/>
                <w:color w:val="auto"/>
              </w:rPr>
            </w:pPr>
          </w:p>
        </w:tc>
        <w:tc>
          <w:tcPr>
            <w:tcW w:w="60" w:type="dxa"/>
            <w:vAlign w:val="bottom"/>
            <w:tcBorders>
              <w:top w:val="single" w:sz="8" w:color="0000FF"/>
              <w:bottom w:val="single" w:sz="8" w:color="CEFFE7"/>
            </w:tcBorders>
            <w:shd w:val="clear" w:color="auto" w:fill="CEFFE7"/>
          </w:tcPr>
          <w:p>
            <w:pPr>
              <w:spacing w:after="0"/>
              <w:rPr>
                <w:sz w:val="14"/>
                <w:szCs w:val="14"/>
                <w:color w:val="auto"/>
              </w:rPr>
            </w:pPr>
          </w:p>
        </w:tc>
        <w:tc>
          <w:tcPr>
            <w:tcW w:w="80" w:type="dxa"/>
            <w:vAlign w:val="bottom"/>
            <w:tcBorders>
              <w:top w:val="single" w:sz="8" w:color="0000FF"/>
              <w:bottom w:val="single" w:sz="8" w:color="CEFFE7"/>
            </w:tcBorders>
            <w:shd w:val="clear" w:color="auto" w:fill="CEFFE7"/>
          </w:tcPr>
          <w:p>
            <w:pPr>
              <w:spacing w:after="0"/>
              <w:rPr>
                <w:sz w:val="14"/>
                <w:szCs w:val="14"/>
                <w:color w:val="auto"/>
              </w:rPr>
            </w:pPr>
          </w:p>
        </w:tc>
        <w:tc>
          <w:tcPr>
            <w:tcW w:w="20" w:type="dxa"/>
            <w:vAlign w:val="bottom"/>
            <w:tcBorders>
              <w:top w:val="single" w:sz="8" w:color="0000FF"/>
              <w:bottom w:val="single" w:sz="8" w:color="CEFFE7"/>
            </w:tcBorders>
            <w:shd w:val="clear" w:color="auto" w:fill="CEFFE7"/>
          </w:tcPr>
          <w:p>
            <w:pPr>
              <w:spacing w:after="0"/>
              <w:rPr>
                <w:sz w:val="14"/>
                <w:szCs w:val="14"/>
                <w:color w:val="auto"/>
              </w:rPr>
            </w:pPr>
          </w:p>
        </w:tc>
        <w:tc>
          <w:tcPr>
            <w:tcW w:w="40" w:type="dxa"/>
            <w:vAlign w:val="bottom"/>
            <w:tcBorders>
              <w:top w:val="single" w:sz="8" w:color="0000FF"/>
              <w:bottom w:val="single" w:sz="8" w:color="CEFFE7"/>
            </w:tcBorders>
            <w:shd w:val="clear" w:color="auto" w:fill="CEFFE7"/>
          </w:tcPr>
          <w:p>
            <w:pPr>
              <w:spacing w:after="0"/>
              <w:rPr>
                <w:sz w:val="14"/>
                <w:szCs w:val="14"/>
                <w:color w:val="auto"/>
              </w:rPr>
            </w:pPr>
          </w:p>
        </w:tc>
        <w:tc>
          <w:tcPr>
            <w:tcW w:w="40" w:type="dxa"/>
            <w:vAlign w:val="bottom"/>
            <w:tcBorders>
              <w:top w:val="single" w:sz="8" w:color="CEFFE7"/>
              <w:bottom w:val="single" w:sz="8" w:color="CEFFE7"/>
            </w:tcBorders>
            <w:shd w:val="clear" w:color="auto" w:fill="CEFFE7"/>
          </w:tcPr>
          <w:p>
            <w:pPr>
              <w:spacing w:after="0"/>
              <w:rPr>
                <w:sz w:val="14"/>
                <w:szCs w:val="14"/>
                <w:color w:val="auto"/>
              </w:rPr>
            </w:pPr>
          </w:p>
        </w:tc>
        <w:tc>
          <w:tcPr>
            <w:tcW w:w="20" w:type="dxa"/>
            <w:vAlign w:val="bottom"/>
            <w:tcBorders>
              <w:top w:val="single" w:sz="8" w:color="CEFFE7"/>
              <w:bottom w:val="single" w:sz="8" w:color="CEFFE7"/>
            </w:tcBorders>
            <w:shd w:val="clear" w:color="auto" w:fill="CEFFE7"/>
          </w:tcPr>
          <w:p>
            <w:pPr>
              <w:spacing w:after="0"/>
              <w:rPr>
                <w:sz w:val="14"/>
                <w:szCs w:val="14"/>
                <w:color w:val="auto"/>
              </w:rPr>
            </w:pPr>
          </w:p>
        </w:tc>
        <w:tc>
          <w:tcPr>
            <w:tcW w:w="20" w:type="dxa"/>
            <w:vAlign w:val="bottom"/>
            <w:tcBorders>
              <w:top w:val="single" w:sz="8" w:color="CEFFE7"/>
              <w:bottom w:val="single" w:sz="8" w:color="CEFFE7"/>
            </w:tcBorders>
            <w:shd w:val="clear" w:color="auto" w:fill="CEFFE7"/>
          </w:tcPr>
          <w:p>
            <w:pPr>
              <w:spacing w:after="0"/>
              <w:rPr>
                <w:sz w:val="14"/>
                <w:szCs w:val="14"/>
                <w:color w:val="auto"/>
              </w:rPr>
            </w:pPr>
          </w:p>
        </w:tc>
        <w:tc>
          <w:tcPr>
            <w:tcW w:w="40" w:type="dxa"/>
            <w:vAlign w:val="bottom"/>
            <w:tcBorders>
              <w:top w:val="single" w:sz="8" w:color="CEFFE7"/>
              <w:bottom w:val="single" w:sz="8" w:color="CEFFE7"/>
            </w:tcBorders>
            <w:shd w:val="clear" w:color="auto" w:fill="CEFFE7"/>
          </w:tcPr>
          <w:p>
            <w:pPr>
              <w:spacing w:after="0"/>
              <w:rPr>
                <w:sz w:val="14"/>
                <w:szCs w:val="14"/>
                <w:color w:val="auto"/>
              </w:rPr>
            </w:pPr>
          </w:p>
        </w:tc>
        <w:tc>
          <w:tcPr>
            <w:tcW w:w="20" w:type="dxa"/>
            <w:vAlign w:val="bottom"/>
            <w:tcBorders>
              <w:top w:val="single" w:sz="8" w:color="CEFFE7"/>
              <w:bottom w:val="single" w:sz="8" w:color="CEFFE7"/>
            </w:tcBorders>
            <w:shd w:val="clear" w:color="auto" w:fill="CEFFE7"/>
          </w:tcPr>
          <w:p>
            <w:pPr>
              <w:spacing w:after="0"/>
              <w:rPr>
                <w:sz w:val="14"/>
                <w:szCs w:val="14"/>
                <w:color w:val="auto"/>
              </w:rPr>
            </w:pPr>
          </w:p>
        </w:tc>
        <w:tc>
          <w:tcPr>
            <w:tcW w:w="20" w:type="dxa"/>
            <w:vAlign w:val="bottom"/>
            <w:tcBorders>
              <w:top w:val="single" w:sz="8" w:color="CEFFE7"/>
              <w:bottom w:val="single" w:sz="8" w:color="CEFFE7"/>
            </w:tcBorders>
            <w:shd w:val="clear" w:color="auto" w:fill="CEFFE7"/>
          </w:tcPr>
          <w:p>
            <w:pPr>
              <w:spacing w:after="0"/>
              <w:rPr>
                <w:sz w:val="14"/>
                <w:szCs w:val="14"/>
                <w:color w:val="auto"/>
              </w:rPr>
            </w:pPr>
          </w:p>
        </w:tc>
        <w:tc>
          <w:tcPr>
            <w:tcW w:w="60" w:type="dxa"/>
            <w:vAlign w:val="bottom"/>
            <w:tcBorders>
              <w:top w:val="single" w:sz="8" w:color="CEFFE7"/>
              <w:bottom w:val="single" w:sz="8" w:color="CEFFE7"/>
            </w:tcBorders>
            <w:shd w:val="clear" w:color="auto" w:fill="CEFFE7"/>
          </w:tcPr>
          <w:p>
            <w:pPr>
              <w:spacing w:after="0"/>
              <w:rPr>
                <w:sz w:val="14"/>
                <w:szCs w:val="14"/>
                <w:color w:val="auto"/>
              </w:rPr>
            </w:pPr>
          </w:p>
        </w:tc>
        <w:tc>
          <w:tcPr>
            <w:tcW w:w="20" w:type="dxa"/>
            <w:vAlign w:val="bottom"/>
            <w:tcBorders>
              <w:top w:val="single" w:sz="8" w:color="CEFFE7"/>
              <w:bottom w:val="single" w:sz="8" w:color="CEFFE7"/>
            </w:tcBorders>
            <w:shd w:val="clear" w:color="auto" w:fill="CEFFE7"/>
          </w:tcPr>
          <w:p>
            <w:pPr>
              <w:spacing w:after="0"/>
              <w:rPr>
                <w:sz w:val="14"/>
                <w:szCs w:val="14"/>
                <w:color w:val="auto"/>
              </w:rPr>
            </w:pPr>
          </w:p>
        </w:tc>
        <w:tc>
          <w:tcPr>
            <w:tcW w:w="20" w:type="dxa"/>
            <w:vAlign w:val="bottom"/>
            <w:tcBorders>
              <w:top w:val="single" w:sz="8" w:color="CEFFE7"/>
              <w:bottom w:val="single" w:sz="8" w:color="CEFFE7"/>
            </w:tcBorders>
            <w:shd w:val="clear" w:color="auto" w:fill="CEFFE7"/>
          </w:tcPr>
          <w:p>
            <w:pPr>
              <w:spacing w:after="0"/>
              <w:rPr>
                <w:sz w:val="14"/>
                <w:szCs w:val="14"/>
                <w:color w:val="auto"/>
              </w:rPr>
            </w:pPr>
          </w:p>
        </w:tc>
        <w:tc>
          <w:tcPr>
            <w:tcW w:w="20" w:type="dxa"/>
            <w:vAlign w:val="bottom"/>
            <w:tcBorders>
              <w:top w:val="single" w:sz="8" w:color="CEFFE7"/>
              <w:bottom w:val="single" w:sz="8" w:color="CEFFE7"/>
            </w:tcBorders>
            <w:shd w:val="clear" w:color="auto" w:fill="CEFFE7"/>
          </w:tcPr>
          <w:p>
            <w:pPr>
              <w:spacing w:after="0"/>
              <w:rPr>
                <w:sz w:val="14"/>
                <w:szCs w:val="14"/>
                <w:color w:val="auto"/>
              </w:rPr>
            </w:pPr>
          </w:p>
        </w:tc>
      </w:tr>
      <w:tr>
        <w:trPr>
          <w:trHeight w:val="175"/>
        </w:trPr>
        <w:tc>
          <w:tcPr>
            <w:tcW w:w="1340" w:type="dxa"/>
            <w:vAlign w:val="bottom"/>
            <w:tcBorders>
              <w:top w:val="single" w:sz="8" w:color="CEFFE7"/>
            </w:tcBorders>
          </w:tcPr>
          <w:p>
            <w:pPr>
              <w:ind w:left="240"/>
              <w:spacing w:after="0" w:line="175" w:lineRule="exact"/>
              <w:rPr>
                <w:sz w:val="20"/>
                <w:szCs w:val="20"/>
                <w:color w:val="auto"/>
              </w:rPr>
            </w:pPr>
            <w:r>
              <w:rPr>
                <w:rFonts w:ascii="Arial" w:cs="Arial" w:eastAsia="Arial" w:hAnsi="Arial"/>
                <w:sz w:val="16"/>
                <w:szCs w:val="16"/>
                <w:color w:val="auto"/>
              </w:rPr>
              <w:t>4.1.5</w:t>
            </w:r>
          </w:p>
        </w:tc>
        <w:tc>
          <w:tcPr>
            <w:tcW w:w="100" w:type="dxa"/>
            <w:vAlign w:val="bottom"/>
            <w:tcBorders>
              <w:top w:val="single" w:sz="8" w:color="CEFFE7"/>
            </w:tcBorders>
          </w:tcPr>
          <w:p>
            <w:pPr>
              <w:spacing w:after="0"/>
              <w:rPr>
                <w:sz w:val="15"/>
                <w:szCs w:val="15"/>
                <w:color w:val="auto"/>
              </w:rPr>
            </w:pPr>
          </w:p>
        </w:tc>
        <w:tc>
          <w:tcPr>
            <w:tcW w:w="9800" w:type="dxa"/>
            <w:vAlign w:val="bottom"/>
            <w:tcBorders>
              <w:top w:val="single" w:sz="8" w:color="CEFFE7"/>
            </w:tcBorders>
            <w:gridSpan w:val="30"/>
          </w:tcPr>
          <w:p>
            <w:pPr>
              <w:spacing w:after="0" w:line="175" w:lineRule="exact"/>
              <w:rPr>
                <w:rFonts w:ascii="Arial" w:cs="Arial" w:eastAsia="Arial" w:hAnsi="Arial"/>
                <w:sz w:val="16"/>
                <w:szCs w:val="16"/>
                <w:color w:val="0000FF"/>
              </w:rPr>
            </w:pPr>
            <w:hyperlink r:id="rId107">
              <w:r>
                <w:rPr>
                  <w:rFonts w:ascii="Arial" w:cs="Arial" w:eastAsia="Arial" w:hAnsi="Arial"/>
                  <w:sz w:val="16"/>
                  <w:szCs w:val="16"/>
                  <w:color w:val="0000FF"/>
                </w:rPr>
                <w:t>Fifth Supplemental Indenture dated as of January 13, 2016 (filed as Exhibit 4.1 to the Registrant’s Form 8-K filed on January 13, 2016).</w:t>
              </w:r>
            </w:hyperlink>
          </w:p>
        </w:tc>
      </w:tr>
      <w:tr>
        <w:trPr>
          <w:trHeight w:val="21"/>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8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Borders>
              <w:bottom w:val="single" w:sz="8" w:color="CEFFE7"/>
            </w:tcBorders>
            <w:shd w:val="clear" w:color="auto" w:fill="CEFFE7"/>
          </w:tcPr>
          <w:p>
            <w:pPr>
              <w:ind w:left="240"/>
              <w:spacing w:after="0" w:line="175" w:lineRule="exact"/>
              <w:rPr>
                <w:sz w:val="20"/>
                <w:szCs w:val="20"/>
                <w:color w:val="auto"/>
              </w:rPr>
            </w:pPr>
            <w:r>
              <w:rPr>
                <w:rFonts w:ascii="Arial" w:cs="Arial" w:eastAsia="Arial" w:hAnsi="Arial"/>
                <w:sz w:val="16"/>
                <w:szCs w:val="16"/>
                <w:color w:val="auto"/>
              </w:rPr>
              <w:t>4.1.6</w:t>
            </w:r>
          </w:p>
        </w:tc>
        <w:tc>
          <w:tcPr>
            <w:tcW w:w="100" w:type="dxa"/>
            <w:vAlign w:val="bottom"/>
            <w:tcBorders>
              <w:bottom w:val="single" w:sz="8" w:color="CEFFE7"/>
            </w:tcBorders>
            <w:shd w:val="clear" w:color="auto" w:fill="CEFFE7"/>
          </w:tcPr>
          <w:p>
            <w:pPr>
              <w:spacing w:after="0"/>
              <w:rPr>
                <w:sz w:val="17"/>
                <w:szCs w:val="17"/>
                <w:color w:val="auto"/>
              </w:rPr>
            </w:pPr>
          </w:p>
        </w:tc>
        <w:tc>
          <w:tcPr>
            <w:tcW w:w="9580" w:type="dxa"/>
            <w:vAlign w:val="bottom"/>
            <w:tcBorders>
              <w:bottom w:val="single" w:sz="8" w:color="0000FF"/>
            </w:tcBorders>
            <w:gridSpan w:val="22"/>
            <w:shd w:val="clear" w:color="auto" w:fill="CEFFE7"/>
          </w:tcPr>
          <w:p>
            <w:pPr>
              <w:spacing w:after="0" w:line="175" w:lineRule="exact"/>
              <w:rPr>
                <w:rFonts w:ascii="Arial" w:cs="Arial" w:eastAsia="Arial" w:hAnsi="Arial"/>
                <w:sz w:val="16"/>
                <w:szCs w:val="16"/>
                <w:color w:val="0000FF"/>
              </w:rPr>
            </w:pPr>
            <w:hyperlink r:id="rId108">
              <w:r>
                <w:rPr>
                  <w:rFonts w:ascii="Arial" w:cs="Arial" w:eastAsia="Arial" w:hAnsi="Arial"/>
                  <w:sz w:val="16"/>
                  <w:szCs w:val="16"/>
                  <w:color w:val="0000FF"/>
                </w:rPr>
                <w:t>Sixth Supplemental Indenture dated as of August 19, 2016 (filed as Exhibit 4.1 to the Registrant’s Form 8-K filed on August 19, 2016).</w:t>
              </w:r>
            </w:hyperlink>
          </w:p>
        </w:tc>
        <w:tc>
          <w:tcPr>
            <w:tcW w:w="220" w:type="dxa"/>
            <w:vAlign w:val="bottom"/>
            <w:tcBorders>
              <w:bottom w:val="single" w:sz="8" w:color="CEFFE7"/>
            </w:tcBorders>
            <w:gridSpan w:val="8"/>
            <w:shd w:val="clear" w:color="auto" w:fill="CEFFE7"/>
          </w:tcPr>
          <w:p>
            <w:pPr>
              <w:spacing w:after="0"/>
              <w:rPr>
                <w:sz w:val="17"/>
                <w:szCs w:val="17"/>
                <w:color w:val="auto"/>
              </w:rPr>
            </w:pPr>
          </w:p>
        </w:tc>
      </w:tr>
      <w:tr>
        <w:trPr>
          <w:trHeight w:val="175"/>
        </w:trPr>
        <w:tc>
          <w:tcPr>
            <w:tcW w:w="1340" w:type="dxa"/>
            <w:vAlign w:val="bottom"/>
          </w:tcPr>
          <w:p>
            <w:pPr>
              <w:ind w:left="240"/>
              <w:spacing w:after="0" w:line="175" w:lineRule="exact"/>
              <w:rPr>
                <w:sz w:val="20"/>
                <w:szCs w:val="20"/>
                <w:color w:val="auto"/>
              </w:rPr>
            </w:pPr>
            <w:r>
              <w:rPr>
                <w:rFonts w:ascii="Arial" w:cs="Arial" w:eastAsia="Arial" w:hAnsi="Arial"/>
                <w:sz w:val="16"/>
                <w:szCs w:val="16"/>
                <w:color w:val="auto"/>
              </w:rPr>
              <w:t>4.1.7</w:t>
            </w:r>
          </w:p>
        </w:tc>
        <w:tc>
          <w:tcPr>
            <w:tcW w:w="100" w:type="dxa"/>
            <w:vAlign w:val="bottom"/>
          </w:tcPr>
          <w:p>
            <w:pPr>
              <w:spacing w:after="0"/>
              <w:rPr>
                <w:sz w:val="15"/>
                <w:szCs w:val="15"/>
                <w:color w:val="auto"/>
              </w:rPr>
            </w:pPr>
          </w:p>
        </w:tc>
        <w:tc>
          <w:tcPr>
            <w:tcW w:w="9800" w:type="dxa"/>
            <w:vAlign w:val="bottom"/>
            <w:gridSpan w:val="30"/>
          </w:tcPr>
          <w:p>
            <w:pPr>
              <w:spacing w:after="0" w:line="175" w:lineRule="exact"/>
              <w:rPr>
                <w:rFonts w:ascii="Arial" w:cs="Arial" w:eastAsia="Arial" w:hAnsi="Arial"/>
                <w:sz w:val="16"/>
                <w:szCs w:val="16"/>
                <w:color w:val="0000FF"/>
              </w:rPr>
            </w:pPr>
            <w:hyperlink r:id="rId109">
              <w:r>
                <w:rPr>
                  <w:rFonts w:ascii="Arial" w:cs="Arial" w:eastAsia="Arial" w:hAnsi="Arial"/>
                  <w:sz w:val="16"/>
                  <w:szCs w:val="16"/>
                  <w:color w:val="0000FF"/>
                </w:rPr>
                <w:t>Seventh Supplemental Indenture dated as of August 17, 2018 (filed as Exhibit 4.2 to the Registrant’s Form 8-K filed on August 17,</w:t>
              </w:r>
            </w:hyperlink>
          </w:p>
        </w:tc>
      </w:tr>
      <w:tr>
        <w:trPr>
          <w:trHeight w:val="142"/>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6"/>
              </w:rPr>
            </w:pPr>
            <w:hyperlink r:id="rId109">
              <w:r>
                <w:rPr>
                  <w:rFonts w:ascii="Arial" w:cs="Arial" w:eastAsia="Arial" w:hAnsi="Arial"/>
                  <w:sz w:val="16"/>
                  <w:szCs w:val="16"/>
                  <w:color w:val="0000FF"/>
                  <w:w w:val="96"/>
                </w:rPr>
                <w:t>2018).</w:t>
              </w:r>
            </w:hyperlink>
          </w:p>
        </w:tc>
        <w:tc>
          <w:tcPr>
            <w:tcW w:w="2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440" w:type="dxa"/>
            <w:vAlign w:val="bottom"/>
            <w:tcBorders>
              <w:top w:val="single" w:sz="8" w:color="0000FF"/>
            </w:tcBorders>
          </w:tcPr>
          <w:p>
            <w:pPr>
              <w:spacing w:after="0"/>
              <w:rPr>
                <w:sz w:val="12"/>
                <w:szCs w:val="12"/>
                <w:color w:val="auto"/>
              </w:rPr>
            </w:pPr>
          </w:p>
        </w:tc>
        <w:tc>
          <w:tcPr>
            <w:tcW w:w="11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2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480" w:type="dxa"/>
            <w:vAlign w:val="bottom"/>
            <w:tcBorders>
              <w:top w:val="single" w:sz="8" w:color="0000FF"/>
            </w:tcBorders>
          </w:tcPr>
          <w:p>
            <w:pPr>
              <w:spacing w:after="0"/>
              <w:rPr>
                <w:sz w:val="12"/>
                <w:szCs w:val="12"/>
                <w:color w:val="auto"/>
              </w:rPr>
            </w:pPr>
          </w:p>
        </w:tc>
        <w:tc>
          <w:tcPr>
            <w:tcW w:w="18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tcBorders>
              <w:bottom w:val="single" w:sz="8" w:color="CEFFE7"/>
            </w:tcBorders>
            <w:shd w:val="clear" w:color="auto" w:fill="CEFFE7"/>
          </w:tcPr>
          <w:p>
            <w:pPr>
              <w:ind w:left="240"/>
              <w:spacing w:after="0" w:line="175" w:lineRule="exact"/>
              <w:rPr>
                <w:sz w:val="20"/>
                <w:szCs w:val="20"/>
                <w:color w:val="auto"/>
              </w:rPr>
            </w:pPr>
            <w:r>
              <w:rPr>
                <w:rFonts w:ascii="Arial" w:cs="Arial" w:eastAsia="Arial" w:hAnsi="Arial"/>
                <w:sz w:val="16"/>
                <w:szCs w:val="16"/>
                <w:color w:val="auto"/>
              </w:rPr>
              <w:t>4.1.8</w:t>
            </w:r>
          </w:p>
        </w:tc>
        <w:tc>
          <w:tcPr>
            <w:tcW w:w="100" w:type="dxa"/>
            <w:vAlign w:val="bottom"/>
            <w:tcBorders>
              <w:bottom w:val="single" w:sz="8" w:color="CEFFE7"/>
            </w:tcBorders>
            <w:shd w:val="clear" w:color="auto" w:fill="CEFFE7"/>
          </w:tcPr>
          <w:p>
            <w:pPr>
              <w:spacing w:after="0"/>
              <w:rPr>
                <w:sz w:val="17"/>
                <w:szCs w:val="17"/>
                <w:color w:val="auto"/>
              </w:rPr>
            </w:pPr>
          </w:p>
        </w:tc>
        <w:tc>
          <w:tcPr>
            <w:tcW w:w="9640" w:type="dxa"/>
            <w:vAlign w:val="bottom"/>
            <w:tcBorders>
              <w:bottom w:val="single" w:sz="8" w:color="0000FF"/>
            </w:tcBorders>
            <w:gridSpan w:val="24"/>
            <w:shd w:val="clear" w:color="auto" w:fill="CEFFE7"/>
          </w:tcPr>
          <w:p>
            <w:pPr>
              <w:spacing w:after="0" w:line="175" w:lineRule="exact"/>
              <w:rPr>
                <w:rFonts w:ascii="Arial" w:cs="Arial" w:eastAsia="Arial" w:hAnsi="Arial"/>
                <w:sz w:val="16"/>
                <w:szCs w:val="16"/>
                <w:color w:val="0000FF"/>
              </w:rPr>
            </w:pPr>
            <w:hyperlink r:id="rId110">
              <w:r>
                <w:rPr>
                  <w:rFonts w:ascii="Arial" w:cs="Arial" w:eastAsia="Arial" w:hAnsi="Arial"/>
                  <w:sz w:val="16"/>
                  <w:szCs w:val="16"/>
                  <w:color w:val="0000FF"/>
                </w:rPr>
                <w:t>Eighth Supplemental Indenture dated as of October 3, 2019 (filed as Exhibit 4.1 to the Registrant’s Form 8-K filed on October 4, 2019).</w:t>
              </w:r>
            </w:hyperlink>
          </w:p>
        </w:tc>
        <w:tc>
          <w:tcPr>
            <w:tcW w:w="160" w:type="dxa"/>
            <w:vAlign w:val="bottom"/>
            <w:tcBorders>
              <w:bottom w:val="single" w:sz="8" w:color="CEFFE7"/>
            </w:tcBorders>
            <w:gridSpan w:val="6"/>
            <w:shd w:val="clear" w:color="auto" w:fill="CEFFE7"/>
          </w:tcPr>
          <w:p>
            <w:pPr>
              <w:spacing w:after="0"/>
              <w:rPr>
                <w:sz w:val="17"/>
                <w:szCs w:val="17"/>
                <w:color w:val="auto"/>
              </w:rPr>
            </w:pPr>
          </w:p>
        </w:tc>
      </w:tr>
      <w:tr>
        <w:trPr>
          <w:trHeight w:val="176"/>
        </w:trPr>
        <w:tc>
          <w:tcPr>
            <w:tcW w:w="1340" w:type="dxa"/>
            <w:vAlign w:val="bottom"/>
          </w:tcPr>
          <w:p>
            <w:pPr>
              <w:ind w:left="20"/>
              <w:spacing w:after="0" w:line="175" w:lineRule="exact"/>
              <w:rPr>
                <w:sz w:val="20"/>
                <w:szCs w:val="20"/>
                <w:color w:val="auto"/>
              </w:rPr>
            </w:pPr>
            <w:r>
              <w:rPr>
                <w:rFonts w:ascii="Arial" w:cs="Arial" w:eastAsia="Arial" w:hAnsi="Arial"/>
                <w:sz w:val="16"/>
                <w:szCs w:val="16"/>
                <w:color w:val="auto"/>
              </w:rPr>
              <w:t>4.2</w:t>
            </w:r>
          </w:p>
        </w:tc>
        <w:tc>
          <w:tcPr>
            <w:tcW w:w="9900" w:type="dxa"/>
            <w:vAlign w:val="bottom"/>
            <w:gridSpan w:val="31"/>
          </w:tcPr>
          <w:p>
            <w:pPr>
              <w:spacing w:after="0" w:line="175" w:lineRule="exact"/>
              <w:rPr>
                <w:rFonts w:ascii="Arial" w:cs="Arial" w:eastAsia="Arial" w:hAnsi="Arial"/>
                <w:sz w:val="16"/>
                <w:szCs w:val="16"/>
                <w:color w:val="0000FF"/>
              </w:rPr>
            </w:pPr>
            <w:hyperlink r:id="rId111">
              <w:r>
                <w:rPr>
                  <w:rFonts w:ascii="Arial" w:cs="Arial" w:eastAsia="Arial" w:hAnsi="Arial"/>
                  <w:sz w:val="16"/>
                  <w:szCs w:val="16"/>
                  <w:color w:val="0000FF"/>
                </w:rPr>
                <w:t>Restated and Amended Indenture of Mortgage and Deed of Trust of Black Hills Corporation (now called Black Hills Power, Inc.) dated as</w:t>
              </w:r>
            </w:hyperlink>
          </w:p>
        </w:tc>
      </w:tr>
      <w:tr>
        <w:trPr>
          <w:trHeight w:val="142"/>
        </w:trPr>
        <w:tc>
          <w:tcPr>
            <w:tcW w:w="1340" w:type="dxa"/>
            <w:vAlign w:val="bottom"/>
          </w:tcPr>
          <w:p>
            <w:pPr>
              <w:spacing w:after="0"/>
              <w:rPr>
                <w:sz w:val="12"/>
                <w:szCs w:val="12"/>
                <w:color w:val="auto"/>
              </w:rPr>
            </w:pPr>
          </w:p>
        </w:tc>
        <w:tc>
          <w:tcPr>
            <w:tcW w:w="9760" w:type="dxa"/>
            <w:vAlign w:val="bottom"/>
            <w:tcBorders>
              <w:top w:val="single" w:sz="8" w:color="0000FF"/>
              <w:bottom w:val="single" w:sz="8" w:color="0000FF"/>
            </w:tcBorders>
            <w:gridSpan w:val="26"/>
          </w:tcPr>
          <w:p>
            <w:pPr>
              <w:spacing w:after="0" w:line="142" w:lineRule="exact"/>
              <w:rPr>
                <w:rFonts w:ascii="Arial" w:cs="Arial" w:eastAsia="Arial" w:hAnsi="Arial"/>
                <w:sz w:val="16"/>
                <w:szCs w:val="16"/>
                <w:color w:val="0000FF"/>
              </w:rPr>
            </w:pPr>
            <w:hyperlink r:id="rId111">
              <w:r>
                <w:rPr>
                  <w:rFonts w:ascii="Arial" w:cs="Arial" w:eastAsia="Arial" w:hAnsi="Arial"/>
                  <w:sz w:val="16"/>
                  <w:szCs w:val="16"/>
                  <w:color w:val="0000FF"/>
                </w:rPr>
                <w:t>of September 1, 1999 (filed as Exhibit 4.19 to the Registrant’s Post-Effective Amendment No. 1 to the Registrant’s Registration Statement</w:t>
              </w:r>
            </w:hyperlink>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60" w:type="dxa"/>
            <w:vAlign w:val="bottom"/>
            <w:gridSpan w:val="29"/>
          </w:tcPr>
          <w:p>
            <w:pPr>
              <w:spacing w:after="0" w:line="142" w:lineRule="exact"/>
              <w:rPr>
                <w:rFonts w:ascii="Arial" w:cs="Arial" w:eastAsia="Arial" w:hAnsi="Arial"/>
                <w:sz w:val="16"/>
                <w:szCs w:val="16"/>
                <w:color w:val="0000FF"/>
              </w:rPr>
            </w:pPr>
            <w:hyperlink r:id="rId111">
              <w:r>
                <w:rPr>
                  <w:rFonts w:ascii="Arial" w:cs="Arial" w:eastAsia="Arial" w:hAnsi="Arial"/>
                  <w:sz w:val="16"/>
                  <w:szCs w:val="16"/>
                  <w:color w:val="0000FF"/>
                </w:rPr>
                <w:t>on Form S-3 (No. 333-150669)).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1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340" w:type="dxa"/>
            <w:vAlign w:val="bottom"/>
            <w:shd w:val="clear" w:color="auto" w:fill="CEFFE7"/>
          </w:tcPr>
          <w:p>
            <w:pPr>
              <w:ind w:left="240"/>
              <w:spacing w:after="0" w:line="175" w:lineRule="exact"/>
              <w:rPr>
                <w:sz w:val="20"/>
                <w:szCs w:val="20"/>
                <w:color w:val="auto"/>
              </w:rPr>
            </w:pPr>
            <w:r>
              <w:rPr>
                <w:rFonts w:ascii="Arial" w:cs="Arial" w:eastAsia="Arial" w:hAnsi="Arial"/>
                <w:sz w:val="16"/>
                <w:szCs w:val="16"/>
                <w:color w:val="auto"/>
              </w:rPr>
              <w:t>4.2.1</w:t>
            </w:r>
          </w:p>
        </w:tc>
        <w:tc>
          <w:tcPr>
            <w:tcW w:w="100" w:type="dxa"/>
            <w:vAlign w:val="bottom"/>
            <w:shd w:val="clear" w:color="auto" w:fill="CEFFE7"/>
          </w:tcPr>
          <w:p>
            <w:pPr>
              <w:spacing w:after="0"/>
              <w:rPr>
                <w:sz w:val="15"/>
                <w:szCs w:val="15"/>
                <w:color w:val="auto"/>
              </w:rPr>
            </w:pPr>
          </w:p>
        </w:tc>
        <w:tc>
          <w:tcPr>
            <w:tcW w:w="9800" w:type="dxa"/>
            <w:vAlign w:val="bottom"/>
            <w:gridSpan w:val="30"/>
            <w:shd w:val="clear" w:color="auto" w:fill="CEFFE7"/>
          </w:tcPr>
          <w:p>
            <w:pPr>
              <w:spacing w:after="0" w:line="175" w:lineRule="exact"/>
              <w:rPr>
                <w:rFonts w:ascii="Arial" w:cs="Arial" w:eastAsia="Arial" w:hAnsi="Arial"/>
                <w:sz w:val="16"/>
                <w:szCs w:val="16"/>
                <w:color w:val="0000FF"/>
              </w:rPr>
            </w:pPr>
            <w:hyperlink r:id="rId112">
              <w:r>
                <w:rPr>
                  <w:rFonts w:ascii="Arial" w:cs="Arial" w:eastAsia="Arial" w:hAnsi="Arial"/>
                  <w:sz w:val="16"/>
                  <w:szCs w:val="16"/>
                  <w:color w:val="0000FF"/>
                </w:rPr>
                <w:t>First Supplemental Indenture, dated as of August 13, 2002, between Black Hills Power, Inc. and The Bank of New York Mellon (as</w:t>
              </w:r>
            </w:hyperlink>
          </w:p>
        </w:tc>
      </w:tr>
      <w:tr>
        <w:trPr>
          <w:trHeight w:val="142"/>
        </w:trPr>
        <w:tc>
          <w:tcPr>
            <w:tcW w:w="1340" w:type="dxa"/>
            <w:vAlign w:val="bottom"/>
            <w:tcBorders>
              <w:top w:val="single" w:sz="8" w:color="CEFFE7"/>
            </w:tcBorders>
            <w:shd w:val="clear" w:color="auto" w:fill="CEFFE7"/>
          </w:tcPr>
          <w:p>
            <w:pPr>
              <w:spacing w:after="0"/>
              <w:rPr>
                <w:sz w:val="12"/>
                <w:szCs w:val="12"/>
                <w:color w:val="auto"/>
              </w:rPr>
            </w:pPr>
          </w:p>
        </w:tc>
        <w:tc>
          <w:tcPr>
            <w:tcW w:w="100" w:type="dxa"/>
            <w:vAlign w:val="bottom"/>
            <w:tcBorders>
              <w:top w:val="single" w:sz="8" w:color="CEFFE7"/>
            </w:tcBorders>
            <w:shd w:val="clear" w:color="auto" w:fill="CEFFE7"/>
          </w:tcPr>
          <w:p>
            <w:pPr>
              <w:spacing w:after="0"/>
              <w:rPr>
                <w:sz w:val="12"/>
                <w:szCs w:val="12"/>
                <w:color w:val="auto"/>
              </w:rPr>
            </w:pPr>
          </w:p>
        </w:tc>
        <w:tc>
          <w:tcPr>
            <w:tcW w:w="9300" w:type="dxa"/>
            <w:vAlign w:val="bottom"/>
            <w:tcBorders>
              <w:top w:val="single" w:sz="8" w:color="0000FF"/>
            </w:tcBorders>
            <w:gridSpan w:val="15"/>
            <w:shd w:val="clear" w:color="auto" w:fill="CEFFE7"/>
          </w:tcPr>
          <w:p>
            <w:pPr>
              <w:spacing w:after="0" w:line="142" w:lineRule="exact"/>
              <w:rPr>
                <w:rFonts w:ascii="Arial" w:cs="Arial" w:eastAsia="Arial" w:hAnsi="Arial"/>
                <w:sz w:val="16"/>
                <w:szCs w:val="16"/>
                <w:color w:val="0000FF"/>
              </w:rPr>
            </w:pPr>
            <w:hyperlink r:id="rId112">
              <w:r>
                <w:rPr>
                  <w:rFonts w:ascii="Arial" w:cs="Arial" w:eastAsia="Arial" w:hAnsi="Arial"/>
                  <w:sz w:val="16"/>
                  <w:szCs w:val="16"/>
                  <w:color w:val="0000FF"/>
                </w:rPr>
                <w:t>successor to JPMorgan Chase Bank), as Trustee (filed as Exhibit 4.20 to the Registrant’s Post-Effective Amendment No. 1 to the</w:t>
              </w:r>
            </w:hyperlink>
          </w:p>
        </w:tc>
        <w:tc>
          <w:tcPr>
            <w:tcW w:w="80" w:type="dxa"/>
            <w:vAlign w:val="bottom"/>
            <w:tcBorders>
              <w:top w:val="single" w:sz="8" w:color="CEFFE7"/>
            </w:tcBorders>
            <w:gridSpan w:val="2"/>
            <w:shd w:val="clear" w:color="auto" w:fill="CEFFE7"/>
          </w:tcPr>
          <w:p>
            <w:pPr>
              <w:spacing w:after="0"/>
              <w:rPr>
                <w:sz w:val="12"/>
                <w:szCs w:val="12"/>
                <w:color w:val="auto"/>
              </w:rPr>
            </w:pPr>
          </w:p>
        </w:tc>
        <w:tc>
          <w:tcPr>
            <w:tcW w:w="80" w:type="dxa"/>
            <w:vAlign w:val="bottom"/>
            <w:tcBorders>
              <w:top w:val="single" w:sz="8" w:color="CEFFE7"/>
            </w:tcBorders>
            <w:shd w:val="clear" w:color="auto" w:fill="CEFFE7"/>
          </w:tcPr>
          <w:p>
            <w:pPr>
              <w:spacing w:after="0"/>
              <w:rPr>
                <w:sz w:val="12"/>
                <w:szCs w:val="12"/>
                <w:color w:val="auto"/>
              </w:rPr>
            </w:pPr>
          </w:p>
        </w:tc>
        <w:tc>
          <w:tcPr>
            <w:tcW w:w="20" w:type="dxa"/>
            <w:vAlign w:val="bottom"/>
            <w:tcBorders>
              <w:top w:val="single" w:sz="8" w:color="CEFFE7"/>
            </w:tcBorders>
            <w:shd w:val="clear" w:color="auto" w:fill="CEFFE7"/>
          </w:tcPr>
          <w:p>
            <w:pPr>
              <w:spacing w:after="0"/>
              <w:rPr>
                <w:sz w:val="12"/>
                <w:szCs w:val="12"/>
                <w:color w:val="auto"/>
              </w:rPr>
            </w:pPr>
          </w:p>
        </w:tc>
        <w:tc>
          <w:tcPr>
            <w:tcW w:w="40" w:type="dxa"/>
            <w:vAlign w:val="bottom"/>
            <w:tcBorders>
              <w:top w:val="single" w:sz="8" w:color="CEFFE7"/>
            </w:tcBorders>
            <w:shd w:val="clear" w:color="auto" w:fill="CEFFE7"/>
          </w:tcPr>
          <w:p>
            <w:pPr>
              <w:spacing w:after="0"/>
              <w:rPr>
                <w:sz w:val="12"/>
                <w:szCs w:val="12"/>
                <w:color w:val="auto"/>
              </w:rPr>
            </w:pPr>
          </w:p>
        </w:tc>
        <w:tc>
          <w:tcPr>
            <w:tcW w:w="40" w:type="dxa"/>
            <w:vAlign w:val="bottom"/>
            <w:tcBorders>
              <w:top w:val="single" w:sz="8" w:color="CEFFE7"/>
            </w:tcBorders>
            <w:shd w:val="clear" w:color="auto" w:fill="CEFFE7"/>
          </w:tcPr>
          <w:p>
            <w:pPr>
              <w:spacing w:after="0"/>
              <w:rPr>
                <w:sz w:val="12"/>
                <w:szCs w:val="12"/>
                <w:color w:val="auto"/>
              </w:rPr>
            </w:pPr>
          </w:p>
        </w:tc>
        <w:tc>
          <w:tcPr>
            <w:tcW w:w="40" w:type="dxa"/>
            <w:vAlign w:val="bottom"/>
            <w:tcBorders>
              <w:top w:val="single" w:sz="8" w:color="CEFFE7"/>
            </w:tcBorders>
            <w:gridSpan w:val="2"/>
            <w:shd w:val="clear" w:color="auto" w:fill="CEFFE7"/>
          </w:tcPr>
          <w:p>
            <w:pPr>
              <w:spacing w:after="0"/>
              <w:rPr>
                <w:sz w:val="12"/>
                <w:szCs w:val="12"/>
                <w:color w:val="auto"/>
              </w:rPr>
            </w:pPr>
          </w:p>
        </w:tc>
        <w:tc>
          <w:tcPr>
            <w:tcW w:w="80" w:type="dxa"/>
            <w:vAlign w:val="bottom"/>
            <w:tcBorders>
              <w:top w:val="single" w:sz="8" w:color="CEFFE7"/>
            </w:tcBorders>
            <w:gridSpan w:val="3"/>
            <w:shd w:val="clear" w:color="auto" w:fill="CEFFE7"/>
          </w:tcPr>
          <w:p>
            <w:pPr>
              <w:spacing w:after="0"/>
              <w:rPr>
                <w:sz w:val="12"/>
                <w:szCs w:val="12"/>
                <w:color w:val="auto"/>
              </w:rPr>
            </w:pPr>
          </w:p>
        </w:tc>
        <w:tc>
          <w:tcPr>
            <w:tcW w:w="60" w:type="dxa"/>
            <w:vAlign w:val="bottom"/>
            <w:tcBorders>
              <w:top w:val="single" w:sz="8" w:color="CEFFE7"/>
            </w:tcBorders>
            <w:shd w:val="clear" w:color="auto" w:fill="CEFFE7"/>
          </w:tcPr>
          <w:p>
            <w:pPr>
              <w:spacing w:after="0"/>
              <w:rPr>
                <w:sz w:val="12"/>
                <w:szCs w:val="12"/>
                <w:color w:val="auto"/>
              </w:rPr>
            </w:pPr>
          </w:p>
        </w:tc>
        <w:tc>
          <w:tcPr>
            <w:tcW w:w="40" w:type="dxa"/>
            <w:vAlign w:val="bottom"/>
            <w:tcBorders>
              <w:top w:val="single" w:sz="8" w:color="CEFFE7"/>
            </w:tcBorders>
            <w:gridSpan w:val="2"/>
            <w:shd w:val="clear" w:color="auto" w:fill="CEFFE7"/>
          </w:tcPr>
          <w:p>
            <w:pPr>
              <w:spacing w:after="0"/>
              <w:rPr>
                <w:sz w:val="12"/>
                <w:szCs w:val="12"/>
                <w:color w:val="auto"/>
              </w:rPr>
            </w:pPr>
          </w:p>
        </w:tc>
        <w:tc>
          <w:tcPr>
            <w:tcW w:w="20" w:type="dxa"/>
            <w:vAlign w:val="bottom"/>
            <w:tcBorders>
              <w:top w:val="single" w:sz="8" w:color="CEFFE7"/>
            </w:tcBorders>
            <w:shd w:val="clear" w:color="auto" w:fill="CEFFE7"/>
          </w:tcPr>
          <w:p>
            <w:pPr>
              <w:spacing w:after="0"/>
              <w:rPr>
                <w:sz w:val="12"/>
                <w:szCs w:val="12"/>
                <w:color w:val="auto"/>
              </w:rPr>
            </w:pPr>
          </w:p>
        </w:tc>
      </w:tr>
      <w:tr>
        <w:trPr>
          <w:trHeight w:val="142"/>
        </w:trPr>
        <w:tc>
          <w:tcPr>
            <w:tcW w:w="1340" w:type="dxa"/>
            <w:vAlign w:val="bottom"/>
            <w:tcBorders>
              <w:top w:val="single" w:sz="8" w:color="CEFFE7"/>
            </w:tcBorders>
            <w:shd w:val="clear" w:color="auto" w:fill="CEFFE7"/>
          </w:tcPr>
          <w:p>
            <w:pPr>
              <w:spacing w:after="0"/>
              <w:rPr>
                <w:sz w:val="12"/>
                <w:szCs w:val="12"/>
                <w:color w:val="auto"/>
              </w:rPr>
            </w:pPr>
          </w:p>
        </w:tc>
        <w:tc>
          <w:tcPr>
            <w:tcW w:w="100" w:type="dxa"/>
            <w:vAlign w:val="bottom"/>
            <w:tcBorders>
              <w:top w:val="single" w:sz="8" w:color="CEFFE7"/>
            </w:tcBorders>
            <w:shd w:val="clear" w:color="auto" w:fill="CEFFE7"/>
          </w:tcPr>
          <w:p>
            <w:pPr>
              <w:spacing w:after="0"/>
              <w:rPr>
                <w:sz w:val="12"/>
                <w:szCs w:val="12"/>
                <w:color w:val="auto"/>
              </w:rPr>
            </w:pPr>
          </w:p>
        </w:tc>
        <w:tc>
          <w:tcPr>
            <w:tcW w:w="9220" w:type="dxa"/>
            <w:vAlign w:val="bottom"/>
            <w:tcBorders>
              <w:top w:val="single" w:sz="8" w:color="0000FF"/>
            </w:tcBorders>
            <w:gridSpan w:val="11"/>
            <w:shd w:val="clear" w:color="auto" w:fill="CEFFE7"/>
          </w:tcPr>
          <w:p>
            <w:pPr>
              <w:spacing w:after="0" w:line="142" w:lineRule="exact"/>
              <w:rPr>
                <w:rFonts w:ascii="Arial" w:cs="Arial" w:eastAsia="Arial" w:hAnsi="Arial"/>
                <w:sz w:val="16"/>
                <w:szCs w:val="16"/>
                <w:color w:val="0000FF"/>
              </w:rPr>
            </w:pPr>
            <w:hyperlink r:id="rId112">
              <w:r>
                <w:rPr>
                  <w:rFonts w:ascii="Arial" w:cs="Arial" w:eastAsia="Arial" w:hAnsi="Arial"/>
                  <w:sz w:val="16"/>
                  <w:szCs w:val="16"/>
                  <w:color w:val="0000FF"/>
                </w:rPr>
                <w:t>Registrant’s Registration Statement on Form S</w:t>
              </w:r>
              <w:r>
                <w:rPr>
                  <w:rFonts w:ascii="MS PGothic" w:cs="MS PGothic" w:eastAsia="MS PGothic" w:hAnsi="MS PGothic"/>
                  <w:sz w:val="16"/>
                  <w:szCs w:val="16"/>
                  <w:color w:val="0000FF"/>
                </w:rPr>
                <w:t>‑</w:t>
              </w:r>
              <w:r>
                <w:rPr>
                  <w:rFonts w:ascii="Arial" w:cs="Arial" w:eastAsia="Arial" w:hAnsi="Arial"/>
                  <w:sz w:val="16"/>
                  <w:szCs w:val="16"/>
                  <w:color w:val="0000FF"/>
                </w:rPr>
                <w:t>3 (No. 333</w:t>
              </w:r>
              <w:r>
                <w:rPr>
                  <w:rFonts w:ascii="MS PGothic" w:cs="MS PGothic" w:eastAsia="MS PGothic" w:hAnsi="MS PGothic"/>
                  <w:sz w:val="16"/>
                  <w:szCs w:val="16"/>
                  <w:color w:val="0000FF"/>
                </w:rPr>
                <w:t>‑</w:t>
              </w:r>
              <w:r>
                <w:rPr>
                  <w:rFonts w:ascii="Arial" w:cs="Arial" w:eastAsia="Arial" w:hAnsi="Arial"/>
                  <w:sz w:val="16"/>
                  <w:szCs w:val="16"/>
                  <w:color w:val="0000FF"/>
                </w:rPr>
                <w:t>150669)).</w:t>
              </w:r>
            </w:hyperlink>
          </w:p>
        </w:tc>
        <w:tc>
          <w:tcPr>
            <w:tcW w:w="20" w:type="dxa"/>
            <w:vAlign w:val="bottom"/>
            <w:tcBorders>
              <w:top w:val="single" w:sz="8" w:color="CEFFE7"/>
            </w:tcBorders>
            <w:shd w:val="clear" w:color="auto" w:fill="CEFFE7"/>
          </w:tcPr>
          <w:p>
            <w:pPr>
              <w:spacing w:after="0"/>
              <w:rPr>
                <w:sz w:val="12"/>
                <w:szCs w:val="12"/>
                <w:color w:val="auto"/>
              </w:rPr>
            </w:pPr>
          </w:p>
        </w:tc>
        <w:tc>
          <w:tcPr>
            <w:tcW w:w="20" w:type="dxa"/>
            <w:vAlign w:val="bottom"/>
            <w:tcBorders>
              <w:top w:val="single" w:sz="8" w:color="CEFFE7"/>
            </w:tcBorders>
            <w:shd w:val="clear" w:color="auto" w:fill="CEFFE7"/>
          </w:tcPr>
          <w:p>
            <w:pPr>
              <w:spacing w:after="0"/>
              <w:rPr>
                <w:sz w:val="12"/>
                <w:szCs w:val="12"/>
                <w:color w:val="auto"/>
              </w:rPr>
            </w:pPr>
          </w:p>
        </w:tc>
        <w:tc>
          <w:tcPr>
            <w:tcW w:w="20" w:type="dxa"/>
            <w:vAlign w:val="bottom"/>
            <w:tcBorders>
              <w:top w:val="single" w:sz="8" w:color="CEFFE7"/>
            </w:tcBorders>
            <w:shd w:val="clear" w:color="auto" w:fill="CEFFE7"/>
          </w:tcPr>
          <w:p>
            <w:pPr>
              <w:spacing w:after="0"/>
              <w:rPr>
                <w:sz w:val="12"/>
                <w:szCs w:val="12"/>
                <w:color w:val="auto"/>
              </w:rPr>
            </w:pPr>
          </w:p>
        </w:tc>
        <w:tc>
          <w:tcPr>
            <w:tcW w:w="100" w:type="dxa"/>
            <w:vAlign w:val="bottom"/>
            <w:tcBorders>
              <w:top w:val="single" w:sz="8" w:color="CEFFE7"/>
            </w:tcBorders>
            <w:gridSpan w:val="3"/>
            <w:shd w:val="clear" w:color="auto" w:fill="CEFFE7"/>
          </w:tcPr>
          <w:p>
            <w:pPr>
              <w:spacing w:after="0"/>
              <w:rPr>
                <w:sz w:val="12"/>
                <w:szCs w:val="12"/>
                <w:color w:val="auto"/>
              </w:rPr>
            </w:pPr>
          </w:p>
        </w:tc>
        <w:tc>
          <w:tcPr>
            <w:tcW w:w="80" w:type="dxa"/>
            <w:vAlign w:val="bottom"/>
            <w:tcBorders>
              <w:top w:val="single" w:sz="8" w:color="CEFFE7"/>
            </w:tcBorders>
            <w:shd w:val="clear" w:color="auto" w:fill="CEFFE7"/>
          </w:tcPr>
          <w:p>
            <w:pPr>
              <w:spacing w:after="0"/>
              <w:rPr>
                <w:sz w:val="12"/>
                <w:szCs w:val="12"/>
                <w:color w:val="auto"/>
              </w:rPr>
            </w:pPr>
          </w:p>
        </w:tc>
        <w:tc>
          <w:tcPr>
            <w:tcW w:w="20" w:type="dxa"/>
            <w:vAlign w:val="bottom"/>
            <w:tcBorders>
              <w:top w:val="single" w:sz="8" w:color="CEFFE7"/>
            </w:tcBorders>
            <w:shd w:val="clear" w:color="auto" w:fill="CEFFE7"/>
          </w:tcPr>
          <w:p>
            <w:pPr>
              <w:spacing w:after="0"/>
              <w:rPr>
                <w:sz w:val="12"/>
                <w:szCs w:val="12"/>
                <w:color w:val="auto"/>
              </w:rPr>
            </w:pPr>
          </w:p>
        </w:tc>
        <w:tc>
          <w:tcPr>
            <w:tcW w:w="40" w:type="dxa"/>
            <w:vAlign w:val="bottom"/>
            <w:tcBorders>
              <w:top w:val="single" w:sz="8" w:color="CEFFE7"/>
            </w:tcBorders>
            <w:shd w:val="clear" w:color="auto" w:fill="CEFFE7"/>
          </w:tcPr>
          <w:p>
            <w:pPr>
              <w:spacing w:after="0"/>
              <w:rPr>
                <w:sz w:val="12"/>
                <w:szCs w:val="12"/>
                <w:color w:val="auto"/>
              </w:rPr>
            </w:pPr>
          </w:p>
        </w:tc>
        <w:tc>
          <w:tcPr>
            <w:tcW w:w="40" w:type="dxa"/>
            <w:vAlign w:val="bottom"/>
            <w:tcBorders>
              <w:top w:val="single" w:sz="8" w:color="CEFFE7"/>
            </w:tcBorders>
            <w:shd w:val="clear" w:color="auto" w:fill="CEFFE7"/>
          </w:tcPr>
          <w:p>
            <w:pPr>
              <w:spacing w:after="0"/>
              <w:rPr>
                <w:sz w:val="12"/>
                <w:szCs w:val="12"/>
                <w:color w:val="auto"/>
              </w:rPr>
            </w:pPr>
          </w:p>
        </w:tc>
        <w:tc>
          <w:tcPr>
            <w:tcW w:w="40" w:type="dxa"/>
            <w:vAlign w:val="bottom"/>
            <w:tcBorders>
              <w:top w:val="single" w:sz="8" w:color="CEFFE7"/>
            </w:tcBorders>
            <w:gridSpan w:val="2"/>
            <w:shd w:val="clear" w:color="auto" w:fill="CEFFE7"/>
          </w:tcPr>
          <w:p>
            <w:pPr>
              <w:spacing w:after="0"/>
              <w:rPr>
                <w:sz w:val="12"/>
                <w:szCs w:val="12"/>
                <w:color w:val="auto"/>
              </w:rPr>
            </w:pPr>
          </w:p>
        </w:tc>
        <w:tc>
          <w:tcPr>
            <w:tcW w:w="80" w:type="dxa"/>
            <w:vAlign w:val="bottom"/>
            <w:tcBorders>
              <w:top w:val="single" w:sz="8" w:color="CEFFE7"/>
            </w:tcBorders>
            <w:gridSpan w:val="3"/>
            <w:shd w:val="clear" w:color="auto" w:fill="CEFFE7"/>
          </w:tcPr>
          <w:p>
            <w:pPr>
              <w:spacing w:after="0"/>
              <w:rPr>
                <w:sz w:val="12"/>
                <w:szCs w:val="12"/>
                <w:color w:val="auto"/>
              </w:rPr>
            </w:pPr>
          </w:p>
        </w:tc>
        <w:tc>
          <w:tcPr>
            <w:tcW w:w="60" w:type="dxa"/>
            <w:vAlign w:val="bottom"/>
            <w:tcBorders>
              <w:top w:val="single" w:sz="8" w:color="CEFFE7"/>
            </w:tcBorders>
            <w:shd w:val="clear" w:color="auto" w:fill="CEFFE7"/>
          </w:tcPr>
          <w:p>
            <w:pPr>
              <w:spacing w:after="0"/>
              <w:rPr>
                <w:sz w:val="12"/>
                <w:szCs w:val="12"/>
                <w:color w:val="auto"/>
              </w:rPr>
            </w:pPr>
          </w:p>
        </w:tc>
        <w:tc>
          <w:tcPr>
            <w:tcW w:w="40" w:type="dxa"/>
            <w:vAlign w:val="bottom"/>
            <w:tcBorders>
              <w:top w:val="single" w:sz="8" w:color="CEFFE7"/>
            </w:tcBorders>
            <w:gridSpan w:val="2"/>
            <w:shd w:val="clear" w:color="auto" w:fill="CEFFE7"/>
          </w:tcPr>
          <w:p>
            <w:pPr>
              <w:spacing w:after="0"/>
              <w:rPr>
                <w:sz w:val="12"/>
                <w:szCs w:val="12"/>
                <w:color w:val="auto"/>
              </w:rPr>
            </w:pPr>
          </w:p>
        </w:tc>
        <w:tc>
          <w:tcPr>
            <w:tcW w:w="20" w:type="dxa"/>
            <w:vAlign w:val="bottom"/>
            <w:tcBorders>
              <w:top w:val="single" w:sz="8" w:color="CEFFE7"/>
            </w:tcBorders>
            <w:shd w:val="clear" w:color="auto" w:fill="CEFFE7"/>
          </w:tcPr>
          <w:p>
            <w:pPr>
              <w:spacing w:after="0"/>
              <w:rPr>
                <w:sz w:val="12"/>
                <w:szCs w:val="12"/>
                <w:color w:val="auto"/>
              </w:rPr>
            </w:pPr>
          </w:p>
        </w:tc>
      </w:tr>
      <w:tr>
        <w:trPr>
          <w:trHeight w:val="21"/>
        </w:trPr>
        <w:tc>
          <w:tcPr>
            <w:tcW w:w="13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440" w:type="dxa"/>
            <w:vAlign w:val="bottom"/>
            <w:tcBorders>
              <w:top w:val="single" w:sz="8" w:color="0000FF"/>
            </w:tcBorders>
            <w:shd w:val="clear" w:color="auto" w:fill="CEFFE7"/>
          </w:tcPr>
          <w:p>
            <w:pPr>
              <w:spacing w:after="0" w:line="20" w:lineRule="exact"/>
              <w:rPr>
                <w:sz w:val="1"/>
                <w:szCs w:val="1"/>
                <w:color w:val="auto"/>
              </w:rPr>
            </w:pPr>
          </w:p>
        </w:tc>
        <w:tc>
          <w:tcPr>
            <w:tcW w:w="1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0000FF"/>
            </w:tcBorders>
            <w:shd w:val="clear" w:color="auto" w:fill="CEFFE7"/>
          </w:tcPr>
          <w:p>
            <w:pPr>
              <w:spacing w:after="0" w:line="20" w:lineRule="exact"/>
              <w:rPr>
                <w:sz w:val="1"/>
                <w:szCs w:val="1"/>
                <w:color w:val="auto"/>
              </w:rPr>
            </w:pPr>
          </w:p>
        </w:tc>
        <w:tc>
          <w:tcPr>
            <w:tcW w:w="1220" w:type="dxa"/>
            <w:vAlign w:val="bottom"/>
            <w:tcBorders>
              <w:top w:val="single" w:sz="8" w:color="0000FF"/>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2480" w:type="dxa"/>
            <w:vAlign w:val="bottom"/>
            <w:tcBorders>
              <w:top w:val="single" w:sz="8" w:color="CEFFE7"/>
            </w:tcBorders>
            <w:shd w:val="clear" w:color="auto" w:fill="CEFFE7"/>
          </w:tcPr>
          <w:p>
            <w:pPr>
              <w:spacing w:after="0" w:line="20" w:lineRule="exact"/>
              <w:rPr>
                <w:sz w:val="1"/>
                <w:szCs w:val="1"/>
                <w:color w:val="auto"/>
              </w:rPr>
            </w:pPr>
          </w:p>
        </w:tc>
        <w:tc>
          <w:tcPr>
            <w:tcW w:w="18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1340" w:type="dxa"/>
            <w:vAlign w:val="bottom"/>
          </w:tcPr>
          <w:p>
            <w:pPr>
              <w:ind w:left="240"/>
              <w:spacing w:after="0" w:line="175" w:lineRule="exact"/>
              <w:rPr>
                <w:sz w:val="20"/>
                <w:szCs w:val="20"/>
                <w:color w:val="auto"/>
              </w:rPr>
            </w:pPr>
            <w:r>
              <w:rPr>
                <w:rFonts w:ascii="Arial" w:cs="Arial" w:eastAsia="Arial" w:hAnsi="Arial"/>
                <w:sz w:val="16"/>
                <w:szCs w:val="16"/>
                <w:color w:val="auto"/>
              </w:rPr>
              <w:t>4.2.2</w:t>
            </w:r>
          </w:p>
        </w:tc>
        <w:tc>
          <w:tcPr>
            <w:tcW w:w="100" w:type="dxa"/>
            <w:vAlign w:val="bottom"/>
          </w:tcPr>
          <w:p>
            <w:pPr>
              <w:spacing w:after="0"/>
              <w:rPr>
                <w:sz w:val="15"/>
                <w:szCs w:val="15"/>
                <w:color w:val="auto"/>
              </w:rPr>
            </w:pPr>
          </w:p>
        </w:tc>
        <w:tc>
          <w:tcPr>
            <w:tcW w:w="9800" w:type="dxa"/>
            <w:vAlign w:val="bottom"/>
            <w:gridSpan w:val="30"/>
          </w:tcPr>
          <w:p>
            <w:pPr>
              <w:spacing w:after="0" w:line="175" w:lineRule="exact"/>
              <w:rPr>
                <w:rFonts w:ascii="Arial" w:cs="Arial" w:eastAsia="Arial" w:hAnsi="Arial"/>
                <w:sz w:val="16"/>
                <w:szCs w:val="16"/>
                <w:color w:val="0000FF"/>
              </w:rPr>
            </w:pPr>
            <w:hyperlink r:id="rId113">
              <w:r>
                <w:rPr>
                  <w:rFonts w:ascii="Arial" w:cs="Arial" w:eastAsia="Arial" w:hAnsi="Arial"/>
                  <w:sz w:val="16"/>
                  <w:szCs w:val="16"/>
                  <w:color w:val="0000FF"/>
                </w:rPr>
                <w:t>Second Supplemental Indenture, dated as of October 27, 2009, between Black Hills Power, Inc. and The Bank of New York Mellon (filed</w:t>
              </w:r>
            </w:hyperlink>
          </w:p>
        </w:tc>
      </w:tr>
      <w:tr>
        <w:trPr>
          <w:trHeight w:val="142"/>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74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13">
              <w:r>
                <w:rPr>
                  <w:rFonts w:ascii="Arial" w:cs="Arial" w:eastAsia="Arial" w:hAnsi="Arial"/>
                  <w:sz w:val="16"/>
                  <w:szCs w:val="16"/>
                  <w:color w:val="0000FF"/>
                </w:rPr>
                <w:t>as Exhibit 4.21 to the Registrant’s Post-Effective Amendment No. 2 to the Registrant’s Registration Statement on Form S-3 (No. 333-</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0000FF"/>
            </w:tcBorders>
            <w:gridSpan w:val="3"/>
          </w:tcPr>
          <w:p>
            <w:pPr>
              <w:spacing w:after="0" w:line="142" w:lineRule="exact"/>
              <w:rPr>
                <w:rFonts w:ascii="Arial" w:cs="Arial" w:eastAsia="Arial" w:hAnsi="Arial"/>
                <w:sz w:val="16"/>
                <w:szCs w:val="16"/>
                <w:color w:val="0000FF"/>
              </w:rPr>
            </w:pPr>
            <w:hyperlink r:id="rId113">
              <w:r>
                <w:rPr>
                  <w:rFonts w:ascii="Arial" w:cs="Arial" w:eastAsia="Arial" w:hAnsi="Arial"/>
                  <w:sz w:val="16"/>
                  <w:szCs w:val="16"/>
                  <w:color w:val="0000FF"/>
                </w:rPr>
                <w:t>150669)</w:t>
              </w:r>
              <w:r>
                <w:rPr>
                  <w:rFonts w:ascii="Arial" w:cs="Arial" w:eastAsia="Arial" w:hAnsi="Arial"/>
                  <w:sz w:val="16"/>
                  <w:szCs w:val="16"/>
                  <w:u w:val="single" w:color="auto"/>
                  <w:color w:val="0000FF"/>
                </w:rPr>
                <w:t>)</w:t>
              </w:r>
              <w:r>
                <w:rPr>
                  <w:rFonts w:ascii="Arial" w:cs="Arial" w:eastAsia="Arial" w:hAnsi="Arial"/>
                  <w:sz w:val="16"/>
                  <w:szCs w:val="16"/>
                  <w:color w:val="0000FF"/>
                </w:rPr>
                <w:t>.</w:t>
              </w:r>
            </w:hyperlink>
          </w:p>
        </w:tc>
        <w:tc>
          <w:tcPr>
            <w:tcW w:w="1440" w:type="dxa"/>
            <w:vAlign w:val="bottom"/>
            <w:tcBorders>
              <w:top w:val="single" w:sz="8" w:color="0000FF"/>
            </w:tcBorders>
          </w:tcPr>
          <w:p>
            <w:pPr>
              <w:spacing w:after="0"/>
              <w:rPr>
                <w:sz w:val="12"/>
                <w:szCs w:val="12"/>
                <w:color w:val="auto"/>
              </w:rPr>
            </w:pPr>
          </w:p>
        </w:tc>
        <w:tc>
          <w:tcPr>
            <w:tcW w:w="11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2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480" w:type="dxa"/>
            <w:vAlign w:val="bottom"/>
            <w:tcBorders>
              <w:top w:val="single" w:sz="8" w:color="0000FF"/>
            </w:tcBorders>
          </w:tcPr>
          <w:p>
            <w:pPr>
              <w:spacing w:after="0"/>
              <w:rPr>
                <w:sz w:val="12"/>
                <w:szCs w:val="12"/>
                <w:color w:val="auto"/>
              </w:rPr>
            </w:pPr>
          </w:p>
        </w:tc>
        <w:tc>
          <w:tcPr>
            <w:tcW w:w="18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340" w:type="dxa"/>
            <w:vAlign w:val="bottom"/>
            <w:shd w:val="clear" w:color="auto" w:fill="CEFFE7"/>
          </w:tcPr>
          <w:p>
            <w:pPr>
              <w:ind w:left="240"/>
              <w:spacing w:after="0" w:line="175" w:lineRule="exact"/>
              <w:rPr>
                <w:sz w:val="20"/>
                <w:szCs w:val="20"/>
                <w:color w:val="auto"/>
              </w:rPr>
            </w:pPr>
            <w:r>
              <w:rPr>
                <w:rFonts w:ascii="Arial" w:cs="Arial" w:eastAsia="Arial" w:hAnsi="Arial"/>
                <w:sz w:val="16"/>
                <w:szCs w:val="16"/>
                <w:color w:val="auto"/>
              </w:rPr>
              <w:t>4.2.3</w:t>
            </w:r>
          </w:p>
        </w:tc>
        <w:tc>
          <w:tcPr>
            <w:tcW w:w="100" w:type="dxa"/>
            <w:vAlign w:val="bottom"/>
            <w:shd w:val="clear" w:color="auto" w:fill="CEFFE7"/>
          </w:tcPr>
          <w:p>
            <w:pPr>
              <w:spacing w:after="0"/>
              <w:rPr>
                <w:sz w:val="15"/>
                <w:szCs w:val="15"/>
                <w:color w:val="auto"/>
              </w:rPr>
            </w:pPr>
          </w:p>
        </w:tc>
        <w:tc>
          <w:tcPr>
            <w:tcW w:w="9800" w:type="dxa"/>
            <w:vAlign w:val="bottom"/>
            <w:gridSpan w:val="30"/>
            <w:shd w:val="clear" w:color="auto" w:fill="CEFFE7"/>
          </w:tcPr>
          <w:p>
            <w:pPr>
              <w:spacing w:after="0" w:line="175" w:lineRule="exact"/>
              <w:rPr>
                <w:rFonts w:ascii="Arial" w:cs="Arial" w:eastAsia="Arial" w:hAnsi="Arial"/>
                <w:sz w:val="16"/>
                <w:szCs w:val="16"/>
                <w:color w:val="0000FF"/>
              </w:rPr>
            </w:pPr>
            <w:hyperlink r:id="rId114">
              <w:r>
                <w:rPr>
                  <w:rFonts w:ascii="Arial" w:cs="Arial" w:eastAsia="Arial" w:hAnsi="Arial"/>
                  <w:sz w:val="16"/>
                  <w:szCs w:val="16"/>
                  <w:color w:val="0000FF"/>
                </w:rPr>
                <w:t>Third Supplemental Indenture, dated as of October 1, 2014, between Black Hills Power, Inc. and The Bank of New York Mellon (filed as</w:t>
              </w:r>
            </w:hyperlink>
          </w:p>
        </w:tc>
      </w:tr>
      <w:tr>
        <w:trPr>
          <w:trHeight w:val="163"/>
        </w:trPr>
        <w:tc>
          <w:tcPr>
            <w:tcW w:w="1340" w:type="dxa"/>
            <w:vAlign w:val="bottom"/>
            <w:tcBorders>
              <w:top w:val="single" w:sz="8" w:color="CEFFE7"/>
              <w:bottom w:val="single" w:sz="8" w:color="CEFFE7"/>
            </w:tcBorders>
            <w:shd w:val="clear" w:color="auto" w:fill="CEFFE7"/>
          </w:tcPr>
          <w:p>
            <w:pPr>
              <w:spacing w:after="0"/>
              <w:rPr>
                <w:sz w:val="14"/>
                <w:szCs w:val="14"/>
                <w:color w:val="auto"/>
              </w:rPr>
            </w:pPr>
          </w:p>
        </w:tc>
        <w:tc>
          <w:tcPr>
            <w:tcW w:w="100" w:type="dxa"/>
            <w:vAlign w:val="bottom"/>
            <w:tcBorders>
              <w:top w:val="single" w:sz="8" w:color="CEFFE7"/>
              <w:bottom w:val="single" w:sz="8" w:color="CEFFE7"/>
            </w:tcBorders>
            <w:shd w:val="clear" w:color="auto" w:fill="CEFFE7"/>
          </w:tcPr>
          <w:p>
            <w:pPr>
              <w:spacing w:after="0"/>
              <w:rPr>
                <w:sz w:val="14"/>
                <w:szCs w:val="14"/>
                <w:color w:val="auto"/>
              </w:rPr>
            </w:pPr>
          </w:p>
        </w:tc>
        <w:tc>
          <w:tcPr>
            <w:tcW w:w="4800" w:type="dxa"/>
            <w:vAlign w:val="bottom"/>
            <w:tcBorders>
              <w:top w:val="single" w:sz="8" w:color="0000FF"/>
              <w:bottom w:val="single" w:sz="8" w:color="0000FF"/>
            </w:tcBorders>
            <w:gridSpan w:val="8"/>
            <w:shd w:val="clear" w:color="auto" w:fill="CEFFE7"/>
          </w:tcPr>
          <w:p>
            <w:pPr>
              <w:spacing w:after="0" w:line="142" w:lineRule="exact"/>
              <w:rPr>
                <w:rFonts w:ascii="Arial" w:cs="Arial" w:eastAsia="Arial" w:hAnsi="Arial"/>
                <w:sz w:val="16"/>
                <w:szCs w:val="16"/>
                <w:color w:val="0000FF"/>
              </w:rPr>
            </w:pPr>
            <w:hyperlink r:id="rId114">
              <w:r>
                <w:rPr>
                  <w:rFonts w:ascii="Arial" w:cs="Arial" w:eastAsia="Arial" w:hAnsi="Arial"/>
                  <w:sz w:val="16"/>
                  <w:szCs w:val="16"/>
                  <w:color w:val="0000FF"/>
                </w:rPr>
                <w:t>Exhibit 10.1 to the Registrant’s Form 8-K filed on October 2, 2014).</w:t>
              </w:r>
            </w:hyperlink>
          </w:p>
        </w:tc>
        <w:tc>
          <w:tcPr>
            <w:tcW w:w="4880" w:type="dxa"/>
            <w:vAlign w:val="bottom"/>
            <w:tcBorders>
              <w:top w:val="single" w:sz="8" w:color="0000FF"/>
              <w:bottom w:val="single" w:sz="8" w:color="CEFFE7"/>
            </w:tcBorders>
            <w:gridSpan w:val="18"/>
            <w:shd w:val="clear" w:color="auto" w:fill="CEFFE7"/>
          </w:tcPr>
          <w:p>
            <w:pPr>
              <w:spacing w:after="0"/>
              <w:rPr>
                <w:sz w:val="14"/>
                <w:szCs w:val="14"/>
                <w:color w:val="auto"/>
              </w:rPr>
            </w:pPr>
          </w:p>
        </w:tc>
        <w:tc>
          <w:tcPr>
            <w:tcW w:w="100" w:type="dxa"/>
            <w:vAlign w:val="bottom"/>
            <w:tcBorders>
              <w:top w:val="single" w:sz="8" w:color="CEFFE7"/>
              <w:bottom w:val="single" w:sz="8" w:color="CEFFE7"/>
            </w:tcBorders>
            <w:gridSpan w:val="3"/>
            <w:shd w:val="clear" w:color="auto" w:fill="CEFFE7"/>
          </w:tcPr>
          <w:p>
            <w:pPr>
              <w:spacing w:after="0"/>
              <w:rPr>
                <w:sz w:val="14"/>
                <w:szCs w:val="14"/>
                <w:color w:val="auto"/>
              </w:rPr>
            </w:pPr>
          </w:p>
        </w:tc>
        <w:tc>
          <w:tcPr>
            <w:tcW w:w="20" w:type="dxa"/>
            <w:vAlign w:val="bottom"/>
            <w:tcBorders>
              <w:top w:val="single" w:sz="8" w:color="CEFFE7"/>
              <w:bottom w:val="single" w:sz="8" w:color="CEFFE7"/>
            </w:tcBorders>
            <w:shd w:val="clear" w:color="auto" w:fill="CEFFE7"/>
          </w:tcPr>
          <w:p>
            <w:pPr>
              <w:spacing w:after="0"/>
              <w:rPr>
                <w:sz w:val="14"/>
                <w:szCs w:val="14"/>
                <w:color w:val="auto"/>
              </w:rPr>
            </w:pPr>
          </w:p>
        </w:tc>
      </w:tr>
      <w:tr>
        <w:trPr>
          <w:trHeight w:val="175"/>
        </w:trPr>
        <w:tc>
          <w:tcPr>
            <w:tcW w:w="1340" w:type="dxa"/>
            <w:vAlign w:val="bottom"/>
          </w:tcPr>
          <w:p>
            <w:pPr>
              <w:ind w:left="20"/>
              <w:spacing w:after="0" w:line="175" w:lineRule="exact"/>
              <w:rPr>
                <w:sz w:val="20"/>
                <w:szCs w:val="20"/>
                <w:color w:val="auto"/>
              </w:rPr>
            </w:pPr>
            <w:r>
              <w:rPr>
                <w:rFonts w:ascii="Arial" w:cs="Arial" w:eastAsia="Arial" w:hAnsi="Arial"/>
                <w:sz w:val="16"/>
                <w:szCs w:val="16"/>
                <w:color w:val="auto"/>
              </w:rPr>
              <w:t>4.3</w:t>
            </w:r>
          </w:p>
        </w:tc>
        <w:tc>
          <w:tcPr>
            <w:tcW w:w="9900" w:type="dxa"/>
            <w:vAlign w:val="bottom"/>
            <w:gridSpan w:val="31"/>
          </w:tcPr>
          <w:p>
            <w:pPr>
              <w:spacing w:after="0" w:line="175" w:lineRule="exact"/>
              <w:rPr>
                <w:rFonts w:ascii="Arial" w:cs="Arial" w:eastAsia="Arial" w:hAnsi="Arial"/>
                <w:sz w:val="16"/>
                <w:szCs w:val="16"/>
                <w:color w:val="0000FF"/>
              </w:rPr>
            </w:pPr>
            <w:hyperlink r:id="rId115">
              <w:r>
                <w:rPr>
                  <w:rFonts w:ascii="Arial" w:cs="Arial" w:eastAsia="Arial" w:hAnsi="Arial"/>
                  <w:sz w:val="16"/>
                  <w:szCs w:val="16"/>
                  <w:color w:val="0000FF"/>
                </w:rPr>
                <w:t>Restated Indenture of Mortgage, Deed of Trust, Security Agreement and Financing Statement, amended and restated as of November 20,</w:t>
              </w:r>
            </w:hyperlink>
          </w:p>
        </w:tc>
      </w:tr>
      <w:tr>
        <w:trPr>
          <w:trHeight w:val="142"/>
        </w:trPr>
        <w:tc>
          <w:tcPr>
            <w:tcW w:w="1340" w:type="dxa"/>
            <w:vAlign w:val="bottom"/>
          </w:tcPr>
          <w:p>
            <w:pPr>
              <w:spacing w:after="0"/>
              <w:rPr>
                <w:sz w:val="12"/>
                <w:szCs w:val="12"/>
                <w:color w:val="auto"/>
              </w:rPr>
            </w:pPr>
          </w:p>
        </w:tc>
        <w:tc>
          <w:tcPr>
            <w:tcW w:w="988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115">
              <w:r>
                <w:rPr>
                  <w:rFonts w:ascii="Arial" w:cs="Arial" w:eastAsia="Arial" w:hAnsi="Arial"/>
                  <w:sz w:val="16"/>
                  <w:szCs w:val="16"/>
                  <w:color w:val="0000FF"/>
                </w:rPr>
                <w:t>2007, between Cheyenne Light, Fuel and Power Company and Wells Fargo Bank, National Association (filed as Exhibit 10.2 to the</w:t>
              </w:r>
            </w:hyperlink>
          </w:p>
        </w:tc>
        <w:tc>
          <w:tcPr>
            <w:tcW w:w="2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36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115">
              <w:r>
                <w:rPr>
                  <w:rFonts w:ascii="Arial" w:cs="Arial" w:eastAsia="Arial" w:hAnsi="Arial"/>
                  <w:sz w:val="16"/>
                  <w:szCs w:val="16"/>
                  <w:color w:val="0000FF"/>
                </w:rPr>
                <w:t>Registrant’s Form 8-K filed on October 2, 2014).</w:t>
              </w:r>
            </w:hyperlink>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0" w:type="dxa"/>
            <w:vAlign w:val="bottom"/>
            <w:gridSpan w:val="7"/>
          </w:tcPr>
          <w:p>
            <w:pPr>
              <w:spacing w:after="0"/>
              <w:rPr>
                <w:sz w:val="12"/>
                <w:szCs w:val="12"/>
                <w:color w:val="auto"/>
              </w:rPr>
            </w:pPr>
          </w:p>
        </w:tc>
      </w:tr>
      <w:tr>
        <w:trPr>
          <w:trHeight w:val="21"/>
        </w:trPr>
        <w:tc>
          <w:tcPr>
            <w:tcW w:w="1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340" w:type="dxa"/>
            <w:vAlign w:val="bottom"/>
            <w:shd w:val="clear" w:color="auto" w:fill="CEFFE7"/>
          </w:tcPr>
          <w:p>
            <w:pPr>
              <w:ind w:left="240"/>
              <w:spacing w:after="0" w:line="175" w:lineRule="exact"/>
              <w:rPr>
                <w:sz w:val="20"/>
                <w:szCs w:val="20"/>
                <w:color w:val="auto"/>
              </w:rPr>
            </w:pPr>
            <w:r>
              <w:rPr>
                <w:rFonts w:ascii="Arial" w:cs="Arial" w:eastAsia="Arial" w:hAnsi="Arial"/>
                <w:sz w:val="16"/>
                <w:szCs w:val="16"/>
                <w:color w:val="auto"/>
              </w:rPr>
              <w:t>4.3.1</w:t>
            </w:r>
          </w:p>
        </w:tc>
        <w:tc>
          <w:tcPr>
            <w:tcW w:w="100" w:type="dxa"/>
            <w:vAlign w:val="bottom"/>
            <w:shd w:val="clear" w:color="auto" w:fill="CEFFE7"/>
          </w:tcPr>
          <w:p>
            <w:pPr>
              <w:spacing w:after="0"/>
              <w:rPr>
                <w:sz w:val="15"/>
                <w:szCs w:val="15"/>
                <w:color w:val="auto"/>
              </w:rPr>
            </w:pPr>
          </w:p>
        </w:tc>
        <w:tc>
          <w:tcPr>
            <w:tcW w:w="9800" w:type="dxa"/>
            <w:vAlign w:val="bottom"/>
            <w:gridSpan w:val="30"/>
            <w:shd w:val="clear" w:color="auto" w:fill="CEFFE7"/>
          </w:tcPr>
          <w:p>
            <w:pPr>
              <w:spacing w:after="0" w:line="175" w:lineRule="exact"/>
              <w:rPr>
                <w:rFonts w:ascii="Arial" w:cs="Arial" w:eastAsia="Arial" w:hAnsi="Arial"/>
                <w:sz w:val="16"/>
                <w:szCs w:val="16"/>
                <w:color w:val="0000FF"/>
              </w:rPr>
            </w:pPr>
            <w:hyperlink r:id="rId116">
              <w:r>
                <w:rPr>
                  <w:rFonts w:ascii="Arial" w:cs="Arial" w:eastAsia="Arial" w:hAnsi="Arial"/>
                  <w:sz w:val="16"/>
                  <w:szCs w:val="16"/>
                  <w:color w:val="0000FF"/>
                </w:rPr>
                <w:t>First Supplemental Indenture, dated as of September 3, 2009, between Cheyenne Light, Fuel and Power Company and Wells Fargo</w:t>
              </w:r>
            </w:hyperlink>
          </w:p>
        </w:tc>
      </w:tr>
      <w:tr>
        <w:trPr>
          <w:trHeight w:val="163"/>
        </w:trPr>
        <w:tc>
          <w:tcPr>
            <w:tcW w:w="1340" w:type="dxa"/>
            <w:vAlign w:val="bottom"/>
            <w:tcBorders>
              <w:top w:val="single" w:sz="8" w:color="CEFFE7"/>
              <w:bottom w:val="single" w:sz="8" w:color="CEFFE7"/>
            </w:tcBorders>
            <w:shd w:val="clear" w:color="auto" w:fill="CEFFE7"/>
          </w:tcPr>
          <w:p>
            <w:pPr>
              <w:spacing w:after="0"/>
              <w:rPr>
                <w:sz w:val="14"/>
                <w:szCs w:val="14"/>
                <w:color w:val="auto"/>
              </w:rPr>
            </w:pPr>
          </w:p>
        </w:tc>
        <w:tc>
          <w:tcPr>
            <w:tcW w:w="100" w:type="dxa"/>
            <w:vAlign w:val="bottom"/>
            <w:tcBorders>
              <w:top w:val="single" w:sz="8" w:color="CEFFE7"/>
              <w:bottom w:val="single" w:sz="8" w:color="CEFFE7"/>
            </w:tcBorders>
            <w:shd w:val="clear" w:color="auto" w:fill="CEFFE7"/>
          </w:tcPr>
          <w:p>
            <w:pPr>
              <w:spacing w:after="0"/>
              <w:rPr>
                <w:sz w:val="14"/>
                <w:szCs w:val="14"/>
                <w:color w:val="auto"/>
              </w:rPr>
            </w:pPr>
          </w:p>
        </w:tc>
        <w:tc>
          <w:tcPr>
            <w:tcW w:w="7380" w:type="dxa"/>
            <w:vAlign w:val="bottom"/>
            <w:tcBorders>
              <w:top w:val="single" w:sz="8" w:color="0000FF"/>
              <w:bottom w:val="single" w:sz="8" w:color="0000FF"/>
            </w:tcBorders>
            <w:gridSpan w:val="10"/>
            <w:shd w:val="clear" w:color="auto" w:fill="CEFFE7"/>
          </w:tcPr>
          <w:p>
            <w:pPr>
              <w:spacing w:after="0" w:line="142" w:lineRule="exact"/>
              <w:rPr>
                <w:rFonts w:ascii="Arial" w:cs="Arial" w:eastAsia="Arial" w:hAnsi="Arial"/>
                <w:sz w:val="16"/>
                <w:szCs w:val="16"/>
                <w:color w:val="0000FF"/>
              </w:rPr>
            </w:pPr>
            <w:hyperlink r:id="rId116">
              <w:r>
                <w:rPr>
                  <w:rFonts w:ascii="Arial" w:cs="Arial" w:eastAsia="Arial" w:hAnsi="Arial"/>
                  <w:sz w:val="16"/>
                  <w:szCs w:val="16"/>
                  <w:color w:val="0000FF"/>
                </w:rPr>
                <w:t>Bank, National Association (filed as Exhibit 10.3 to the Registrant’s Form 8-K filed on October 2, 2014).</w:t>
              </w:r>
            </w:hyperlink>
          </w:p>
        </w:tc>
        <w:tc>
          <w:tcPr>
            <w:tcW w:w="2080" w:type="dxa"/>
            <w:vAlign w:val="bottom"/>
            <w:tcBorders>
              <w:top w:val="single" w:sz="8" w:color="0000FF"/>
              <w:bottom w:val="single" w:sz="8" w:color="CEFFE7"/>
            </w:tcBorders>
            <w:gridSpan w:val="8"/>
            <w:shd w:val="clear" w:color="auto" w:fill="CEFFE7"/>
          </w:tcPr>
          <w:p>
            <w:pPr>
              <w:spacing w:after="0"/>
              <w:rPr>
                <w:sz w:val="14"/>
                <w:szCs w:val="14"/>
                <w:color w:val="auto"/>
              </w:rPr>
            </w:pPr>
          </w:p>
        </w:tc>
        <w:tc>
          <w:tcPr>
            <w:tcW w:w="20" w:type="dxa"/>
            <w:vAlign w:val="bottom"/>
            <w:tcBorders>
              <w:top w:val="single" w:sz="8" w:color="CEFFE7"/>
              <w:bottom w:val="single" w:sz="8" w:color="CEFFE7"/>
            </w:tcBorders>
            <w:shd w:val="clear" w:color="auto" w:fill="CEFFE7"/>
          </w:tcPr>
          <w:p>
            <w:pPr>
              <w:spacing w:after="0"/>
              <w:rPr>
                <w:sz w:val="14"/>
                <w:szCs w:val="14"/>
                <w:color w:val="auto"/>
              </w:rPr>
            </w:pPr>
          </w:p>
        </w:tc>
        <w:tc>
          <w:tcPr>
            <w:tcW w:w="80" w:type="dxa"/>
            <w:vAlign w:val="bottom"/>
            <w:tcBorders>
              <w:top w:val="single" w:sz="8" w:color="CEFFE7"/>
              <w:bottom w:val="single" w:sz="8" w:color="CEFFE7"/>
            </w:tcBorders>
            <w:gridSpan w:val="2"/>
            <w:shd w:val="clear" w:color="auto" w:fill="CEFFE7"/>
          </w:tcPr>
          <w:p>
            <w:pPr>
              <w:spacing w:after="0"/>
              <w:rPr>
                <w:sz w:val="14"/>
                <w:szCs w:val="14"/>
                <w:color w:val="auto"/>
              </w:rPr>
            </w:pPr>
          </w:p>
        </w:tc>
        <w:tc>
          <w:tcPr>
            <w:tcW w:w="40" w:type="dxa"/>
            <w:vAlign w:val="bottom"/>
            <w:tcBorders>
              <w:top w:val="single" w:sz="8" w:color="CEFFE7"/>
              <w:bottom w:val="single" w:sz="8" w:color="CEFFE7"/>
            </w:tcBorders>
            <w:gridSpan w:val="2"/>
            <w:shd w:val="clear" w:color="auto" w:fill="CEFFE7"/>
          </w:tcPr>
          <w:p>
            <w:pPr>
              <w:spacing w:after="0"/>
              <w:rPr>
                <w:sz w:val="14"/>
                <w:szCs w:val="14"/>
                <w:color w:val="auto"/>
              </w:rPr>
            </w:pPr>
          </w:p>
        </w:tc>
        <w:tc>
          <w:tcPr>
            <w:tcW w:w="200" w:type="dxa"/>
            <w:vAlign w:val="bottom"/>
            <w:tcBorders>
              <w:top w:val="single" w:sz="8" w:color="CEFFE7"/>
              <w:bottom w:val="single" w:sz="8" w:color="CEFFE7"/>
            </w:tcBorders>
            <w:gridSpan w:val="7"/>
            <w:shd w:val="clear" w:color="auto" w:fill="CEFFE7"/>
          </w:tcPr>
          <w:p>
            <w:pPr>
              <w:spacing w:after="0"/>
              <w:rPr>
                <w:sz w:val="14"/>
                <w:szCs w:val="14"/>
                <w:color w:val="auto"/>
              </w:rPr>
            </w:pPr>
          </w:p>
        </w:tc>
      </w:tr>
      <w:tr>
        <w:trPr>
          <w:trHeight w:val="175"/>
        </w:trPr>
        <w:tc>
          <w:tcPr>
            <w:tcW w:w="1340" w:type="dxa"/>
            <w:vAlign w:val="bottom"/>
          </w:tcPr>
          <w:p>
            <w:pPr>
              <w:ind w:left="240"/>
              <w:spacing w:after="0" w:line="175" w:lineRule="exact"/>
              <w:rPr>
                <w:sz w:val="20"/>
                <w:szCs w:val="20"/>
                <w:color w:val="auto"/>
              </w:rPr>
            </w:pPr>
            <w:r>
              <w:rPr>
                <w:rFonts w:ascii="Arial" w:cs="Arial" w:eastAsia="Arial" w:hAnsi="Arial"/>
                <w:sz w:val="16"/>
                <w:szCs w:val="16"/>
                <w:color w:val="auto"/>
              </w:rPr>
              <w:t>4.3.2</w:t>
            </w:r>
          </w:p>
        </w:tc>
        <w:tc>
          <w:tcPr>
            <w:tcW w:w="100" w:type="dxa"/>
            <w:vAlign w:val="bottom"/>
          </w:tcPr>
          <w:p>
            <w:pPr>
              <w:spacing w:after="0"/>
              <w:rPr>
                <w:sz w:val="15"/>
                <w:szCs w:val="15"/>
                <w:color w:val="auto"/>
              </w:rPr>
            </w:pPr>
          </w:p>
        </w:tc>
        <w:tc>
          <w:tcPr>
            <w:tcW w:w="9800" w:type="dxa"/>
            <w:vAlign w:val="bottom"/>
            <w:gridSpan w:val="30"/>
          </w:tcPr>
          <w:p>
            <w:pPr>
              <w:spacing w:after="0" w:line="175" w:lineRule="exact"/>
              <w:rPr>
                <w:rFonts w:ascii="Arial" w:cs="Arial" w:eastAsia="Arial" w:hAnsi="Arial"/>
                <w:sz w:val="16"/>
                <w:szCs w:val="16"/>
                <w:color w:val="0000FF"/>
              </w:rPr>
            </w:pPr>
            <w:hyperlink r:id="rId117">
              <w:r>
                <w:rPr>
                  <w:rFonts w:ascii="Arial" w:cs="Arial" w:eastAsia="Arial" w:hAnsi="Arial"/>
                  <w:sz w:val="16"/>
                  <w:szCs w:val="16"/>
                  <w:color w:val="0000FF"/>
                </w:rPr>
                <w:t>Second Supplemental Indenture, dated as of October 1, 2014, between Cheyenne Light, Fuel and Power Company and Wells Fargo</w:t>
              </w:r>
            </w:hyperlink>
          </w:p>
        </w:tc>
      </w:tr>
      <w:tr>
        <w:trPr>
          <w:trHeight w:val="142"/>
        </w:trPr>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8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17">
              <w:r>
                <w:rPr>
                  <w:rFonts w:ascii="Arial" w:cs="Arial" w:eastAsia="Arial" w:hAnsi="Arial"/>
                  <w:sz w:val="16"/>
                  <w:szCs w:val="16"/>
                  <w:color w:val="0000FF"/>
                </w:rPr>
                <w:t>Bank, National Association (filed as Exhibit 10.4 to the Registrant’s Form 8-K filed on October 2, 2014).</w:t>
              </w:r>
            </w:hyperlink>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0" w:type="dxa"/>
            <w:vAlign w:val="bottom"/>
            <w:gridSpan w:val="7"/>
          </w:tcPr>
          <w:p>
            <w:pPr>
              <w:spacing w:after="0"/>
              <w:rPr>
                <w:sz w:val="12"/>
                <w:szCs w:val="12"/>
                <w:color w:val="auto"/>
              </w:rPr>
            </w:pPr>
          </w:p>
        </w:tc>
      </w:tr>
      <w:tr>
        <w:trPr>
          <w:trHeight w:val="21"/>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80" w:type="dxa"/>
            <w:vAlign w:val="bottom"/>
            <w:tcBorders>
              <w:top w:val="single" w:sz="8" w:color="0000FF"/>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40" w:type="dxa"/>
            <w:vAlign w:val="bottom"/>
            <w:shd w:val="clear" w:color="auto" w:fill="CEFFE7"/>
          </w:tcPr>
          <w:p>
            <w:pPr>
              <w:ind w:left="20"/>
              <w:spacing w:after="0" w:line="175" w:lineRule="exact"/>
              <w:rPr>
                <w:sz w:val="20"/>
                <w:szCs w:val="20"/>
                <w:color w:val="auto"/>
              </w:rPr>
            </w:pPr>
            <w:r>
              <w:rPr>
                <w:rFonts w:ascii="Arial" w:cs="Arial" w:eastAsia="Arial" w:hAnsi="Arial"/>
                <w:sz w:val="16"/>
                <w:szCs w:val="16"/>
                <w:color w:val="auto"/>
              </w:rPr>
              <w:t>4.4</w:t>
            </w:r>
          </w:p>
        </w:tc>
        <w:tc>
          <w:tcPr>
            <w:tcW w:w="9900" w:type="dxa"/>
            <w:vAlign w:val="bottom"/>
            <w:gridSpan w:val="31"/>
            <w:shd w:val="clear" w:color="auto" w:fill="CEFFE7"/>
          </w:tcPr>
          <w:p>
            <w:pPr>
              <w:spacing w:after="0" w:line="175" w:lineRule="exact"/>
              <w:rPr>
                <w:rFonts w:ascii="Arial" w:cs="Arial" w:eastAsia="Arial" w:hAnsi="Arial"/>
                <w:sz w:val="16"/>
                <w:szCs w:val="16"/>
                <w:color w:val="0000FF"/>
              </w:rPr>
            </w:pPr>
            <w:hyperlink r:id="rId118">
              <w:r>
                <w:rPr>
                  <w:rFonts w:ascii="Arial" w:cs="Arial" w:eastAsia="Arial" w:hAnsi="Arial"/>
                  <w:sz w:val="16"/>
                  <w:szCs w:val="16"/>
                  <w:color w:val="0000FF"/>
                </w:rPr>
                <w:t xml:space="preserve">Form of Stock Certificate for Common Stock, Par Value </w:t>
              </w:r>
              <w:r>
                <w:rPr>
                  <w:rFonts w:ascii="Arial" w:cs="Arial" w:eastAsia="Arial" w:hAnsi="Arial"/>
                  <w:sz w:val="16"/>
                  <w:szCs w:val="16"/>
                  <w:u w:val="single" w:color="auto"/>
                  <w:color w:val="0000FF"/>
                </w:rPr>
                <w:t>$</w:t>
              </w:r>
              <w:r>
                <w:rPr>
                  <w:rFonts w:ascii="Arial" w:cs="Arial" w:eastAsia="Arial" w:hAnsi="Arial"/>
                  <w:sz w:val="16"/>
                  <w:szCs w:val="16"/>
                  <w:color w:val="0000FF"/>
                </w:rPr>
                <w:t>1.00 Per Share (filed as Exhibit 4.2 to the Registrant’s Form 10-K for 2000).</w:t>
              </w:r>
            </w:hyperlink>
          </w:p>
        </w:tc>
      </w:tr>
      <w:tr>
        <w:trPr>
          <w:trHeight w:val="176"/>
        </w:trPr>
        <w:tc>
          <w:tcPr>
            <w:tcW w:w="1340" w:type="dxa"/>
            <w:vAlign w:val="bottom"/>
            <w:tcBorders>
              <w:top w:val="single" w:sz="8" w:color="CEFFE7"/>
            </w:tcBorders>
          </w:tcPr>
          <w:p>
            <w:pPr>
              <w:ind w:left="20"/>
              <w:spacing w:after="0" w:line="175" w:lineRule="exact"/>
              <w:rPr>
                <w:sz w:val="20"/>
                <w:szCs w:val="20"/>
                <w:color w:val="auto"/>
              </w:rPr>
            </w:pPr>
            <w:r>
              <w:rPr>
                <w:rFonts w:ascii="Arial" w:cs="Arial" w:eastAsia="Arial" w:hAnsi="Arial"/>
                <w:sz w:val="16"/>
                <w:szCs w:val="16"/>
                <w:color w:val="auto"/>
              </w:rPr>
              <w:t>31.1*</w:t>
            </w:r>
          </w:p>
        </w:tc>
        <w:tc>
          <w:tcPr>
            <w:tcW w:w="9480" w:type="dxa"/>
            <w:vAlign w:val="bottom"/>
            <w:tcBorders>
              <w:top w:val="single" w:sz="8" w:color="0000FF"/>
            </w:tcBorders>
            <w:gridSpan w:val="18"/>
          </w:tcPr>
          <w:p>
            <w:pPr>
              <w:spacing w:after="0" w:line="175" w:lineRule="exact"/>
              <w:rPr>
                <w:rFonts w:ascii="Arial" w:cs="Arial" w:eastAsia="Arial" w:hAnsi="Arial"/>
                <w:sz w:val="16"/>
                <w:szCs w:val="16"/>
                <w:color w:val="0000FF"/>
              </w:rPr>
            </w:pPr>
            <w:hyperlink w:anchor="page55">
              <w:r>
                <w:rPr>
                  <w:rFonts w:ascii="Arial" w:cs="Arial" w:eastAsia="Arial" w:hAnsi="Arial"/>
                  <w:sz w:val="16"/>
                  <w:szCs w:val="16"/>
                  <w:color w:val="0000FF"/>
                </w:rPr>
                <w:t>Certification of Chief Executive Officer pursuant to Rule 13a - 14(a) of the Securities Exchange Act of 1934, as adopted pursuant to</w:t>
              </w:r>
            </w:hyperlink>
          </w:p>
        </w:tc>
        <w:tc>
          <w:tcPr>
            <w:tcW w:w="420" w:type="dxa"/>
            <w:vAlign w:val="bottom"/>
            <w:tcBorders>
              <w:top w:val="single" w:sz="8" w:color="CEFFE7"/>
            </w:tcBorders>
            <w:gridSpan w:val="13"/>
          </w:tcPr>
          <w:p>
            <w:pPr>
              <w:spacing w:after="0"/>
              <w:rPr>
                <w:sz w:val="15"/>
                <w:szCs w:val="15"/>
                <w:color w:val="auto"/>
              </w:rPr>
            </w:pPr>
          </w:p>
        </w:tc>
      </w:tr>
      <w:tr>
        <w:trPr>
          <w:trHeight w:val="142"/>
        </w:trPr>
        <w:tc>
          <w:tcPr>
            <w:tcW w:w="1340" w:type="dxa"/>
            <w:vAlign w:val="bottom"/>
          </w:tcPr>
          <w:p>
            <w:pPr>
              <w:spacing w:after="0"/>
              <w:rPr>
                <w:sz w:val="12"/>
                <w:szCs w:val="12"/>
                <w:color w:val="auto"/>
              </w:rPr>
            </w:pPr>
          </w:p>
        </w:tc>
        <w:tc>
          <w:tcPr>
            <w:tcW w:w="938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w:anchor="page55">
              <w:r>
                <w:rPr>
                  <w:rFonts w:ascii="Arial" w:cs="Arial" w:eastAsia="Arial" w:hAnsi="Arial"/>
                  <w:sz w:val="16"/>
                  <w:szCs w:val="16"/>
                  <w:color w:val="0000FF"/>
                </w:rPr>
                <w:t>Section 302 of the Sarbanes - Oxley Act of 2002.</w:t>
              </w:r>
            </w:hyperlink>
          </w:p>
        </w:tc>
        <w:tc>
          <w:tcPr>
            <w:tcW w:w="280" w:type="dxa"/>
            <w:vAlign w:val="bottom"/>
            <w:gridSpan w:val="7"/>
          </w:tcPr>
          <w:p>
            <w:pPr>
              <w:spacing w:after="0"/>
              <w:rPr>
                <w:sz w:val="12"/>
                <w:szCs w:val="12"/>
                <w:color w:val="auto"/>
              </w:rPr>
            </w:pPr>
          </w:p>
        </w:tc>
        <w:tc>
          <w:tcPr>
            <w:tcW w:w="40" w:type="dxa"/>
            <w:vAlign w:val="bottom"/>
            <w:gridSpan w:val="2"/>
          </w:tcPr>
          <w:p>
            <w:pPr>
              <w:spacing w:after="0"/>
              <w:rPr>
                <w:sz w:val="12"/>
                <w:szCs w:val="12"/>
                <w:color w:val="auto"/>
              </w:rPr>
            </w:pPr>
          </w:p>
        </w:tc>
        <w:tc>
          <w:tcPr>
            <w:tcW w:w="200" w:type="dxa"/>
            <w:vAlign w:val="bottom"/>
            <w:gridSpan w:val="7"/>
          </w:tcPr>
          <w:p>
            <w:pPr>
              <w:spacing w:after="0"/>
              <w:rPr>
                <w:sz w:val="12"/>
                <w:szCs w:val="12"/>
                <w:color w:val="auto"/>
              </w:rPr>
            </w:pPr>
          </w:p>
        </w:tc>
      </w:tr>
      <w:tr>
        <w:trPr>
          <w:trHeight w:val="21"/>
        </w:trPr>
        <w:tc>
          <w:tcPr>
            <w:tcW w:w="1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340" w:type="dxa"/>
            <w:vAlign w:val="bottom"/>
            <w:shd w:val="clear" w:color="auto" w:fill="CEFFE7"/>
          </w:tcPr>
          <w:p>
            <w:pPr>
              <w:ind w:left="20"/>
              <w:spacing w:after="0" w:line="175" w:lineRule="exact"/>
              <w:rPr>
                <w:sz w:val="20"/>
                <w:szCs w:val="20"/>
                <w:color w:val="auto"/>
              </w:rPr>
            </w:pPr>
            <w:r>
              <w:rPr>
                <w:rFonts w:ascii="Arial" w:cs="Arial" w:eastAsia="Arial" w:hAnsi="Arial"/>
                <w:sz w:val="16"/>
                <w:szCs w:val="16"/>
                <w:color w:val="auto"/>
              </w:rPr>
              <w:t>31.2*</w:t>
            </w:r>
          </w:p>
        </w:tc>
        <w:tc>
          <w:tcPr>
            <w:tcW w:w="9900" w:type="dxa"/>
            <w:vAlign w:val="bottom"/>
            <w:gridSpan w:val="31"/>
            <w:shd w:val="clear" w:color="auto" w:fill="CEFFE7"/>
          </w:tcPr>
          <w:p>
            <w:pPr>
              <w:spacing w:after="0" w:line="175" w:lineRule="exact"/>
              <w:rPr>
                <w:rFonts w:ascii="Arial" w:cs="Arial" w:eastAsia="Arial" w:hAnsi="Arial"/>
                <w:sz w:val="16"/>
                <w:szCs w:val="16"/>
                <w:color w:val="0000FF"/>
              </w:rPr>
            </w:pPr>
            <w:hyperlink w:anchor="page56">
              <w:r>
                <w:rPr>
                  <w:rFonts w:ascii="Arial" w:cs="Arial" w:eastAsia="Arial" w:hAnsi="Arial"/>
                  <w:sz w:val="16"/>
                  <w:szCs w:val="16"/>
                  <w:color w:val="0000FF"/>
                </w:rPr>
                <w:t>Certification of Chief Financial Officer pursuant to Rule 13a - 14(a) of the Securities Exchange Act of 1934, as adopted pursuant to</w:t>
              </w:r>
            </w:hyperlink>
          </w:p>
        </w:tc>
      </w:tr>
      <w:tr>
        <w:trPr>
          <w:trHeight w:val="142"/>
        </w:trPr>
        <w:tc>
          <w:tcPr>
            <w:tcW w:w="1340" w:type="dxa"/>
            <w:vAlign w:val="bottom"/>
            <w:tcBorders>
              <w:top w:val="single" w:sz="8" w:color="CEFFE7"/>
            </w:tcBorders>
            <w:shd w:val="clear" w:color="auto" w:fill="CEFFE7"/>
          </w:tcPr>
          <w:p>
            <w:pPr>
              <w:spacing w:after="0"/>
              <w:rPr>
                <w:sz w:val="12"/>
                <w:szCs w:val="12"/>
                <w:color w:val="auto"/>
              </w:rPr>
            </w:pPr>
          </w:p>
        </w:tc>
        <w:tc>
          <w:tcPr>
            <w:tcW w:w="9340" w:type="dxa"/>
            <w:vAlign w:val="bottom"/>
            <w:tcBorders>
              <w:top w:val="single" w:sz="8" w:color="0000FF"/>
            </w:tcBorders>
            <w:gridSpan w:val="13"/>
            <w:shd w:val="clear" w:color="auto" w:fill="CEFFE7"/>
          </w:tcPr>
          <w:p>
            <w:pPr>
              <w:spacing w:after="0" w:line="142" w:lineRule="exact"/>
              <w:rPr>
                <w:rFonts w:ascii="Arial" w:cs="Arial" w:eastAsia="Arial" w:hAnsi="Arial"/>
                <w:sz w:val="16"/>
                <w:szCs w:val="16"/>
                <w:color w:val="0000FF"/>
              </w:rPr>
            </w:pPr>
            <w:hyperlink w:anchor="page56">
              <w:r>
                <w:rPr>
                  <w:rFonts w:ascii="Arial" w:cs="Arial" w:eastAsia="Arial" w:hAnsi="Arial"/>
                  <w:sz w:val="16"/>
                  <w:szCs w:val="16"/>
                  <w:color w:val="0000FF"/>
                </w:rPr>
                <w:t>Section 302 of the Sarbanes - Oxley Act of 2002.</w:t>
              </w:r>
            </w:hyperlink>
          </w:p>
        </w:tc>
        <w:tc>
          <w:tcPr>
            <w:tcW w:w="320" w:type="dxa"/>
            <w:vAlign w:val="bottom"/>
            <w:tcBorders>
              <w:top w:val="single" w:sz="8" w:color="CEFFE7"/>
            </w:tcBorders>
            <w:gridSpan w:val="9"/>
            <w:shd w:val="clear" w:color="auto" w:fill="CEFFE7"/>
          </w:tcPr>
          <w:p>
            <w:pPr>
              <w:spacing w:after="0"/>
              <w:rPr>
                <w:sz w:val="12"/>
                <w:szCs w:val="12"/>
                <w:color w:val="auto"/>
              </w:rPr>
            </w:pPr>
          </w:p>
        </w:tc>
        <w:tc>
          <w:tcPr>
            <w:tcW w:w="40" w:type="dxa"/>
            <w:vAlign w:val="bottom"/>
            <w:tcBorders>
              <w:top w:val="single" w:sz="8" w:color="CEFFE7"/>
            </w:tcBorders>
            <w:gridSpan w:val="2"/>
            <w:shd w:val="clear" w:color="auto" w:fill="CEFFE7"/>
          </w:tcPr>
          <w:p>
            <w:pPr>
              <w:spacing w:after="0"/>
              <w:rPr>
                <w:sz w:val="12"/>
                <w:szCs w:val="12"/>
                <w:color w:val="auto"/>
              </w:rPr>
            </w:pPr>
          </w:p>
        </w:tc>
        <w:tc>
          <w:tcPr>
            <w:tcW w:w="200" w:type="dxa"/>
            <w:vAlign w:val="bottom"/>
            <w:tcBorders>
              <w:top w:val="single" w:sz="8" w:color="CEFFE7"/>
            </w:tcBorders>
            <w:gridSpan w:val="7"/>
            <w:shd w:val="clear" w:color="auto" w:fill="CEFFE7"/>
          </w:tcPr>
          <w:p>
            <w:pPr>
              <w:spacing w:after="0"/>
              <w:rPr>
                <w:sz w:val="12"/>
                <w:szCs w:val="12"/>
                <w:color w:val="auto"/>
              </w:rPr>
            </w:pPr>
          </w:p>
        </w:tc>
      </w:tr>
      <w:tr>
        <w:trPr>
          <w:trHeight w:val="21"/>
        </w:trPr>
        <w:tc>
          <w:tcPr>
            <w:tcW w:w="134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0000FF"/>
            </w:tcBorders>
            <w:shd w:val="clear" w:color="auto" w:fill="CEFFE7"/>
          </w:tcPr>
          <w:p>
            <w:pPr>
              <w:spacing w:after="0" w:line="20" w:lineRule="exact"/>
              <w:rPr>
                <w:sz w:val="1"/>
                <w:szCs w:val="1"/>
                <w:color w:val="auto"/>
              </w:rPr>
            </w:pPr>
          </w:p>
        </w:tc>
        <w:tc>
          <w:tcPr>
            <w:tcW w:w="460" w:type="dxa"/>
            <w:vAlign w:val="bottom"/>
            <w:tcBorders>
              <w:top w:val="single" w:sz="8" w:color="0000FF"/>
            </w:tcBorders>
            <w:shd w:val="clear" w:color="auto" w:fill="CEFFE7"/>
          </w:tcPr>
          <w:p>
            <w:pPr>
              <w:spacing w:after="0" w:line="20" w:lineRule="exact"/>
              <w:rPr>
                <w:sz w:val="1"/>
                <w:szCs w:val="1"/>
                <w:color w:val="auto"/>
              </w:rPr>
            </w:pPr>
          </w:p>
        </w:tc>
        <w:tc>
          <w:tcPr>
            <w:tcW w:w="2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440" w:type="dxa"/>
            <w:vAlign w:val="bottom"/>
            <w:tcBorders>
              <w:top w:val="single" w:sz="8" w:color="0000FF"/>
            </w:tcBorders>
            <w:shd w:val="clear" w:color="auto" w:fill="CEFFE7"/>
          </w:tcPr>
          <w:p>
            <w:pPr>
              <w:spacing w:after="0" w:line="20" w:lineRule="exact"/>
              <w:rPr>
                <w:sz w:val="1"/>
                <w:szCs w:val="1"/>
                <w:color w:val="auto"/>
              </w:rPr>
            </w:pPr>
          </w:p>
        </w:tc>
        <w:tc>
          <w:tcPr>
            <w:tcW w:w="1140" w:type="dxa"/>
            <w:vAlign w:val="bottom"/>
            <w:tcBorders>
              <w:top w:val="single" w:sz="8" w:color="0000FF"/>
            </w:tcBorders>
            <w:shd w:val="clear" w:color="auto" w:fill="CEFFE7"/>
          </w:tcPr>
          <w:p>
            <w:pPr>
              <w:spacing w:after="0" w:line="20" w:lineRule="exact"/>
              <w:rPr>
                <w:sz w:val="1"/>
                <w:szCs w:val="1"/>
                <w:color w:val="auto"/>
              </w:rPr>
            </w:pPr>
          </w:p>
        </w:tc>
        <w:tc>
          <w:tcPr>
            <w:tcW w:w="60" w:type="dxa"/>
            <w:vAlign w:val="bottom"/>
            <w:tcBorders>
              <w:top w:val="single" w:sz="8" w:color="0000FF"/>
            </w:tcBorders>
            <w:shd w:val="clear" w:color="auto" w:fill="CEFFE7"/>
          </w:tcPr>
          <w:p>
            <w:pPr>
              <w:spacing w:after="0" w:line="20" w:lineRule="exact"/>
              <w:rPr>
                <w:sz w:val="1"/>
                <w:szCs w:val="1"/>
                <w:color w:val="auto"/>
              </w:rPr>
            </w:pPr>
          </w:p>
        </w:tc>
        <w:tc>
          <w:tcPr>
            <w:tcW w:w="180" w:type="dxa"/>
            <w:vAlign w:val="bottom"/>
            <w:tcBorders>
              <w:top w:val="single" w:sz="8" w:color="CEFFE7"/>
            </w:tcBorders>
            <w:shd w:val="clear" w:color="auto" w:fill="CEFFE7"/>
          </w:tcPr>
          <w:p>
            <w:pPr>
              <w:spacing w:after="0" w:line="20" w:lineRule="exact"/>
              <w:rPr>
                <w:sz w:val="1"/>
                <w:szCs w:val="1"/>
                <w:color w:val="auto"/>
              </w:rPr>
            </w:pPr>
          </w:p>
        </w:tc>
        <w:tc>
          <w:tcPr>
            <w:tcW w:w="1220" w:type="dxa"/>
            <w:vAlign w:val="bottom"/>
            <w:tcBorders>
              <w:top w:val="single" w:sz="8" w:color="CEFFE7"/>
            </w:tcBorders>
            <w:shd w:val="clear" w:color="auto" w:fill="CEFFE7"/>
          </w:tcPr>
          <w:p>
            <w:pPr>
              <w:spacing w:after="0" w:line="20" w:lineRule="exact"/>
              <w:rPr>
                <w:sz w:val="1"/>
                <w:szCs w:val="1"/>
                <w:color w:val="auto"/>
              </w:rPr>
            </w:pPr>
          </w:p>
        </w:tc>
        <w:tc>
          <w:tcPr>
            <w:tcW w:w="100" w:type="dxa"/>
            <w:vAlign w:val="bottom"/>
            <w:tcBorders>
              <w:top w:val="single" w:sz="8" w:color="CEFFE7"/>
            </w:tcBorders>
            <w:shd w:val="clear" w:color="auto" w:fill="CEFFE7"/>
          </w:tcPr>
          <w:p>
            <w:pPr>
              <w:spacing w:after="0" w:line="20" w:lineRule="exact"/>
              <w:rPr>
                <w:sz w:val="1"/>
                <w:szCs w:val="1"/>
                <w:color w:val="auto"/>
              </w:rPr>
            </w:pPr>
          </w:p>
        </w:tc>
        <w:tc>
          <w:tcPr>
            <w:tcW w:w="2480" w:type="dxa"/>
            <w:vAlign w:val="bottom"/>
            <w:tcBorders>
              <w:top w:val="single" w:sz="8" w:color="CEFFE7"/>
            </w:tcBorders>
            <w:shd w:val="clear" w:color="auto" w:fill="CEFFE7"/>
          </w:tcPr>
          <w:p>
            <w:pPr>
              <w:spacing w:after="0" w:line="20" w:lineRule="exact"/>
              <w:rPr>
                <w:sz w:val="1"/>
                <w:szCs w:val="1"/>
                <w:color w:val="auto"/>
              </w:rPr>
            </w:pPr>
          </w:p>
        </w:tc>
        <w:tc>
          <w:tcPr>
            <w:tcW w:w="18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8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4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6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c>
          <w:tcPr>
            <w:tcW w:w="20" w:type="dxa"/>
            <w:vAlign w:val="bottom"/>
            <w:tcBorders>
              <w:top w:val="single" w:sz="8" w:color="CEFFE7"/>
            </w:tcBorders>
            <w:shd w:val="clear" w:color="auto" w:fill="CEFFE7"/>
          </w:tcPr>
          <w:p>
            <w:pPr>
              <w:spacing w:after="0" w:line="20" w:lineRule="exact"/>
              <w:rPr>
                <w:sz w:val="1"/>
                <w:szCs w:val="1"/>
                <w:color w:val="auto"/>
              </w:rPr>
            </w:pPr>
          </w:p>
        </w:tc>
      </w:tr>
      <w:tr>
        <w:trPr>
          <w:trHeight w:val="176"/>
        </w:trPr>
        <w:tc>
          <w:tcPr>
            <w:tcW w:w="1340" w:type="dxa"/>
            <w:vAlign w:val="bottom"/>
          </w:tcPr>
          <w:p>
            <w:pPr>
              <w:ind w:left="20"/>
              <w:spacing w:after="0" w:line="175" w:lineRule="exact"/>
              <w:rPr>
                <w:sz w:val="20"/>
                <w:szCs w:val="20"/>
                <w:color w:val="auto"/>
              </w:rPr>
            </w:pPr>
            <w:r>
              <w:rPr>
                <w:rFonts w:ascii="Arial" w:cs="Arial" w:eastAsia="Arial" w:hAnsi="Arial"/>
                <w:sz w:val="16"/>
                <w:szCs w:val="16"/>
                <w:color w:val="auto"/>
              </w:rPr>
              <w:t>32.1*</w:t>
            </w:r>
          </w:p>
        </w:tc>
        <w:tc>
          <w:tcPr>
            <w:tcW w:w="9900" w:type="dxa"/>
            <w:vAlign w:val="bottom"/>
            <w:gridSpan w:val="31"/>
          </w:tcPr>
          <w:p>
            <w:pPr>
              <w:spacing w:after="0" w:line="175" w:lineRule="exact"/>
              <w:rPr>
                <w:rFonts w:ascii="Arial" w:cs="Arial" w:eastAsia="Arial" w:hAnsi="Arial"/>
                <w:sz w:val="16"/>
                <w:szCs w:val="16"/>
                <w:color w:val="0000FF"/>
              </w:rPr>
            </w:pPr>
            <w:hyperlink w:anchor="page57">
              <w:r>
                <w:rPr>
                  <w:rFonts w:ascii="Arial" w:cs="Arial" w:eastAsia="Arial" w:hAnsi="Arial"/>
                  <w:sz w:val="16"/>
                  <w:szCs w:val="16"/>
                  <w:color w:val="0000FF"/>
                </w:rPr>
                <w:t>Certification of Chief Executive Officer pursuant to 18 U.S.C. Section 1350, as adopted pursuant to Section 906 of the Sarbanes - Oxley</w:t>
              </w:r>
            </w:hyperlink>
          </w:p>
        </w:tc>
      </w:tr>
      <w:tr>
        <w:trPr>
          <w:trHeight w:val="142"/>
        </w:trPr>
        <w:tc>
          <w:tcPr>
            <w:tcW w:w="1340" w:type="dxa"/>
            <w:vAlign w:val="bottom"/>
          </w:tcPr>
          <w:p>
            <w:pPr>
              <w:spacing w:after="0"/>
              <w:rPr>
                <w:sz w:val="12"/>
                <w:szCs w:val="12"/>
                <w:color w:val="auto"/>
              </w:rPr>
            </w:pPr>
          </w:p>
        </w:tc>
        <w:tc>
          <w:tcPr>
            <w:tcW w:w="970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w:anchor="page57">
              <w:r>
                <w:rPr>
                  <w:rFonts w:ascii="Arial" w:cs="Arial" w:eastAsia="Arial" w:hAnsi="Arial"/>
                  <w:sz w:val="16"/>
                  <w:szCs w:val="16"/>
                  <w:color w:val="0000FF"/>
                </w:rPr>
                <w:t>Act of 2002.</w:t>
              </w:r>
            </w:hyperlink>
          </w:p>
        </w:tc>
        <w:tc>
          <w:tcPr>
            <w:tcW w:w="200" w:type="dxa"/>
            <w:vAlign w:val="bottom"/>
            <w:gridSpan w:val="7"/>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340" w:type="dxa"/>
            <w:vAlign w:val="bottom"/>
            <w:shd w:val="clear" w:color="auto" w:fill="CEFFE7"/>
          </w:tcPr>
          <w:p>
            <w:pPr>
              <w:ind w:left="20"/>
              <w:spacing w:after="0" w:line="175" w:lineRule="exact"/>
              <w:rPr>
                <w:sz w:val="20"/>
                <w:szCs w:val="20"/>
                <w:color w:val="auto"/>
              </w:rPr>
            </w:pPr>
            <w:r>
              <w:rPr>
                <w:rFonts w:ascii="Arial" w:cs="Arial" w:eastAsia="Arial" w:hAnsi="Arial"/>
                <w:sz w:val="16"/>
                <w:szCs w:val="16"/>
                <w:color w:val="auto"/>
              </w:rPr>
              <w:t>32.2*</w:t>
            </w:r>
          </w:p>
        </w:tc>
        <w:tc>
          <w:tcPr>
            <w:tcW w:w="9900" w:type="dxa"/>
            <w:vAlign w:val="bottom"/>
            <w:gridSpan w:val="31"/>
            <w:shd w:val="clear" w:color="auto" w:fill="CEFFE7"/>
          </w:tcPr>
          <w:p>
            <w:pPr>
              <w:spacing w:after="0" w:line="175" w:lineRule="exact"/>
              <w:rPr>
                <w:rFonts w:ascii="Arial" w:cs="Arial" w:eastAsia="Arial" w:hAnsi="Arial"/>
                <w:sz w:val="16"/>
                <w:szCs w:val="16"/>
                <w:color w:val="0000FF"/>
              </w:rPr>
            </w:pPr>
            <w:hyperlink w:anchor="page58">
              <w:r>
                <w:rPr>
                  <w:rFonts w:ascii="Arial" w:cs="Arial" w:eastAsia="Arial" w:hAnsi="Arial"/>
                  <w:sz w:val="16"/>
                  <w:szCs w:val="16"/>
                  <w:color w:val="0000FF"/>
                </w:rPr>
                <w:t>Certification of Chief Financial Officer pursuant to 18 U.S.C. Section 1350, as adopted pursuant to Section 906 of the Sarbanes - Oxley</w:t>
              </w:r>
            </w:hyperlink>
          </w:p>
        </w:tc>
      </w:tr>
      <w:tr>
        <w:trPr>
          <w:trHeight w:val="163"/>
        </w:trPr>
        <w:tc>
          <w:tcPr>
            <w:tcW w:w="1340" w:type="dxa"/>
            <w:vAlign w:val="bottom"/>
            <w:tcBorders>
              <w:top w:val="single" w:sz="8" w:color="CEFFE7"/>
              <w:bottom w:val="single" w:sz="8" w:color="CEFFE7"/>
            </w:tcBorders>
            <w:shd w:val="clear" w:color="auto" w:fill="CEFFE7"/>
          </w:tcPr>
          <w:p>
            <w:pPr>
              <w:spacing w:after="0"/>
              <w:rPr>
                <w:sz w:val="14"/>
                <w:szCs w:val="14"/>
                <w:color w:val="auto"/>
              </w:rPr>
            </w:pPr>
          </w:p>
        </w:tc>
        <w:tc>
          <w:tcPr>
            <w:tcW w:w="860" w:type="dxa"/>
            <w:vAlign w:val="bottom"/>
            <w:tcBorders>
              <w:top w:val="single" w:sz="8" w:color="0000FF"/>
              <w:bottom w:val="single" w:sz="8" w:color="0000FF"/>
            </w:tcBorders>
            <w:gridSpan w:val="4"/>
            <w:shd w:val="clear" w:color="auto" w:fill="CEFFE7"/>
          </w:tcPr>
          <w:p>
            <w:pPr>
              <w:spacing w:after="0" w:line="142" w:lineRule="exact"/>
              <w:rPr>
                <w:rFonts w:ascii="Arial" w:cs="Arial" w:eastAsia="Arial" w:hAnsi="Arial"/>
                <w:sz w:val="16"/>
                <w:szCs w:val="16"/>
                <w:color w:val="0000FF"/>
                <w:w w:val="98"/>
              </w:rPr>
            </w:pPr>
            <w:hyperlink w:anchor="page58">
              <w:r>
                <w:rPr>
                  <w:rFonts w:ascii="Arial" w:cs="Arial" w:eastAsia="Arial" w:hAnsi="Arial"/>
                  <w:sz w:val="16"/>
                  <w:szCs w:val="16"/>
                  <w:color w:val="0000FF"/>
                  <w:w w:val="98"/>
                </w:rPr>
                <w:t>Act of 2002.</w:t>
              </w:r>
            </w:hyperlink>
          </w:p>
        </w:tc>
        <w:tc>
          <w:tcPr>
            <w:tcW w:w="8800" w:type="dxa"/>
            <w:vAlign w:val="bottom"/>
            <w:tcBorders>
              <w:top w:val="single" w:sz="8" w:color="0000FF"/>
              <w:bottom w:val="single" w:sz="8" w:color="CEFFE7"/>
            </w:tcBorders>
            <w:gridSpan w:val="18"/>
            <w:shd w:val="clear" w:color="auto" w:fill="CEFFE7"/>
          </w:tcPr>
          <w:p>
            <w:pPr>
              <w:spacing w:after="0"/>
              <w:rPr>
                <w:sz w:val="14"/>
                <w:szCs w:val="14"/>
                <w:color w:val="auto"/>
              </w:rPr>
            </w:pPr>
          </w:p>
        </w:tc>
        <w:tc>
          <w:tcPr>
            <w:tcW w:w="240" w:type="dxa"/>
            <w:vAlign w:val="bottom"/>
            <w:tcBorders>
              <w:top w:val="single" w:sz="8" w:color="CEFFE7"/>
              <w:bottom w:val="single" w:sz="8" w:color="CEFFE7"/>
            </w:tcBorders>
            <w:gridSpan w:val="9"/>
            <w:shd w:val="clear" w:color="auto" w:fill="CEFFE7"/>
          </w:tcPr>
          <w:p>
            <w:pPr>
              <w:spacing w:after="0"/>
              <w:rPr>
                <w:sz w:val="14"/>
                <w:szCs w:val="14"/>
                <w:color w:val="auto"/>
              </w:rPr>
            </w:pPr>
          </w:p>
        </w:tc>
      </w:tr>
      <w:tr>
        <w:trPr>
          <w:trHeight w:val="175"/>
        </w:trPr>
        <w:tc>
          <w:tcPr>
            <w:tcW w:w="1340" w:type="dxa"/>
            <w:vAlign w:val="bottom"/>
          </w:tcPr>
          <w:p>
            <w:pPr>
              <w:ind w:left="20"/>
              <w:spacing w:after="0" w:line="175" w:lineRule="exact"/>
              <w:rPr>
                <w:sz w:val="20"/>
                <w:szCs w:val="20"/>
                <w:color w:val="auto"/>
              </w:rPr>
            </w:pPr>
            <w:r>
              <w:rPr>
                <w:rFonts w:ascii="Arial" w:cs="Arial" w:eastAsia="Arial" w:hAnsi="Arial"/>
                <w:sz w:val="16"/>
                <w:szCs w:val="16"/>
                <w:color w:val="auto"/>
              </w:rPr>
              <w:t>95*</w:t>
            </w:r>
          </w:p>
        </w:tc>
        <w:tc>
          <w:tcPr>
            <w:tcW w:w="9900" w:type="dxa"/>
            <w:vAlign w:val="bottom"/>
            <w:gridSpan w:val="31"/>
          </w:tcPr>
          <w:p>
            <w:pPr>
              <w:spacing w:after="0" w:line="175" w:lineRule="exact"/>
              <w:rPr>
                <w:rFonts w:ascii="Arial" w:cs="Arial" w:eastAsia="Arial" w:hAnsi="Arial"/>
                <w:sz w:val="16"/>
                <w:szCs w:val="16"/>
                <w:color w:val="0000FF"/>
              </w:rPr>
            </w:pPr>
            <w:hyperlink w:anchor="page59">
              <w:r>
                <w:rPr>
                  <w:rFonts w:ascii="Arial" w:cs="Arial" w:eastAsia="Arial" w:hAnsi="Arial"/>
                  <w:sz w:val="16"/>
                  <w:szCs w:val="16"/>
                  <w:color w:val="0000FF"/>
                </w:rPr>
                <w:t>Mine Safety and Health Administration Safety Data.</w:t>
              </w:r>
            </w:hyperlink>
          </w:p>
        </w:tc>
      </w:tr>
      <w:tr>
        <w:trPr>
          <w:trHeight w:val="20"/>
        </w:trPr>
        <w:tc>
          <w:tcPr>
            <w:tcW w:w="1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1340" w:type="dxa"/>
            <w:vAlign w:val="bottom"/>
            <w:shd w:val="clear" w:color="auto" w:fill="CEFFE7"/>
          </w:tcPr>
          <w:p>
            <w:pPr>
              <w:ind w:left="20"/>
              <w:spacing w:after="0" w:line="178" w:lineRule="exact"/>
              <w:rPr>
                <w:sz w:val="20"/>
                <w:szCs w:val="20"/>
                <w:color w:val="auto"/>
              </w:rPr>
            </w:pPr>
            <w:r>
              <w:rPr>
                <w:rFonts w:ascii="Arial" w:cs="Arial" w:eastAsia="Arial" w:hAnsi="Arial"/>
                <w:sz w:val="16"/>
                <w:szCs w:val="16"/>
                <w:color w:val="auto"/>
              </w:rPr>
              <w:t>101.INS*</w:t>
            </w:r>
          </w:p>
        </w:tc>
        <w:tc>
          <w:tcPr>
            <w:tcW w:w="9900" w:type="dxa"/>
            <w:vAlign w:val="bottom"/>
            <w:gridSpan w:val="31"/>
            <w:shd w:val="clear" w:color="auto" w:fill="CEFFE7"/>
          </w:tcPr>
          <w:p>
            <w:pPr>
              <w:spacing w:after="0" w:line="178"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201"/>
        </w:trPr>
        <w:tc>
          <w:tcPr>
            <w:tcW w:w="1340" w:type="dxa"/>
            <w:vAlign w:val="bottom"/>
            <w:shd w:val="clear" w:color="auto" w:fill="CEFFE7"/>
          </w:tcPr>
          <w:p>
            <w:pPr>
              <w:spacing w:after="0"/>
              <w:rPr>
                <w:sz w:val="17"/>
                <w:szCs w:val="17"/>
                <w:color w:val="auto"/>
              </w:rPr>
            </w:pPr>
          </w:p>
        </w:tc>
        <w:tc>
          <w:tcPr>
            <w:tcW w:w="9900" w:type="dxa"/>
            <w:vAlign w:val="bottom"/>
            <w:gridSpan w:val="31"/>
            <w:shd w:val="clear" w:color="auto" w:fill="CEFFE7"/>
          </w:tcPr>
          <w:p>
            <w:pPr>
              <w:spacing w:after="0"/>
              <w:rPr>
                <w:sz w:val="20"/>
                <w:szCs w:val="20"/>
                <w:color w:val="auto"/>
              </w:rPr>
            </w:pPr>
            <w:r>
              <w:rPr>
                <w:rFonts w:ascii="Arial" w:cs="Arial" w:eastAsia="Arial" w:hAnsi="Arial"/>
                <w:sz w:val="16"/>
                <w:szCs w:val="16"/>
                <w:color w:val="auto"/>
              </w:rPr>
              <w:t>within the Inline XBRL document</w:t>
            </w:r>
          </w:p>
        </w:tc>
      </w:tr>
      <w:tr>
        <w:trPr>
          <w:trHeight w:val="213"/>
        </w:trPr>
        <w:tc>
          <w:tcPr>
            <w:tcW w:w="1340" w:type="dxa"/>
            <w:vAlign w:val="bottom"/>
          </w:tcPr>
          <w:p>
            <w:pPr>
              <w:ind w:left="20"/>
              <w:spacing w:after="0"/>
              <w:rPr>
                <w:sz w:val="20"/>
                <w:szCs w:val="20"/>
                <w:color w:val="auto"/>
              </w:rPr>
            </w:pPr>
            <w:r>
              <w:rPr>
                <w:rFonts w:ascii="Arial" w:cs="Arial" w:eastAsia="Arial" w:hAnsi="Arial"/>
                <w:sz w:val="16"/>
                <w:szCs w:val="16"/>
                <w:color w:val="auto"/>
              </w:rPr>
              <w:t>101.SCH*</w:t>
            </w:r>
          </w:p>
        </w:tc>
        <w:tc>
          <w:tcPr>
            <w:tcW w:w="9900" w:type="dxa"/>
            <w:vAlign w:val="bottom"/>
            <w:gridSpan w:val="31"/>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9"/>
        </w:trPr>
        <w:tc>
          <w:tcPr>
            <w:tcW w:w="1340" w:type="dxa"/>
            <w:vAlign w:val="bottom"/>
            <w:shd w:val="clear" w:color="auto" w:fill="CEFFE7"/>
          </w:tcPr>
          <w:p>
            <w:pPr>
              <w:ind w:left="20"/>
              <w:spacing w:after="0"/>
              <w:rPr>
                <w:sz w:val="20"/>
                <w:szCs w:val="20"/>
                <w:color w:val="auto"/>
              </w:rPr>
            </w:pPr>
            <w:r>
              <w:rPr>
                <w:rFonts w:ascii="Arial" w:cs="Arial" w:eastAsia="Arial" w:hAnsi="Arial"/>
                <w:sz w:val="16"/>
                <w:szCs w:val="16"/>
                <w:color w:val="auto"/>
              </w:rPr>
              <w:t>101.CAL*</w:t>
            </w:r>
          </w:p>
        </w:tc>
        <w:tc>
          <w:tcPr>
            <w:tcW w:w="9900" w:type="dxa"/>
            <w:vAlign w:val="bottom"/>
            <w:gridSpan w:val="31"/>
            <w:shd w:val="clear" w:color="auto" w:fill="CEFFE7"/>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3"/>
        </w:trPr>
        <w:tc>
          <w:tcPr>
            <w:tcW w:w="1340" w:type="dxa"/>
            <w:vAlign w:val="bottom"/>
          </w:tcPr>
          <w:p>
            <w:pPr>
              <w:ind w:left="20"/>
              <w:spacing w:after="0"/>
              <w:rPr>
                <w:sz w:val="20"/>
                <w:szCs w:val="20"/>
                <w:color w:val="auto"/>
              </w:rPr>
            </w:pPr>
            <w:r>
              <w:rPr>
                <w:rFonts w:ascii="Arial" w:cs="Arial" w:eastAsia="Arial" w:hAnsi="Arial"/>
                <w:sz w:val="16"/>
                <w:szCs w:val="16"/>
                <w:color w:val="auto"/>
              </w:rPr>
              <w:t>101.DEF*</w:t>
            </w:r>
          </w:p>
        </w:tc>
        <w:tc>
          <w:tcPr>
            <w:tcW w:w="9900" w:type="dxa"/>
            <w:vAlign w:val="bottom"/>
            <w:gridSpan w:val="31"/>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9"/>
        </w:trPr>
        <w:tc>
          <w:tcPr>
            <w:tcW w:w="1340" w:type="dxa"/>
            <w:vAlign w:val="bottom"/>
            <w:shd w:val="clear" w:color="auto" w:fill="CEFFE7"/>
          </w:tcPr>
          <w:p>
            <w:pPr>
              <w:ind w:left="20"/>
              <w:spacing w:after="0"/>
              <w:rPr>
                <w:sz w:val="20"/>
                <w:szCs w:val="20"/>
                <w:color w:val="auto"/>
              </w:rPr>
            </w:pPr>
            <w:r>
              <w:rPr>
                <w:rFonts w:ascii="Arial" w:cs="Arial" w:eastAsia="Arial" w:hAnsi="Arial"/>
                <w:sz w:val="16"/>
                <w:szCs w:val="16"/>
                <w:color w:val="auto"/>
              </w:rPr>
              <w:t>101.LAB*</w:t>
            </w:r>
          </w:p>
        </w:tc>
        <w:tc>
          <w:tcPr>
            <w:tcW w:w="9900" w:type="dxa"/>
            <w:vAlign w:val="bottom"/>
            <w:gridSpan w:val="31"/>
            <w:shd w:val="clear" w:color="auto" w:fill="CEFFE7"/>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13"/>
        </w:trPr>
        <w:tc>
          <w:tcPr>
            <w:tcW w:w="1340" w:type="dxa"/>
            <w:vAlign w:val="bottom"/>
          </w:tcPr>
          <w:p>
            <w:pPr>
              <w:ind w:left="20"/>
              <w:spacing w:after="0"/>
              <w:rPr>
                <w:sz w:val="20"/>
                <w:szCs w:val="20"/>
                <w:color w:val="auto"/>
              </w:rPr>
            </w:pPr>
            <w:r>
              <w:rPr>
                <w:rFonts w:ascii="Arial" w:cs="Arial" w:eastAsia="Arial" w:hAnsi="Arial"/>
                <w:sz w:val="16"/>
                <w:szCs w:val="16"/>
                <w:color w:val="auto"/>
              </w:rPr>
              <w:t>101.PRE*</w:t>
            </w:r>
          </w:p>
        </w:tc>
        <w:tc>
          <w:tcPr>
            <w:tcW w:w="9900" w:type="dxa"/>
            <w:vAlign w:val="bottom"/>
            <w:gridSpan w:val="31"/>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19"/>
        </w:trPr>
        <w:tc>
          <w:tcPr>
            <w:tcW w:w="1340" w:type="dxa"/>
            <w:vAlign w:val="bottom"/>
            <w:shd w:val="clear" w:color="auto" w:fill="CEFFE7"/>
          </w:tcPr>
          <w:p>
            <w:pPr>
              <w:ind w:left="20"/>
              <w:spacing w:after="0"/>
              <w:rPr>
                <w:sz w:val="20"/>
                <w:szCs w:val="20"/>
                <w:color w:val="auto"/>
              </w:rPr>
            </w:pPr>
            <w:r>
              <w:rPr>
                <w:rFonts w:ascii="Arial" w:cs="Arial" w:eastAsia="Arial" w:hAnsi="Arial"/>
                <w:sz w:val="16"/>
                <w:szCs w:val="16"/>
                <w:color w:val="auto"/>
              </w:rPr>
              <w:t>104*</w:t>
            </w:r>
          </w:p>
        </w:tc>
        <w:tc>
          <w:tcPr>
            <w:tcW w:w="9900" w:type="dxa"/>
            <w:vAlign w:val="bottom"/>
            <w:gridSpan w:val="31"/>
            <w:shd w:val="clear" w:color="auto" w:fill="CEFFE7"/>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r>
        <w:trPr>
          <w:trHeight w:val="858"/>
        </w:trPr>
        <w:tc>
          <w:tcPr>
            <w:tcW w:w="1340" w:type="dxa"/>
            <w:vAlign w:val="bottom"/>
          </w:tcPr>
          <w:p>
            <w:pPr>
              <w:spacing w:after="0"/>
              <w:rPr>
                <w:sz w:val="24"/>
                <w:szCs w:val="24"/>
                <w:color w:val="auto"/>
              </w:rPr>
            </w:pPr>
          </w:p>
        </w:tc>
        <w:tc>
          <w:tcPr>
            <w:tcW w:w="4900" w:type="dxa"/>
            <w:vAlign w:val="bottom"/>
            <w:gridSpan w:val="9"/>
          </w:tcPr>
          <w:p>
            <w:pPr>
              <w:ind w:left="420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0"/>
        </w:trPr>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SIGNATURES</w:t>
      </w:r>
    </w:p>
    <w:p>
      <w:pPr>
        <w:spacing w:after="0" w:line="200" w:lineRule="exact"/>
        <w:rPr>
          <w:sz w:val="20"/>
          <w:szCs w:val="20"/>
          <w:color w:val="auto"/>
        </w:rPr>
      </w:pPr>
    </w:p>
    <w:p>
      <w:pPr>
        <w:spacing w:after="0" w:line="311"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22"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BLACK HILLS CORPORATION</w:t>
      </w:r>
    </w:p>
    <w:p>
      <w:pPr>
        <w:spacing w:after="0" w:line="140"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10795</wp:posOffset>
            </wp:positionV>
            <wp:extent cx="3703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6"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Linden R. Evans, President and</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Executive Officer</w:t>
      </w:r>
    </w:p>
    <w:p>
      <w:pPr>
        <w:spacing w:after="0" w:line="302"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10795</wp:posOffset>
            </wp:positionV>
            <wp:extent cx="3703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26"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Richard W. Kinzley, Senior Vice President and</w:t>
      </w:r>
    </w:p>
    <w:p>
      <w:pPr>
        <w:spacing w:after="0" w:line="3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Chief Financial Officer</w:t>
      </w:r>
    </w:p>
    <w:p>
      <w:pPr>
        <w:spacing w:after="0" w:line="19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August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000"/>
          </w:cols>
          <w:pgMar w:left="320" w:top="121" w:right="57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color w:val="auto"/>
        </w:rPr>
        <w:t>Exhibit 31.1</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I, Linden R. Evans, certify that:</w:t>
      </w:r>
    </w:p>
    <w:p>
      <w:pPr>
        <w:spacing w:after="0" w:line="383" w:lineRule="exact"/>
        <w:rPr>
          <w:sz w:val="20"/>
          <w:szCs w:val="20"/>
          <w:color w:val="auto"/>
        </w:rPr>
      </w:pPr>
    </w:p>
    <w:p>
      <w:pPr>
        <w:ind w:left="800" w:hanging="774"/>
        <w:spacing w:after="0"/>
        <w:tabs>
          <w:tab w:leader="none" w:pos="8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800" w:right="220" w:hanging="774"/>
        <w:spacing w:after="0" w:line="225" w:lineRule="auto"/>
        <w:tabs>
          <w:tab w:leader="none" w:pos="8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800" w:right="80" w:hanging="774"/>
        <w:spacing w:after="0" w:line="232" w:lineRule="auto"/>
        <w:tabs>
          <w:tab w:leader="none" w:pos="8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6"/>
          <w:szCs w:val="16"/>
          <w:color w:val="auto"/>
        </w:rPr>
      </w:pPr>
    </w:p>
    <w:p>
      <w:pPr>
        <w:jc w:val="both"/>
        <w:ind w:left="800" w:right="80" w:hanging="774"/>
        <w:spacing w:after="0" w:line="225" w:lineRule="auto"/>
        <w:tabs>
          <w:tab w:leader="none" w:pos="8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ind w:left="1600" w:right="160" w:hanging="791"/>
        <w:spacing w:after="0" w:line="225" w:lineRule="auto"/>
        <w:tabs>
          <w:tab w:leader="none" w:pos="16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ind w:left="1600" w:right="220" w:hanging="791"/>
        <w:spacing w:after="0" w:line="225" w:lineRule="auto"/>
        <w:tabs>
          <w:tab w:leader="none" w:pos="16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1600" w:right="180" w:hanging="791"/>
        <w:spacing w:after="0" w:line="225" w:lineRule="auto"/>
        <w:tabs>
          <w:tab w:leader="none" w:pos="16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6"/>
          <w:szCs w:val="16"/>
          <w:color w:val="auto"/>
        </w:rPr>
      </w:pPr>
    </w:p>
    <w:p>
      <w:pPr>
        <w:ind w:left="1600" w:right="60" w:hanging="791"/>
        <w:spacing w:after="0" w:line="225" w:lineRule="auto"/>
        <w:tabs>
          <w:tab w:leader="none" w:pos="16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rFonts w:ascii="Arial" w:cs="Arial" w:eastAsia="Arial" w:hAnsi="Arial"/>
          <w:sz w:val="16"/>
          <w:szCs w:val="16"/>
          <w:color w:val="auto"/>
        </w:rPr>
      </w:pPr>
    </w:p>
    <w:p>
      <w:pPr>
        <w:ind w:left="800" w:right="100" w:hanging="774"/>
        <w:spacing w:after="0" w:line="232" w:lineRule="auto"/>
        <w:tabs>
          <w:tab w:leader="none" w:pos="8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4" w:lineRule="exact"/>
        <w:rPr>
          <w:rFonts w:ascii="Arial" w:cs="Arial" w:eastAsia="Arial" w:hAnsi="Arial"/>
          <w:sz w:val="16"/>
          <w:szCs w:val="16"/>
          <w:color w:val="auto"/>
        </w:rPr>
      </w:pPr>
    </w:p>
    <w:p>
      <w:pPr>
        <w:ind w:left="1600" w:right="340" w:hanging="791"/>
        <w:spacing w:after="0" w:line="232" w:lineRule="auto"/>
        <w:tabs>
          <w:tab w:leader="none" w:pos="16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6"/>
          <w:szCs w:val="16"/>
          <w:color w:val="auto"/>
        </w:rPr>
      </w:pPr>
    </w:p>
    <w:p>
      <w:pPr>
        <w:ind w:left="1600" w:right="560" w:hanging="791"/>
        <w:spacing w:after="0" w:line="232" w:lineRule="auto"/>
        <w:tabs>
          <w:tab w:leader="none" w:pos="16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4, 2021</w:t>
      </w:r>
    </w:p>
    <w:p>
      <w:pPr>
        <w:spacing w:after="0" w:line="3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10795</wp:posOffset>
            </wp:positionV>
            <wp:extent cx="29317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Linden R. Evans</w:t>
      </w:r>
    </w:p>
    <w:p>
      <w:pPr>
        <w:spacing w:after="0" w:line="3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240"/>
          </w:cols>
          <w:pgMar w:left="320" w:top="89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color w:val="auto"/>
        </w:rPr>
        <w:t>Exhibit 31.2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I, Richard W. Kinzley, certify that:</w:t>
      </w:r>
    </w:p>
    <w:p>
      <w:pPr>
        <w:spacing w:after="0" w:line="383" w:lineRule="exact"/>
        <w:rPr>
          <w:sz w:val="20"/>
          <w:szCs w:val="20"/>
          <w:color w:val="auto"/>
        </w:rPr>
      </w:pPr>
    </w:p>
    <w:p>
      <w:pPr>
        <w:ind w:left="800" w:hanging="774"/>
        <w:spacing w:after="0"/>
        <w:tabs>
          <w:tab w:leader="none" w:pos="8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Black Hills Corporation;</w:t>
      </w:r>
    </w:p>
    <w:p>
      <w:pPr>
        <w:spacing w:after="0" w:line="194" w:lineRule="exact"/>
        <w:rPr>
          <w:rFonts w:ascii="Arial" w:cs="Arial" w:eastAsia="Arial" w:hAnsi="Arial"/>
          <w:sz w:val="16"/>
          <w:szCs w:val="16"/>
          <w:color w:val="auto"/>
        </w:rPr>
      </w:pPr>
    </w:p>
    <w:p>
      <w:pPr>
        <w:jc w:val="both"/>
        <w:ind w:left="800" w:right="220" w:hanging="774"/>
        <w:spacing w:after="0" w:line="225" w:lineRule="auto"/>
        <w:tabs>
          <w:tab w:leader="none" w:pos="8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800" w:right="80" w:hanging="774"/>
        <w:spacing w:after="0" w:line="232" w:lineRule="auto"/>
        <w:tabs>
          <w:tab w:leader="none" w:pos="8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6"/>
          <w:szCs w:val="16"/>
          <w:color w:val="auto"/>
        </w:rPr>
      </w:pPr>
    </w:p>
    <w:p>
      <w:pPr>
        <w:jc w:val="both"/>
        <w:ind w:left="800" w:right="80" w:hanging="774"/>
        <w:spacing w:after="0" w:line="225" w:lineRule="auto"/>
        <w:tabs>
          <w:tab w:leader="none" w:pos="8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rFonts w:ascii="Arial" w:cs="Arial" w:eastAsia="Arial" w:hAnsi="Arial"/>
          <w:sz w:val="16"/>
          <w:szCs w:val="16"/>
          <w:color w:val="auto"/>
        </w:rPr>
      </w:pPr>
    </w:p>
    <w:p>
      <w:pPr>
        <w:ind w:left="1600" w:right="160" w:hanging="791"/>
        <w:spacing w:after="0" w:line="225" w:lineRule="auto"/>
        <w:tabs>
          <w:tab w:leader="none" w:pos="16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ind w:left="1600" w:right="220" w:hanging="791"/>
        <w:spacing w:after="0" w:line="225" w:lineRule="auto"/>
        <w:tabs>
          <w:tab w:leader="none" w:pos="16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1600" w:right="180" w:hanging="791"/>
        <w:spacing w:after="0" w:line="225" w:lineRule="auto"/>
        <w:tabs>
          <w:tab w:leader="none" w:pos="16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4" w:lineRule="exact"/>
        <w:rPr>
          <w:rFonts w:ascii="Arial" w:cs="Arial" w:eastAsia="Arial" w:hAnsi="Arial"/>
          <w:sz w:val="16"/>
          <w:szCs w:val="16"/>
          <w:color w:val="auto"/>
        </w:rPr>
      </w:pPr>
    </w:p>
    <w:p>
      <w:pPr>
        <w:ind w:left="1600" w:right="60" w:hanging="791"/>
        <w:spacing w:after="0" w:line="225" w:lineRule="auto"/>
        <w:tabs>
          <w:tab w:leader="none" w:pos="16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rFonts w:ascii="Arial" w:cs="Arial" w:eastAsia="Arial" w:hAnsi="Arial"/>
          <w:sz w:val="16"/>
          <w:szCs w:val="16"/>
          <w:color w:val="auto"/>
        </w:rPr>
      </w:pPr>
    </w:p>
    <w:p>
      <w:pPr>
        <w:ind w:left="800" w:right="100" w:hanging="774"/>
        <w:spacing w:after="0" w:line="232" w:lineRule="auto"/>
        <w:tabs>
          <w:tab w:leader="none" w:pos="8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4" w:lineRule="exact"/>
        <w:rPr>
          <w:rFonts w:ascii="Arial" w:cs="Arial" w:eastAsia="Arial" w:hAnsi="Arial"/>
          <w:sz w:val="16"/>
          <w:szCs w:val="16"/>
          <w:color w:val="auto"/>
        </w:rPr>
      </w:pPr>
    </w:p>
    <w:p>
      <w:pPr>
        <w:ind w:left="1600" w:right="340" w:hanging="791"/>
        <w:spacing w:after="0" w:line="232" w:lineRule="auto"/>
        <w:tabs>
          <w:tab w:leader="none" w:pos="16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6"/>
          <w:szCs w:val="16"/>
          <w:color w:val="auto"/>
        </w:rPr>
      </w:pPr>
    </w:p>
    <w:p>
      <w:pPr>
        <w:ind w:left="1600" w:right="560" w:hanging="791"/>
        <w:spacing w:after="0" w:line="232" w:lineRule="auto"/>
        <w:tabs>
          <w:tab w:leader="none" w:pos="16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4, 2021</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10795</wp:posOffset>
            </wp:positionV>
            <wp:extent cx="29317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26"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Richard W. Kinzley</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Senior Vice President and Chief Financial Officer</w:t>
      </w:r>
    </w:p>
    <w:p>
      <w:pPr>
        <w:sectPr>
          <w:pgSz w:w="11900" w:h="16838" w:orient="portrait"/>
          <w:cols w:equalWidth="0" w:num="1">
            <w:col w:w="11240"/>
          </w:cols>
          <w:pgMar w:left="320" w:top="89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auto"/>
        </w:rPr>
        <w:t>Exhibit 32.1</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86"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June 30, 2021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215" w:lineRule="exact"/>
        <w:rPr>
          <w:sz w:val="20"/>
          <w:szCs w:val="20"/>
          <w:color w:val="auto"/>
        </w:rPr>
      </w:pPr>
    </w:p>
    <w:p>
      <w:pPr>
        <w:ind w:left="1600" w:hanging="791"/>
        <w:spacing w:after="0"/>
        <w:tabs>
          <w:tab w:leader="none" w:pos="16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94" w:lineRule="exact"/>
        <w:rPr>
          <w:rFonts w:ascii="Arial" w:cs="Arial" w:eastAsia="Arial" w:hAnsi="Arial"/>
          <w:sz w:val="16"/>
          <w:szCs w:val="16"/>
          <w:color w:val="auto"/>
        </w:rPr>
      </w:pPr>
    </w:p>
    <w:p>
      <w:pPr>
        <w:ind w:left="1600" w:right="120" w:hanging="791"/>
        <w:spacing w:after="0" w:line="232" w:lineRule="auto"/>
        <w:tabs>
          <w:tab w:leader="none" w:pos="16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4, 2021</w:t>
      </w:r>
    </w:p>
    <w:p>
      <w:pPr>
        <w:spacing w:after="0" w:line="302"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10795</wp:posOffset>
            </wp:positionV>
            <wp:extent cx="29317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6"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Linden R. Evans</w:t>
      </w:r>
    </w:p>
    <w:p>
      <w:pPr>
        <w:spacing w:after="0" w:line="32"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240"/>
          </w:cols>
          <w:pgMar w:left="320" w:top="89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color w:val="auto"/>
        </w:rPr>
        <w:t>Exhibit 32.2</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86" w:lineRule="exact"/>
        <w:rPr>
          <w:sz w:val="20"/>
          <w:szCs w:val="20"/>
          <w:color w:val="auto"/>
        </w:rPr>
      </w:pPr>
    </w:p>
    <w:p>
      <w:pPr>
        <w:jc w:val="both"/>
        <w:ind w:right="500"/>
        <w:spacing w:after="0" w:line="253" w:lineRule="auto"/>
        <w:rPr>
          <w:sz w:val="20"/>
          <w:szCs w:val="20"/>
          <w:color w:val="auto"/>
        </w:rPr>
      </w:pPr>
      <w:r>
        <w:rPr>
          <w:rFonts w:ascii="Arial" w:cs="Arial" w:eastAsia="Arial" w:hAnsi="Arial"/>
          <w:sz w:val="16"/>
          <w:szCs w:val="16"/>
          <w:color w:val="auto"/>
        </w:rPr>
        <w:t>In connection with the Quarterly Report of Black Hills Corporation (the “Company”) on Form 10-Q for the period ended June 30, 2021 as filed with the Securities and Exchange Commission on the date hereof (the “Report”), I, Richard W. Kinzley, Senior Vice President and Chief Financial Officer of the Company, certify, pursuant to 18 U.S.C. ss. 1350, as adopted pursuant to ss. 906 of the Sarbanes-Oxley Act of 2002, that:</w:t>
      </w:r>
    </w:p>
    <w:p>
      <w:pPr>
        <w:spacing w:after="0" w:line="215" w:lineRule="exact"/>
        <w:rPr>
          <w:sz w:val="20"/>
          <w:szCs w:val="20"/>
          <w:color w:val="auto"/>
        </w:rPr>
      </w:pPr>
    </w:p>
    <w:p>
      <w:pPr>
        <w:ind w:left="1600" w:hanging="791"/>
        <w:spacing w:after="0"/>
        <w:tabs>
          <w:tab w:leader="none" w:pos="16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194" w:lineRule="exact"/>
        <w:rPr>
          <w:rFonts w:ascii="Arial" w:cs="Arial" w:eastAsia="Arial" w:hAnsi="Arial"/>
          <w:sz w:val="16"/>
          <w:szCs w:val="16"/>
          <w:color w:val="auto"/>
        </w:rPr>
      </w:pPr>
    </w:p>
    <w:p>
      <w:pPr>
        <w:ind w:left="1600" w:right="120" w:hanging="791"/>
        <w:spacing w:after="0" w:line="232" w:lineRule="auto"/>
        <w:tabs>
          <w:tab w:leader="none" w:pos="16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4, 2021</w:t>
      </w:r>
    </w:p>
    <w:p>
      <w:pPr>
        <w:spacing w:after="0" w:line="30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10795</wp:posOffset>
            </wp:positionV>
            <wp:extent cx="29317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Richard W. Kinzley</w:t>
      </w:r>
    </w:p>
    <w:p>
      <w:pPr>
        <w:spacing w:after="0" w:line="3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Senior Vice President and Chief Financial Officer</w:t>
      </w:r>
    </w:p>
    <w:p>
      <w:pPr>
        <w:sectPr>
          <w:pgSz w:w="11900" w:h="16838" w:orient="portrait"/>
          <w:cols w:equalWidth="0" w:num="1">
            <w:col w:w="11240"/>
          </w:cols>
          <w:pgMar w:left="320" w:top="89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color w:val="auto"/>
        </w:rPr>
        <w:t>Exhibit 95</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concerning mine safety violations or other regulatory matters required by Sections 1503(a) of Dodd-Frank is included below.</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Mine Safety and Health Administration Safety Data</w:t>
      </w:r>
    </w:p>
    <w:p>
      <w:pPr>
        <w:spacing w:after="0" w:line="214"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230"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Under the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three month period ended June 30, 2021. In evaluating this information, consideration should be given to factors such as: (i) the number of citations and orders will vary depending on the size of the coal mine, (ii) the number of citations issued will vary from inspector to inspector and mine to mine, and</w:t>
      </w:r>
    </w:p>
    <w:p>
      <w:pPr>
        <w:spacing w:after="0" w:line="2" w:lineRule="exact"/>
        <w:rPr>
          <w:sz w:val="20"/>
          <w:szCs w:val="20"/>
          <w:color w:val="auto"/>
        </w:rPr>
      </w:pPr>
    </w:p>
    <w:p>
      <w:pPr>
        <w:ind w:right="160" w:firstLine="8"/>
        <w:spacing w:after="0" w:line="260" w:lineRule="auto"/>
        <w:tabs>
          <w:tab w:leader="none" w:pos="261" w:val="left"/>
        </w:tabs>
        <w:numPr>
          <w:ilvl w:val="0"/>
          <w:numId w:val="48"/>
        </w:numPr>
        <w:rPr>
          <w:rFonts w:ascii="Arial" w:cs="Arial" w:eastAsia="Arial" w:hAnsi="Arial"/>
          <w:sz w:val="16"/>
          <w:szCs w:val="16"/>
          <w:color w:val="auto"/>
        </w:rPr>
      </w:pPr>
      <w:r>
        <w:rPr>
          <w:rFonts w:ascii="Arial" w:cs="Arial" w:eastAsia="Arial" w:hAnsi="Arial"/>
          <w:sz w:val="16"/>
          <w:szCs w:val="16"/>
          <w:color w:val="auto"/>
        </w:rPr>
        <w:t>citations and orders can be contested and appealed, and in that process, are often reduced in severity and amount, and are sometimes dismissed. The information presented includes:</w:t>
      </w:r>
    </w:p>
    <w:p>
      <w:pPr>
        <w:spacing w:after="0" w:line="222" w:lineRule="exact"/>
        <w:rPr>
          <w:rFonts w:ascii="Arial" w:cs="Arial" w:eastAsia="Arial" w:hAnsi="Arial"/>
          <w:sz w:val="16"/>
          <w:szCs w:val="16"/>
          <w:color w:val="auto"/>
        </w:rPr>
      </w:pPr>
    </w:p>
    <w:p>
      <w:pPr>
        <w:ind w:left="660" w:right="100" w:hanging="328"/>
        <w:spacing w:after="0" w:line="260" w:lineRule="auto"/>
        <w:tabs>
          <w:tab w:leader="none" w:pos="649" w:val="left"/>
        </w:tabs>
        <w:numPr>
          <w:ilvl w:val="1"/>
          <w:numId w:val="48"/>
        </w:numPr>
        <w:rPr>
          <w:rFonts w:ascii="Arial" w:cs="Arial" w:eastAsia="Arial" w:hAnsi="Arial"/>
          <w:sz w:val="16"/>
          <w:szCs w:val="16"/>
          <w:color w:val="auto"/>
        </w:rPr>
      </w:pPr>
      <w:r>
        <w:rPr>
          <w:rFonts w:ascii="Arial" w:cs="Arial" w:eastAsia="Arial" w:hAnsi="Arial"/>
          <w:sz w:val="16"/>
          <w:szCs w:val="16"/>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Total number of orders issued under section 104(b) of the Mine Act;</w:t>
      </w:r>
    </w:p>
    <w:p>
      <w:pPr>
        <w:spacing w:after="0" w:line="248" w:lineRule="exact"/>
        <w:rPr>
          <w:rFonts w:ascii="Arial" w:cs="Arial" w:eastAsia="Arial" w:hAnsi="Arial"/>
          <w:sz w:val="16"/>
          <w:szCs w:val="16"/>
          <w:color w:val="auto"/>
        </w:rPr>
      </w:pPr>
    </w:p>
    <w:p>
      <w:pPr>
        <w:ind w:left="660" w:right="360" w:hanging="328"/>
        <w:spacing w:after="0" w:line="260" w:lineRule="auto"/>
        <w:tabs>
          <w:tab w:leader="none" w:pos="649" w:val="left"/>
        </w:tabs>
        <w:numPr>
          <w:ilvl w:val="1"/>
          <w:numId w:val="48"/>
        </w:numPr>
        <w:rPr>
          <w:rFonts w:ascii="Arial" w:cs="Arial" w:eastAsia="Arial" w:hAnsi="Arial"/>
          <w:sz w:val="16"/>
          <w:szCs w:val="16"/>
          <w:color w:val="auto"/>
        </w:rPr>
      </w:pPr>
      <w:r>
        <w:rPr>
          <w:rFonts w:ascii="Arial" w:cs="Arial" w:eastAsia="Arial" w:hAnsi="Arial"/>
          <w:sz w:val="16"/>
          <w:szCs w:val="16"/>
          <w:color w:val="auto"/>
        </w:rPr>
        <w:t>Total number of citations and orders for unwarrantable failure of the mine operator to comply with mandatory health and safety standards under section 104(d) of the Mine Act;</w:t>
      </w:r>
    </w:p>
    <w:p>
      <w:pPr>
        <w:spacing w:after="0" w:line="222" w:lineRule="exact"/>
        <w:rPr>
          <w:rFonts w:ascii="Arial" w:cs="Arial" w:eastAsia="Arial" w:hAnsi="Arial"/>
          <w:sz w:val="16"/>
          <w:szCs w:val="16"/>
          <w:color w:val="auto"/>
        </w:rPr>
      </w:pPr>
    </w:p>
    <w:p>
      <w:pPr>
        <w:ind w:left="640" w:hanging="308"/>
        <w:spacing w:after="0"/>
        <w:tabs>
          <w:tab w:leader="none" w:pos="6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Total number of imminent danger orders issued under section 107(a) of the Mine Act;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Total dollar value of proposed assessments from MSHA under the Mine Act.</w:t>
      </w:r>
    </w:p>
    <w:p>
      <w:pPr>
        <w:spacing w:after="0" w:line="24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table below sets forth the total number of citations and/or orders issued by MSHA to WRDC under the indicated provisions of the Mine Act, together with the total dollar value of proposed MSHA assessments received during the three months ended June 30, 2021 and legal actions pending before the Federal Mine Safety and Health Review Commission, together with the Administrative Law Judges thereof, for WRDC, our only mining complex. All citations were abated within 24 hours of issue.</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7"/>
              </w:rPr>
              <w:t>Mine Act Section</w:t>
            </w:r>
          </w:p>
        </w:tc>
        <w:tc>
          <w:tcPr>
            <w:tcW w:w="66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9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4"/>
              </w:rPr>
              <w:t>Legal</w:t>
            </w:r>
          </w:p>
        </w:tc>
        <w:tc>
          <w:tcPr>
            <w:tcW w:w="78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94"/>
              </w:rPr>
              <w:t>Legal</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Legal</w:t>
            </w: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104 S&amp;S</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Act</w:t>
            </w:r>
          </w:p>
        </w:tc>
        <w:tc>
          <w:tcPr>
            <w:tcW w:w="860" w:type="dxa"/>
            <w:vAlign w:val="bottom"/>
            <w:vMerge w:val="continue"/>
          </w:tcPr>
          <w:p>
            <w:pPr>
              <w:spacing w:after="0"/>
              <w:rPr>
                <w:sz w:val="10"/>
                <w:szCs w:val="10"/>
                <w:color w:val="auto"/>
              </w:rPr>
            </w:pPr>
          </w:p>
        </w:tc>
        <w:tc>
          <w:tcPr>
            <w:tcW w:w="96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5"/>
              </w:rPr>
              <w:t>Mine Act</w:t>
            </w: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3"/>
              </w:rPr>
              <w:t>Section</w:t>
            </w:r>
          </w:p>
        </w:tc>
        <w:tc>
          <w:tcPr>
            <w:tcW w:w="322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w w:val="98"/>
              </w:rPr>
              <w:t>Total Dollar Value Total Number Received Notice of</w:t>
            </w:r>
          </w:p>
        </w:tc>
        <w:tc>
          <w:tcPr>
            <w:tcW w:w="8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Actions</w:t>
            </w:r>
          </w:p>
        </w:tc>
        <w:tc>
          <w:tcPr>
            <w:tcW w:w="7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11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Citations issued</w:t>
            </w:r>
          </w:p>
        </w:tc>
        <w:tc>
          <w:tcPr>
            <w:tcW w:w="660" w:type="dxa"/>
            <w:vAlign w:val="bottom"/>
            <w:vMerge w:val="continue"/>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Section</w:t>
            </w:r>
          </w:p>
        </w:tc>
        <w:tc>
          <w:tcPr>
            <w:tcW w:w="960" w:type="dxa"/>
            <w:vAlign w:val="bottom"/>
            <w:vMerge w:val="continue"/>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107(a)</w:t>
            </w:r>
          </w:p>
        </w:tc>
        <w:tc>
          <w:tcPr>
            <w:tcW w:w="3220" w:type="dxa"/>
            <w:vAlign w:val="bottom"/>
            <w:gridSpan w:val="4"/>
            <w:vMerge w:val="continue"/>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Pending as</w:t>
            </w:r>
          </w:p>
        </w:tc>
        <w:tc>
          <w:tcPr>
            <w:tcW w:w="7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6"/>
              </w:rPr>
              <w:t>Actions</w:t>
            </w: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Actions</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Mine/ MSHA</w:t>
            </w:r>
          </w:p>
        </w:tc>
        <w:tc>
          <w:tcPr>
            <w:tcW w:w="11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during three</w:t>
            </w:r>
          </w:p>
        </w:tc>
        <w:tc>
          <w:tcPr>
            <w:tcW w:w="6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3"/>
              </w:rPr>
              <w:t>Section</w:t>
            </w: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3"/>
              </w:rPr>
              <w:t>104(d)</w:t>
            </w:r>
          </w:p>
        </w:tc>
        <w:tc>
          <w:tcPr>
            <w:tcW w:w="9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Section 110(b)</w:t>
            </w:r>
          </w:p>
        </w:tc>
        <w:tc>
          <w:tcPr>
            <w:tcW w:w="7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Imminent</w:t>
            </w:r>
          </w:p>
        </w:tc>
        <w:tc>
          <w:tcPr>
            <w:tcW w:w="18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of Proposed</w:t>
            </w:r>
          </w:p>
        </w:tc>
        <w:tc>
          <w:tcPr>
            <w:tcW w:w="8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of Mining</w:t>
            </w:r>
          </w:p>
        </w:tc>
        <w:tc>
          <w:tcPr>
            <w:tcW w:w="11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Potential to Have</w:t>
            </w:r>
          </w:p>
        </w:tc>
        <w:tc>
          <w:tcPr>
            <w:tcW w:w="8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of Last Day</w:t>
            </w:r>
          </w:p>
        </w:tc>
        <w:tc>
          <w:tcPr>
            <w:tcW w:w="78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6"/>
              </w:rPr>
              <w:t>Initiated</w:t>
            </w:r>
          </w:p>
        </w:tc>
        <w:tc>
          <w:tcPr>
            <w:tcW w:w="8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Resolved</w:t>
            </w:r>
          </w:p>
        </w:tc>
        <w:tc>
          <w:tcPr>
            <w:tcW w:w="0" w:type="dxa"/>
            <w:vAlign w:val="bottom"/>
          </w:tcPr>
          <w:p>
            <w:pPr>
              <w:spacing w:after="0"/>
              <w:rPr>
                <w:sz w:val="1"/>
                <w:szCs w:val="1"/>
                <w:color w:val="auto"/>
              </w:rPr>
            </w:pPr>
          </w:p>
        </w:tc>
      </w:tr>
      <w:tr>
        <w:trPr>
          <w:trHeight w:val="167"/>
        </w:trPr>
        <w:tc>
          <w:tcPr>
            <w:tcW w:w="1140" w:type="dxa"/>
            <w:vAlign w:val="bottom"/>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6"/>
              </w:rPr>
              <w:t>months ended</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3"/>
              </w:rPr>
              <w:t>104(b)</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Citations and</w:t>
            </w:r>
          </w:p>
        </w:tc>
        <w:tc>
          <w:tcPr>
            <w:tcW w:w="960" w:type="dxa"/>
            <w:vAlign w:val="bottom"/>
          </w:tcPr>
          <w:p>
            <w:pPr>
              <w:jc w:val="right"/>
              <w:ind w:right="377"/>
              <w:spacing w:after="0"/>
              <w:rPr>
                <w:sz w:val="20"/>
                <w:szCs w:val="20"/>
                <w:color w:val="auto"/>
              </w:rPr>
            </w:pPr>
            <w:r>
              <w:rPr>
                <w:rFonts w:ascii="Arial" w:cs="Arial" w:eastAsia="Arial" w:hAnsi="Arial"/>
                <w:sz w:val="13"/>
                <w:szCs w:val="13"/>
                <w:b w:val="1"/>
                <w:bCs w:val="1"/>
                <w:color w:val="auto"/>
              </w:rPr>
              <w:t>(2)</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8"/>
              </w:rPr>
              <w:t>Danger</w:t>
            </w:r>
          </w:p>
        </w:tc>
        <w:tc>
          <w:tcPr>
            <w:tcW w:w="180" w:type="dxa"/>
            <w:vAlign w:val="bottom"/>
          </w:tcPr>
          <w:p>
            <w:pPr>
              <w:spacing w:after="0"/>
              <w:rPr>
                <w:sz w:val="14"/>
                <w:szCs w:val="14"/>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b w:val="1"/>
                <w:bCs w:val="1"/>
                <w:color w:val="auto"/>
                <w:w w:val="99"/>
              </w:rPr>
              <w:t>MSHA</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Related</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7"/>
              </w:rPr>
              <w:t>Pattern Under</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of</w:t>
            </w:r>
          </w:p>
        </w:tc>
        <w:tc>
          <w:tcPr>
            <w:tcW w:w="780" w:type="dxa"/>
            <w:vAlign w:val="bottom"/>
          </w:tcPr>
          <w:p>
            <w:pPr>
              <w:jc w:val="center"/>
              <w:ind w:right="37"/>
              <w:spacing w:after="0"/>
              <w:rPr>
                <w:sz w:val="20"/>
                <w:szCs w:val="20"/>
                <w:color w:val="auto"/>
              </w:rPr>
            </w:pPr>
            <w:r>
              <w:rPr>
                <w:rFonts w:ascii="Arial" w:cs="Arial" w:eastAsia="Arial" w:hAnsi="Arial"/>
                <w:sz w:val="13"/>
                <w:szCs w:val="13"/>
                <w:b w:val="1"/>
                <w:bCs w:val="1"/>
                <w:color w:val="auto"/>
                <w:w w:val="95"/>
              </w:rPr>
              <w:t>During</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During</w:t>
            </w:r>
          </w:p>
        </w:tc>
        <w:tc>
          <w:tcPr>
            <w:tcW w:w="0" w:type="dxa"/>
            <w:vAlign w:val="bottom"/>
          </w:tcPr>
          <w:p>
            <w:pPr>
              <w:spacing w:after="0"/>
              <w:rPr>
                <w:sz w:val="1"/>
                <w:szCs w:val="1"/>
                <w:color w:val="auto"/>
              </w:rPr>
            </w:pPr>
          </w:p>
        </w:tc>
      </w:tr>
      <w:tr>
        <w:trPr>
          <w:trHeight w:val="130"/>
        </w:trPr>
        <w:tc>
          <w:tcPr>
            <w:tcW w:w="11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Identification</w:t>
            </w: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June 30, 2021</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Violations (#)</w:t>
            </w: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180" w:type="dxa"/>
            <w:vAlign w:val="bottom"/>
          </w:tcPr>
          <w:p>
            <w:pPr>
              <w:spacing w:after="0"/>
              <w:rPr>
                <w:sz w:val="11"/>
                <w:szCs w:val="11"/>
                <w:color w:val="auto"/>
              </w:rPr>
            </w:pPr>
          </w:p>
        </w:tc>
        <w:tc>
          <w:tcPr>
            <w:tcW w:w="98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97"/>
              </w:rPr>
              <w:t>Assessments</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Fatalities (#)</w:t>
            </w:r>
          </w:p>
        </w:tc>
        <w:tc>
          <w:tcPr>
            <w:tcW w:w="118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7"/>
              </w:rPr>
              <w:t>Section 104(e)</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Period (#) (a)</w:t>
            </w:r>
          </w:p>
        </w:tc>
        <w:tc>
          <w:tcPr>
            <w:tcW w:w="78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6"/>
              </w:rPr>
              <w:t>Period (#)</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Period (#)</w:t>
            </w:r>
          </w:p>
        </w:tc>
        <w:tc>
          <w:tcPr>
            <w:tcW w:w="0" w:type="dxa"/>
            <w:vAlign w:val="bottom"/>
          </w:tcPr>
          <w:p>
            <w:pPr>
              <w:spacing w:after="0"/>
              <w:rPr>
                <w:sz w:val="1"/>
                <w:szCs w:val="1"/>
                <w:color w:val="auto"/>
              </w:rPr>
            </w:pPr>
          </w:p>
        </w:tc>
      </w:tr>
      <w:tr>
        <w:trPr>
          <w:trHeight w:val="172"/>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12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(yes/no)</w:t>
            </w:r>
          </w:p>
        </w:tc>
        <w:tc>
          <w:tcPr>
            <w:tcW w:w="88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40" w:type="dxa"/>
            <w:vAlign w:val="bottom"/>
          </w:tcPr>
          <w:p>
            <w:pPr>
              <w:ind w:left="20"/>
              <w:spacing w:after="0" w:line="126" w:lineRule="exact"/>
              <w:rPr>
                <w:sz w:val="20"/>
                <w:szCs w:val="20"/>
                <w:color w:val="auto"/>
              </w:rPr>
            </w:pPr>
            <w:r>
              <w:rPr>
                <w:rFonts w:ascii="Arial" w:cs="Arial" w:eastAsia="Arial" w:hAnsi="Arial"/>
                <w:sz w:val="13"/>
                <w:szCs w:val="13"/>
                <w:color w:val="auto"/>
              </w:rPr>
              <w:t>Wyodak Coal Mine</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18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396</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1180" w:type="dxa"/>
            <w:vAlign w:val="bottom"/>
            <w:vMerge w:val="restart"/>
          </w:tcPr>
          <w:p>
            <w:pPr>
              <w:jc w:val="center"/>
              <w:spacing w:after="0"/>
              <w:rPr>
                <w:sz w:val="20"/>
                <w:szCs w:val="20"/>
                <w:color w:val="auto"/>
              </w:rPr>
            </w:pPr>
            <w:r>
              <w:rPr>
                <w:rFonts w:ascii="Arial" w:cs="Arial" w:eastAsia="Arial" w:hAnsi="Arial"/>
                <w:sz w:val="13"/>
                <w:szCs w:val="13"/>
                <w:color w:val="auto"/>
                <w:w w:val="96"/>
              </w:rPr>
              <w:t>No</w:t>
            </w:r>
          </w:p>
        </w:tc>
        <w:tc>
          <w:tcPr>
            <w:tcW w:w="880" w:type="dxa"/>
            <w:vAlign w:val="bottom"/>
            <w:vMerge w:val="restart"/>
          </w:tcPr>
          <w:p>
            <w:pPr>
              <w:ind w:left="64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ind w:left="54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ind w:lef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140" w:type="dxa"/>
            <w:vAlign w:val="bottom"/>
          </w:tcPr>
          <w:p>
            <w:pPr>
              <w:ind w:left="20"/>
              <w:spacing w:after="0"/>
              <w:rPr>
                <w:sz w:val="20"/>
                <w:szCs w:val="20"/>
                <w:color w:val="auto"/>
              </w:rPr>
            </w:pPr>
            <w:r>
              <w:rPr>
                <w:rFonts w:ascii="Arial" w:cs="Arial" w:eastAsia="Arial" w:hAnsi="Arial"/>
                <w:sz w:val="13"/>
                <w:szCs w:val="13"/>
                <w:color w:val="auto"/>
              </w:rPr>
              <w:t>- 4800083</w:t>
            </w:r>
          </w:p>
        </w:tc>
        <w:tc>
          <w:tcPr>
            <w:tcW w:w="112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15" w:lineRule="exact"/>
        <w:rPr>
          <w:sz w:val="20"/>
          <w:szCs w:val="20"/>
          <w:color w:val="auto"/>
        </w:rPr>
      </w:pPr>
    </w:p>
    <w:p>
      <w:pPr>
        <w:ind w:left="340" w:right="200" w:hanging="332"/>
        <w:spacing w:after="0" w:line="249" w:lineRule="auto"/>
        <w:tabs>
          <w:tab w:leader="none" w:pos="349" w:val="left"/>
        </w:tabs>
        <w:numPr>
          <w:ilvl w:val="0"/>
          <w:numId w:val="49"/>
        </w:numPr>
        <w:rPr>
          <w:rFonts w:ascii="Arial" w:cs="Arial" w:eastAsia="Arial" w:hAnsi="Arial"/>
          <w:sz w:val="14"/>
          <w:szCs w:val="14"/>
          <w:color w:val="auto"/>
        </w:rPr>
      </w:pPr>
      <w:r>
        <w:rPr>
          <w:rFonts w:ascii="Arial" w:cs="Arial" w:eastAsia="Arial" w:hAnsi="Arial"/>
          <w:sz w:val="14"/>
          <w:szCs w:val="14"/>
          <w:color w:val="auto"/>
        </w:rPr>
        <w:t xml:space="preserve">The types of proceedings by class: (1) contests of citations and orders - none; (2) contests of proposed penalties - none; (3) complaints for compensation - none; (4) complaints of discharge, discrimination or interference under Section 105 of the </w:t>
      </w:r>
      <w:r>
        <w:rPr>
          <w:rFonts w:ascii="Arial" w:cs="Arial" w:eastAsia="Arial" w:hAnsi="Arial"/>
          <w:sz w:val="16"/>
          <w:szCs w:val="16"/>
          <w:color w:val="auto"/>
        </w:rPr>
        <w:t>Mine Act - none; (5) applications for temporary relief - none; and (6) appeals of</w:t>
      </w:r>
      <w:r>
        <w:rPr>
          <w:rFonts w:ascii="Arial" w:cs="Arial" w:eastAsia="Arial" w:hAnsi="Arial"/>
          <w:sz w:val="14"/>
          <w:szCs w:val="14"/>
          <w:color w:val="auto"/>
        </w:rPr>
        <w:t xml:space="preserve"> </w:t>
      </w:r>
      <w:r>
        <w:rPr>
          <w:rFonts w:ascii="Arial" w:cs="Arial" w:eastAsia="Arial" w:hAnsi="Arial"/>
          <w:sz w:val="16"/>
          <w:szCs w:val="16"/>
          <w:color w:val="auto"/>
        </w:rPr>
        <w:t>judges' decisions or orders to the FMSHRC - none.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lowerLetter"/>
      <w:start w:val="1"/>
    </w:lvl>
  </w:abstractNum>
  <w:abstractNum w:abstractNumId="4">
    <w:nsid w:val="54E49EB4"/>
    <w:multiLevelType w:val="hybridMultilevel"/>
    <w:lvl w:ilvl="0">
      <w:lvlJc w:val="left"/>
      <w:lvlText w:val="(%1)"/>
      <w:numFmt w:val="decimal"/>
      <w:start w:val="3"/>
    </w:lvl>
  </w:abstractNum>
  <w:abstractNum w:abstractNumId="5">
    <w:nsid w:val="71F32454"/>
    <w:multiLevelType w:val="hybridMultilevel"/>
    <w:lvl w:ilvl="0">
      <w:lvlJc w:val="left"/>
      <w:lvlText w:val="(%1)"/>
      <w:numFmt w:val="decimal"/>
      <w:start w:val="4"/>
    </w:lvl>
  </w:abstractNum>
  <w:abstractNum w:abstractNumId="6">
    <w:nsid w:val="2CA88611"/>
    <w:multiLevelType w:val="hybridMultilevel"/>
    <w:lvl w:ilvl="0">
      <w:lvlJc w:val="left"/>
      <w:lvlText w:val="(%1)"/>
      <w:numFmt w:val="decimal"/>
      <w:start w:val="5"/>
    </w:lvl>
  </w:abstractNum>
  <w:abstractNum w:abstractNumId="7">
    <w:nsid w:val="836C40E"/>
    <w:multiLevelType w:val="hybridMultilevel"/>
    <w:lvl w:ilvl="0">
      <w:lvlJc w:val="left"/>
      <w:lvlText w:val="(%1)"/>
      <w:numFmt w:val="decimal"/>
      <w:start w:val="6"/>
    </w:lvl>
  </w:abstractNum>
  <w:abstractNum w:abstractNumId="8">
    <w:nsid w:val="2901D82"/>
    <w:multiLevelType w:val="hybridMultilevel"/>
    <w:lvl w:ilvl="0">
      <w:lvlJc w:val="left"/>
      <w:lvlText w:val="(%1)"/>
      <w:numFmt w:val="decimal"/>
      <w:start w:val="7"/>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lowerLetter"/>
      <w:start w:val="1"/>
    </w:lvl>
  </w:abstractNum>
  <w:abstractNum w:abstractNumId="11">
    <w:nsid w:val="1E7FF521"/>
    <w:multiLevelType w:val="hybridMultilevel"/>
    <w:lvl w:ilvl="0">
      <w:lvlJc w:val="left"/>
      <w:lvlText w:val="(%1)"/>
      <w:numFmt w:val="decimal"/>
      <w:start w:val="8"/>
    </w:lvl>
  </w:abstractNum>
  <w:abstractNum w:abstractNumId="12">
    <w:nsid w:val="7C3DBD3D"/>
    <w:multiLevelType w:val="hybridMultilevel"/>
    <w:lvl w:ilvl="0">
      <w:lvlJc w:val="left"/>
      <w:lvlText w:val="(%1)"/>
      <w:numFmt w:val="lowerLetter"/>
      <w:start w:val="1"/>
    </w:lvl>
  </w:abstractNum>
  <w:abstractNum w:abstractNumId="13">
    <w:nsid w:val="737B8DDC"/>
    <w:multiLevelType w:val="hybridMultilevel"/>
    <w:lvl w:ilvl="0">
      <w:lvlJc w:val="left"/>
      <w:lvlText w:val="(%1)"/>
      <w:numFmt w:val="decimal"/>
      <w:start w:val="9"/>
    </w:lvl>
  </w:abstractNum>
  <w:abstractNum w:abstractNumId="14">
    <w:nsid w:val="6CEAF087"/>
    <w:multiLevelType w:val="hybridMultilevel"/>
    <w:lvl w:ilvl="0">
      <w:lvlJc w:val="left"/>
      <w:lvlText w:val="(%1)"/>
      <w:numFmt w:val="decimal"/>
      <w:start w:val="10"/>
    </w:lvl>
  </w:abstractNum>
  <w:abstractNum w:abstractNumId="15">
    <w:nsid w:val="22221A70"/>
    <w:multiLevelType w:val="hybridMultilevel"/>
    <w:lvl w:ilvl="0">
      <w:lvlJc w:val="left"/>
      <w:lvlText w:val="(%1)"/>
      <w:numFmt w:val="decimal"/>
      <w:start w:val="11"/>
    </w:lvl>
  </w:abstractNum>
  <w:abstractNum w:abstractNumId="16">
    <w:nsid w:val="4516DDE9"/>
    <w:multiLevelType w:val="hybridMultilevel"/>
    <w:lvl w:ilvl="0">
      <w:lvlJc w:val="left"/>
      <w:lvlText w:val="(%1)"/>
      <w:numFmt w:val="decimal"/>
      <w:start w:val="12"/>
    </w:lvl>
  </w:abstractNum>
  <w:abstractNum w:abstractNumId="17">
    <w:nsid w:val="3006C83E"/>
    <w:multiLevelType w:val="hybridMultilevel"/>
    <w:lvl w:ilvl="0">
      <w:lvlJc w:val="left"/>
      <w:lvlText w:val="(%1)"/>
      <w:numFmt w:val="decimal"/>
      <w:start w:val="13"/>
    </w:lvl>
  </w:abstractNum>
  <w:abstractNum w:abstractNumId="18">
    <w:nsid w:val="614FD4A1"/>
    <w:multiLevelType w:val="hybridMultilevel"/>
    <w:lvl w:ilvl="0">
      <w:lvlJc w:val="left"/>
      <w:lvlText w:val="(%1)"/>
      <w:numFmt w:val="decimal"/>
      <w:start w:val="14"/>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lowerLetter"/>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lowerLetter"/>
      <w:start w:val="1"/>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lowerLetter"/>
      <w:start w:val="1"/>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1)"/>
      <w:numFmt w:val="lowerLetter"/>
      <w:start w:val="1"/>
    </w:lvl>
  </w:abstractNum>
  <w:abstractNum w:abstractNumId="30">
    <w:nsid w:val="2D517796"/>
    <w:multiLevelType w:val="hybridMultilevel"/>
    <w:lvl w:ilvl="0">
      <w:lvlJc w:val="left"/>
      <w:lvlText w:val="(%1)"/>
      <w:numFmt w:val="lowerLetter"/>
      <w:start w:val="1"/>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1)"/>
      <w:numFmt w:val="lowerLetter"/>
      <w:start w:val="1"/>
    </w:lvl>
  </w:abstractNum>
  <w:abstractNum w:abstractNumId="33">
    <w:nsid w:val="3855585C"/>
    <w:multiLevelType w:val="hybridMultilevel"/>
    <w:lvl w:ilvl="0">
      <w:lvlJc w:val="left"/>
      <w:lvlText w:val="(%1)"/>
      <w:numFmt w:val="lowerLetter"/>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lvl w:ilvl="1">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decimal"/>
      <w:start w:val="1"/>
    </w:lvl>
    <w:lvl w:ilvl="1">
      <w:lvlJc w:val="left"/>
      <w:lvlText w:val="%2)"/>
      <w:numFmt w:val="lowerLetter"/>
      <w:start w:val="1"/>
    </w:lvl>
  </w:abstractNum>
  <w:abstractNum w:abstractNumId="44">
    <w:nsid w:val="6DE91B18"/>
    <w:multiLevelType w:val="hybridMultilevel"/>
    <w:lvl w:ilvl="0">
      <w:lvlJc w:val="left"/>
      <w:lvlText w:val="%1."/>
      <w:numFmt w:val="decimal"/>
      <w:start w:val="1"/>
    </w:lvl>
    <w:lvl w:ilvl="1">
      <w:lvlJc w:val="left"/>
      <w:lvlText w:val="%2)"/>
      <w:numFmt w:val="lowerLetter"/>
      <w:start w:val="1"/>
    </w:lvl>
  </w:abstractNum>
  <w:abstractNum w:abstractNumId="45">
    <w:nsid w:val="38437FDB"/>
    <w:multiLevelType w:val="hybridMultilevel"/>
    <w:lvl w:ilvl="0">
      <w:lvlJc w:val="left"/>
      <w:lvlText w:val="(%1)"/>
      <w:numFmt w:val="decimal"/>
      <w:start w:val="1"/>
    </w:lvl>
  </w:abstractNum>
  <w:abstractNum w:abstractNumId="46">
    <w:nsid w:val="7644A45C"/>
    <w:multiLevelType w:val="hybridMultilevel"/>
    <w:lvl w:ilvl="0">
      <w:lvlJc w:val="left"/>
      <w:lvlText w:val="(%1)"/>
      <w:numFmt w:val="decimal"/>
      <w:start w:val="1"/>
    </w:lvl>
  </w:abstractNum>
  <w:abstractNum w:abstractNumId="47">
    <w:nsid w:val="32FFF902"/>
    <w:multiLevelType w:val="hybridMultilevel"/>
    <w:lvl w:ilvl="0">
      <w:lvlJc w:val="left"/>
      <w:lvlText w:val="(%1)"/>
      <w:numFmt w:val="lowerRoman"/>
      <w:start w:val="3"/>
    </w:lvl>
    <w:lvl w:ilvl="1">
      <w:lvlJc w:val="left"/>
      <w:lvlText w:val="•"/>
      <w:numFmt w:val="bullet"/>
      <w:start w:val="1"/>
    </w:lvl>
  </w:abstractNum>
  <w:abstractNum w:abstractNumId="48">
    <w:nsid w:val="684A481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19" Type="http://schemas.openxmlformats.org/officeDocument/2006/relationships/image" Target="media/image93.png"/><Relationship Id="rId120"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98" Type="http://schemas.openxmlformats.org/officeDocument/2006/relationships/hyperlink" Target="http://www.sec.gov/Archives/edgar/data/1130464/000113046418000007/bhcamendedarticles.htm" TargetMode="External"/><Relationship Id="rId99" Type="http://schemas.openxmlformats.org/officeDocument/2006/relationships/hyperlink" Target="http://www.sec.gov/Archives/edgar/data/1130464/000113046417000016/bkhexh3-amdrestatedbylawso.htm" TargetMode="External"/><Relationship Id="rId100" Type="http://schemas.openxmlformats.org/officeDocument/2006/relationships/hyperlink" Target="http://www.sec.gov/Archives/edgar/data/1130464/000113046403000214/ex4-1_10q603.htm" TargetMode="External"/><Relationship Id="rId101" Type="http://schemas.openxmlformats.org/officeDocument/2006/relationships/hyperlink" Target="http://www.sec.gov/Archives/edgar/data/1130464/000113046403000214/ex4-2_10q603.htm" TargetMode="External"/><Relationship Id="rId102" Type="http://schemas.openxmlformats.org/officeDocument/2006/relationships/hyperlink" Target="http://www.sec.gov/Archives/edgar/data/1130464/000110465909032244/a09-13238_3ex4.htm" TargetMode="External"/><Relationship Id="rId103" Type="http://schemas.openxmlformats.org/officeDocument/2006/relationships/hyperlink" Target="http://www.sec.gov/Archives/edgar/data/1130464/000110465910038202/a10-11184_5ex4.htm" TargetMode="External"/><Relationship Id="rId106" Type="http://schemas.openxmlformats.org/officeDocument/2006/relationships/hyperlink" Target="http://www.sec.gov/Archives/edgar/data/1130464/000110465913085420/a13-24110_4ex4.htm" TargetMode="External"/><Relationship Id="rId107" Type="http://schemas.openxmlformats.org/officeDocument/2006/relationships/hyperlink" Target="http://www.sec.gov/Archives/edgar/data/1130464/000110465916089656/a16-1059_4ex4d1.htm" TargetMode="External"/><Relationship Id="rId108" Type="http://schemas.openxmlformats.org/officeDocument/2006/relationships/hyperlink" Target="http://www.sec.gov/Archives/edgar/data/1130464/000110465916140657/a16-17027_1ex4d1.htm" TargetMode="External"/><Relationship Id="rId109" Type="http://schemas.openxmlformats.org/officeDocument/2006/relationships/hyperlink" Target="http://www.sec.gov/Archives/edgar/data/1130464/000110465918052602/a18-18564_4ex4d2.htm" TargetMode="External"/><Relationship Id="rId110" Type="http://schemas.openxmlformats.org/officeDocument/2006/relationships/hyperlink" Target="http://www.sec.gov/Archives/edgar/data/1130464/000141057819001533/tv530573_ex4-1.htm" TargetMode="External"/><Relationship Id="rId111" Type="http://schemas.openxmlformats.org/officeDocument/2006/relationships/hyperlink" Target="http://www.sec.gov/Archives/edgar/data/12400/000104746909009108/a2195001zex-4_19.htm" TargetMode="External"/><Relationship Id="rId112" Type="http://schemas.openxmlformats.org/officeDocument/2006/relationships/hyperlink" Target="http://www.sec.gov/Archives/edgar/data/12400/000093066102002633/dex42.txt" TargetMode="External"/><Relationship Id="rId113" Type="http://schemas.openxmlformats.org/officeDocument/2006/relationships/hyperlink" Target="http://www.sec.gov/Archives/edgar/data/12400/000110465909060487/a09-31821_7ex4d21.htm" TargetMode="External"/><Relationship Id="rId114" Type="http://schemas.openxmlformats.org/officeDocument/2006/relationships/hyperlink" Target="http://www.sec.gov/Archives/edgar/data/12400/000113046414000164/ex_10-1thirdsuppindentureb.htm" TargetMode="External"/><Relationship Id="rId115" Type="http://schemas.openxmlformats.org/officeDocument/2006/relationships/hyperlink" Target="http://www.sec.gov/Archives/edgar/data/12400/000113046414000164/ex_10-2restatedindenture.htm" TargetMode="External"/><Relationship Id="rId116" Type="http://schemas.openxmlformats.org/officeDocument/2006/relationships/hyperlink" Target="http://www.sec.gov/Archives/edgar/data/12400/000113046414000164/ex_10-3clfpfirstsupplement.htm" TargetMode="External"/><Relationship Id="rId117" Type="http://schemas.openxmlformats.org/officeDocument/2006/relationships/hyperlink" Target="http://www.sec.gov/Archives/edgar/data/12400/000113046414000164/ex_10-4clfpsupplementalind.htm" TargetMode="External"/><Relationship Id="rId118" Type="http://schemas.openxmlformats.org/officeDocument/2006/relationships/hyperlink" Target="http://www.sec.gov/Archives/edgar/data/1130464/000001240001000024/0000012400-01-000024-0002.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2021-08-04T10:50:30Z</dcterms:created>
  <dcterms:modified xsi:type="dcterms:W3CDTF">2021-08-04T10:50:30Z</dcterms:modified>
</cp:coreProperties>
</file>