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53" w:lineRule="exact"/>
        <w:rPr>
          <w:sz w:val="24"/>
          <w:szCs w:val="24"/>
          <w:color w:val="auto"/>
        </w:rPr>
      </w:pPr>
    </w:p>
    <w:p>
      <w:pPr>
        <w:ind w:left="4260" w:right="1760" w:hanging="3124"/>
        <w:spacing w:after="0" w:line="328" w:lineRule="auto"/>
        <w:tabs>
          <w:tab w:leader="none" w:pos="2123"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2018</w:t>
      </w:r>
    </w:p>
    <w:p>
      <w:pPr>
        <w:spacing w:after="0" w:line="78" w:lineRule="exact"/>
        <w:rPr>
          <w:sz w:val="24"/>
          <w:szCs w:val="24"/>
          <w:color w:val="auto"/>
        </w:rPr>
      </w:pPr>
    </w:p>
    <w:p>
      <w:pPr>
        <w:ind w:left="1980" w:hanging="851"/>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46"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For the transition period from ___________________ to 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gridSpan w:val="3"/>
          </w:tcPr>
          <w:p>
            <w:pPr>
              <w:jc w:val="center"/>
              <w:ind w:right="1300"/>
              <w:spacing w:after="0"/>
              <w:rPr>
                <w:sz w:val="20"/>
                <w:szCs w:val="20"/>
                <w:color w:val="auto"/>
              </w:rPr>
            </w:pPr>
            <w:r>
              <w:rPr>
                <w:rFonts w:ascii="Arial" w:cs="Arial" w:eastAsia="Arial" w:hAnsi="Arial"/>
                <w:sz w:val="16"/>
                <w:szCs w:val="16"/>
                <w:b w:val="1"/>
                <w:bCs w:val="1"/>
                <w:color w:val="auto"/>
              </w:rPr>
              <w:t>BLACK HILLS CORPORATION</w:t>
            </w:r>
          </w:p>
        </w:tc>
        <w:tc>
          <w:tcPr>
            <w:tcW w:w="3180" w:type="dxa"/>
            <w:vAlign w:val="bottom"/>
          </w:tcPr>
          <w:p>
            <w:pPr>
              <w:spacing w:after="0"/>
              <w:rPr>
                <w:sz w:val="18"/>
                <w:szCs w:val="18"/>
                <w:color w:val="auto"/>
              </w:rPr>
            </w:pPr>
          </w:p>
        </w:tc>
      </w:tr>
      <w:tr>
        <w:trPr>
          <w:trHeight w:val="351"/>
        </w:trPr>
        <w:tc>
          <w:tcPr>
            <w:tcW w:w="3900" w:type="dxa"/>
            <w:vAlign w:val="bottom"/>
          </w:tcPr>
          <w:p>
            <w:pPr>
              <w:jc w:val="center"/>
              <w:spacing w:after="0"/>
              <w:rPr>
                <w:sz w:val="20"/>
                <w:szCs w:val="20"/>
                <w:color w:val="auto"/>
              </w:rPr>
            </w:pPr>
            <w:r>
              <w:rPr>
                <w:rFonts w:ascii="Arial" w:cs="Arial" w:eastAsia="Arial" w:hAnsi="Arial"/>
                <w:sz w:val="16"/>
                <w:szCs w:val="16"/>
                <w:color w:val="auto"/>
                <w:w w:val="92"/>
              </w:rPr>
              <w:t>Incorporated in South Dakota</w:t>
            </w:r>
          </w:p>
        </w:tc>
        <w:tc>
          <w:tcPr>
            <w:tcW w:w="580" w:type="dxa"/>
            <w:vAlign w:val="bottom"/>
          </w:tcPr>
          <w:p>
            <w:pPr>
              <w:spacing w:after="0"/>
              <w:rPr>
                <w:sz w:val="24"/>
                <w:szCs w:val="24"/>
                <w:color w:val="auto"/>
              </w:rPr>
            </w:pPr>
          </w:p>
        </w:tc>
        <w:tc>
          <w:tcPr>
            <w:tcW w:w="3760" w:type="dxa"/>
            <w:vAlign w:val="bottom"/>
            <w:gridSpan w:val="3"/>
          </w:tcPr>
          <w:p>
            <w:pPr>
              <w:jc w:val="center"/>
              <w:ind w:right="1160"/>
              <w:spacing w:after="0"/>
              <w:rPr>
                <w:sz w:val="20"/>
                <w:szCs w:val="20"/>
                <w:color w:val="auto"/>
              </w:rPr>
            </w:pPr>
            <w:r>
              <w:rPr>
                <w:rFonts w:ascii="Arial" w:cs="Arial" w:eastAsia="Arial" w:hAnsi="Arial"/>
                <w:sz w:val="16"/>
                <w:szCs w:val="16"/>
                <w:color w:val="auto"/>
                <w:w w:val="91"/>
              </w:rPr>
              <w:t>7001 Mount Rushmore Road</w:t>
            </w:r>
          </w:p>
        </w:tc>
        <w:tc>
          <w:tcPr>
            <w:tcW w:w="3180" w:type="dxa"/>
            <w:vAlign w:val="bottom"/>
          </w:tcPr>
          <w:p>
            <w:pPr>
              <w:jc w:val="center"/>
              <w:ind w:right="479"/>
              <w:spacing w:after="0"/>
              <w:rPr>
                <w:sz w:val="20"/>
                <w:szCs w:val="20"/>
                <w:color w:val="auto"/>
              </w:rPr>
            </w:pPr>
            <w:r>
              <w:rPr>
                <w:rFonts w:ascii="Arial" w:cs="Arial" w:eastAsia="Arial" w:hAnsi="Arial"/>
                <w:sz w:val="16"/>
                <w:szCs w:val="16"/>
                <w:color w:val="auto"/>
                <w:w w:val="95"/>
              </w:rPr>
              <w:t>IRS Identification Number</w:t>
            </w:r>
          </w:p>
        </w:tc>
      </w:tr>
      <w:tr>
        <w:trPr>
          <w:trHeight w:val="270"/>
        </w:trPr>
        <w:tc>
          <w:tcPr>
            <w:tcW w:w="3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760" w:type="dxa"/>
            <w:vAlign w:val="bottom"/>
            <w:gridSpan w:val="3"/>
          </w:tcPr>
          <w:p>
            <w:pPr>
              <w:jc w:val="center"/>
              <w:ind w:right="1160"/>
              <w:spacing w:after="0"/>
              <w:rPr>
                <w:sz w:val="20"/>
                <w:szCs w:val="20"/>
                <w:color w:val="auto"/>
              </w:rPr>
            </w:pPr>
            <w:r>
              <w:rPr>
                <w:rFonts w:ascii="Arial" w:cs="Arial" w:eastAsia="Arial" w:hAnsi="Arial"/>
                <w:sz w:val="16"/>
                <w:szCs w:val="16"/>
                <w:color w:val="auto"/>
                <w:w w:val="94"/>
              </w:rPr>
              <w:t>Rapid City, South Dakota 57702</w:t>
            </w:r>
          </w:p>
        </w:tc>
        <w:tc>
          <w:tcPr>
            <w:tcW w:w="3180" w:type="dxa"/>
            <w:vAlign w:val="bottom"/>
          </w:tcPr>
          <w:p>
            <w:pPr>
              <w:jc w:val="center"/>
              <w:ind w:right="479"/>
              <w:spacing w:after="0"/>
              <w:rPr>
                <w:sz w:val="20"/>
                <w:szCs w:val="20"/>
                <w:color w:val="auto"/>
              </w:rPr>
            </w:pPr>
            <w:r>
              <w:rPr>
                <w:rFonts w:ascii="Arial" w:cs="Arial" w:eastAsia="Arial" w:hAnsi="Arial"/>
                <w:sz w:val="16"/>
                <w:szCs w:val="16"/>
                <w:color w:val="auto"/>
                <w:w w:val="91"/>
              </w:rPr>
              <w:t>46-0458824</w:t>
            </w:r>
          </w:p>
        </w:tc>
      </w:tr>
      <w:tr>
        <w:trPr>
          <w:trHeight w:val="253"/>
        </w:trPr>
        <w:tc>
          <w:tcPr>
            <w:tcW w:w="3900" w:type="dxa"/>
            <w:vAlign w:val="bottom"/>
          </w:tcPr>
          <w:p>
            <w:pPr>
              <w:spacing w:after="0"/>
              <w:rPr>
                <w:sz w:val="21"/>
                <w:szCs w:val="21"/>
                <w:color w:val="auto"/>
              </w:rPr>
            </w:pPr>
          </w:p>
        </w:tc>
        <w:tc>
          <w:tcPr>
            <w:tcW w:w="4340" w:type="dxa"/>
            <w:vAlign w:val="bottom"/>
            <w:gridSpan w:val="4"/>
          </w:tcPr>
          <w:p>
            <w:pPr>
              <w:jc w:val="center"/>
              <w:ind w:right="700"/>
              <w:spacing w:after="0"/>
              <w:rPr>
                <w:sz w:val="20"/>
                <w:szCs w:val="20"/>
                <w:color w:val="auto"/>
              </w:rPr>
            </w:pPr>
            <w:r>
              <w:rPr>
                <w:rFonts w:ascii="Arial" w:cs="Arial" w:eastAsia="Arial" w:hAnsi="Arial"/>
                <w:sz w:val="16"/>
                <w:szCs w:val="16"/>
                <w:color w:val="auto"/>
                <w:w w:val="90"/>
              </w:rPr>
              <w:t>Registrant’s telephone number, including area code</w:t>
            </w:r>
          </w:p>
        </w:tc>
        <w:tc>
          <w:tcPr>
            <w:tcW w:w="3180" w:type="dxa"/>
            <w:vAlign w:val="bottom"/>
          </w:tcPr>
          <w:p>
            <w:pPr>
              <w:spacing w:after="0"/>
              <w:rPr>
                <w:sz w:val="21"/>
                <w:szCs w:val="21"/>
                <w:color w:val="auto"/>
              </w:rPr>
            </w:pPr>
          </w:p>
        </w:tc>
      </w:tr>
      <w:tr>
        <w:trPr>
          <w:trHeight w:val="206"/>
        </w:trPr>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20" w:type="dxa"/>
            <w:vAlign w:val="bottom"/>
          </w:tcPr>
          <w:p>
            <w:pPr>
              <w:jc w:val="center"/>
              <w:ind w:right="1299"/>
              <w:spacing w:after="0"/>
              <w:rPr>
                <w:sz w:val="20"/>
                <w:szCs w:val="20"/>
                <w:color w:val="auto"/>
              </w:rPr>
            </w:pPr>
            <w:r>
              <w:rPr>
                <w:rFonts w:ascii="Arial" w:cs="Arial" w:eastAsia="Arial" w:hAnsi="Arial"/>
                <w:sz w:val="16"/>
                <w:szCs w:val="16"/>
                <w:color w:val="auto"/>
                <w:w w:val="93"/>
              </w:rPr>
              <w:t>(605) 721-1700</w:t>
            </w:r>
          </w:p>
        </w:tc>
        <w:tc>
          <w:tcPr>
            <w:tcW w:w="58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57"/>
        </w:trPr>
        <w:tc>
          <w:tcPr>
            <w:tcW w:w="8240" w:type="dxa"/>
            <w:vAlign w:val="bottom"/>
            <w:gridSpan w:val="5"/>
          </w:tcPr>
          <w:p>
            <w:pPr>
              <w:jc w:val="center"/>
              <w:ind w:left="30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180" w:type="dxa"/>
            <w:vAlign w:val="bottom"/>
          </w:tcPr>
          <w:p>
            <w:pPr>
              <w:spacing w:after="0"/>
              <w:rPr>
                <w:sz w:val="22"/>
                <w:szCs w:val="22"/>
                <w:color w:val="auto"/>
              </w:rPr>
            </w:pPr>
          </w:p>
        </w:tc>
      </w:tr>
      <w:tr>
        <w:trPr>
          <w:trHeight w:val="253"/>
        </w:trPr>
        <w:tc>
          <w:tcPr>
            <w:tcW w:w="3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89"/>
              </w:rPr>
              <w:t>Name of each exchange</w:t>
            </w:r>
          </w:p>
        </w:tc>
      </w:tr>
      <w:tr>
        <w:trPr>
          <w:trHeight w:val="206"/>
        </w:trPr>
        <w:tc>
          <w:tcPr>
            <w:tcW w:w="390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92"/>
              </w:rPr>
              <w:t>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jc w:val="center"/>
              <w:spacing w:after="0"/>
              <w:rPr>
                <w:sz w:val="20"/>
                <w:szCs w:val="20"/>
                <w:color w:val="auto"/>
              </w:rPr>
            </w:pPr>
            <w:r>
              <w:rPr>
                <w:rFonts w:ascii="Arial" w:cs="Arial" w:eastAsia="Arial" w:hAnsi="Arial"/>
                <w:sz w:val="16"/>
                <w:szCs w:val="16"/>
                <w:color w:val="auto"/>
                <w:w w:val="91"/>
              </w:rPr>
              <w:t>Common stock of $1.00 par value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92"/>
              </w:rPr>
              <w:t>New York Stock Exchange</w:t>
            </w:r>
          </w:p>
        </w:tc>
      </w:tr>
      <w:tr>
        <w:trPr>
          <w:trHeight w:val="334"/>
        </w:trPr>
        <w:tc>
          <w:tcPr>
            <w:tcW w:w="8240" w:type="dxa"/>
            <w:vAlign w:val="bottom"/>
            <w:gridSpan w:val="5"/>
          </w:tcPr>
          <w:p>
            <w:pPr>
              <w:spacing w:after="0"/>
              <w:rPr>
                <w:sz w:val="20"/>
                <w:szCs w:val="20"/>
                <w:color w:val="auto"/>
              </w:rPr>
            </w:pPr>
            <w:r>
              <w:rPr>
                <w:rFonts w:ascii="Arial" w:cs="Arial" w:eastAsia="Arial" w:hAnsi="Arial"/>
                <w:sz w:val="16"/>
                <w:szCs w:val="16"/>
                <w:color w:val="auto"/>
                <w:w w:val="98"/>
              </w:rPr>
              <w:t>Indicate by check mark if the Registrant is a well-known seasoned issuer, as defined in Rule 405 of the Securities Act.</w:t>
            </w:r>
          </w:p>
        </w:tc>
        <w:tc>
          <w:tcPr>
            <w:tcW w:w="3180" w:type="dxa"/>
            <w:vAlign w:val="bottom"/>
          </w:tcPr>
          <w:p>
            <w:pPr>
              <w:spacing w:after="0"/>
              <w:rPr>
                <w:sz w:val="24"/>
                <w:szCs w:val="24"/>
                <w:color w:val="auto"/>
              </w:rPr>
            </w:pPr>
          </w:p>
        </w:tc>
      </w:tr>
      <w:tr>
        <w:trPr>
          <w:trHeight w:val="206"/>
        </w:trPr>
        <w:tc>
          <w:tcPr>
            <w:tcW w:w="3900" w:type="dxa"/>
            <w:vAlign w:val="bottom"/>
          </w:tcPr>
          <w:p>
            <w:pPr>
              <w:ind w:left="3660"/>
              <w:spacing w:after="0"/>
              <w:rPr>
                <w:sz w:val="20"/>
                <w:szCs w:val="20"/>
                <w:color w:val="auto"/>
              </w:rPr>
            </w:pPr>
            <w:r>
              <w:rPr>
                <w:rFonts w:ascii="Arial" w:cs="Arial" w:eastAsia="Arial" w:hAnsi="Arial"/>
                <w:sz w:val="16"/>
                <w:szCs w:val="16"/>
                <w:color w:val="auto"/>
                <w:w w:val="79"/>
              </w:rPr>
              <w:t>Yes</w:t>
            </w:r>
          </w:p>
        </w:tc>
        <w:tc>
          <w:tcPr>
            <w:tcW w:w="580" w:type="dxa"/>
            <w:vAlign w:val="bottom"/>
          </w:tcPr>
          <w:p>
            <w:pPr>
              <w:ind w:left="440"/>
              <w:spacing w:after="0"/>
              <w:rPr>
                <w:sz w:val="20"/>
                <w:szCs w:val="20"/>
                <w:color w:val="auto"/>
              </w:rPr>
            </w:pPr>
            <w:r>
              <w:rPr>
                <w:rFonts w:ascii="Arial" w:cs="Arial" w:eastAsia="Arial" w:hAnsi="Arial"/>
                <w:sz w:val="16"/>
                <w:szCs w:val="16"/>
                <w:color w:val="auto"/>
              </w:rPr>
              <w:t>x</w:t>
            </w:r>
          </w:p>
        </w:tc>
        <w:tc>
          <w:tcPr>
            <w:tcW w:w="660" w:type="dxa"/>
            <w:vAlign w:val="bottom"/>
          </w:tcPr>
          <w:p>
            <w:pPr>
              <w:ind w:left="380"/>
              <w:spacing w:after="0"/>
              <w:rPr>
                <w:sz w:val="20"/>
                <w:szCs w:val="20"/>
                <w:color w:val="auto"/>
              </w:rPr>
            </w:pPr>
            <w:r>
              <w:rPr>
                <w:rFonts w:ascii="Arial" w:cs="Arial" w:eastAsia="Arial" w:hAnsi="Arial"/>
                <w:sz w:val="16"/>
                <w:szCs w:val="16"/>
                <w:color w:val="auto"/>
              </w:rPr>
              <w:t>No</w:t>
            </w:r>
          </w:p>
        </w:tc>
        <w:tc>
          <w:tcPr>
            <w:tcW w:w="3100" w:type="dxa"/>
            <w:vAlign w:val="bottom"/>
            <w:gridSpan w:val="2"/>
          </w:tcPr>
          <w:p>
            <w:pPr>
              <w:ind w:left="360"/>
              <w:spacing w:after="0"/>
              <w:rPr>
                <w:sz w:val="20"/>
                <w:szCs w:val="20"/>
                <w:color w:val="auto"/>
              </w:rPr>
            </w:pPr>
            <w:r>
              <w:rPr>
                <w:rFonts w:ascii="Arial" w:cs="Arial" w:eastAsia="Arial" w:hAnsi="Arial"/>
                <w:sz w:val="16"/>
                <w:szCs w:val="16"/>
                <w:color w:val="auto"/>
              </w:rPr>
              <w:t>o</w:t>
            </w:r>
          </w:p>
        </w:tc>
        <w:tc>
          <w:tcPr>
            <w:tcW w:w="3180" w:type="dxa"/>
            <w:vAlign w:val="bottom"/>
          </w:tcPr>
          <w:p>
            <w:pPr>
              <w:spacing w:after="0"/>
              <w:rPr>
                <w:sz w:val="17"/>
                <w:szCs w:val="17"/>
                <w:color w:val="auto"/>
              </w:rPr>
            </w:pPr>
          </w:p>
        </w:tc>
      </w:tr>
      <w:tr>
        <w:trPr>
          <w:trHeight w:val="293"/>
        </w:trPr>
        <w:tc>
          <w:tcPr>
            <w:tcW w:w="8240" w:type="dxa"/>
            <w:vAlign w:val="bottom"/>
            <w:gridSpan w:val="5"/>
          </w:tcPr>
          <w:p>
            <w:pPr>
              <w:spacing w:after="0"/>
              <w:rPr>
                <w:sz w:val="20"/>
                <w:szCs w:val="20"/>
                <w:color w:val="auto"/>
              </w:rPr>
            </w:pPr>
            <w:r>
              <w:rPr>
                <w:rFonts w:ascii="Arial" w:cs="Arial" w:eastAsia="Arial" w:hAnsi="Arial"/>
                <w:sz w:val="16"/>
                <w:szCs w:val="16"/>
                <w:color w:val="auto"/>
                <w:w w:val="97"/>
              </w:rPr>
              <w:t>Indicate by check mark if the Registrant is not required to file reports pursuant to Section 13 or Section 15(d) of the Act.</w:t>
            </w:r>
          </w:p>
        </w:tc>
        <w:tc>
          <w:tcPr>
            <w:tcW w:w="3180" w:type="dxa"/>
            <w:vAlign w:val="bottom"/>
          </w:tcPr>
          <w:p>
            <w:pPr>
              <w:spacing w:after="0"/>
              <w:rPr>
                <w:sz w:val="24"/>
                <w:szCs w:val="24"/>
                <w:color w:val="auto"/>
              </w:rPr>
            </w:pPr>
          </w:p>
        </w:tc>
      </w:tr>
      <w:tr>
        <w:trPr>
          <w:trHeight w:val="206"/>
        </w:trPr>
        <w:tc>
          <w:tcPr>
            <w:tcW w:w="3900" w:type="dxa"/>
            <w:vAlign w:val="bottom"/>
          </w:tcPr>
          <w:p>
            <w:pPr>
              <w:ind w:left="3660"/>
              <w:spacing w:after="0"/>
              <w:rPr>
                <w:sz w:val="20"/>
                <w:szCs w:val="20"/>
                <w:color w:val="auto"/>
              </w:rPr>
            </w:pPr>
            <w:r>
              <w:rPr>
                <w:rFonts w:ascii="Arial" w:cs="Arial" w:eastAsia="Arial" w:hAnsi="Arial"/>
                <w:sz w:val="16"/>
                <w:szCs w:val="16"/>
                <w:color w:val="auto"/>
                <w:w w:val="79"/>
              </w:rPr>
              <w:t>Yes</w:t>
            </w:r>
          </w:p>
        </w:tc>
        <w:tc>
          <w:tcPr>
            <w:tcW w:w="580" w:type="dxa"/>
            <w:vAlign w:val="bottom"/>
          </w:tcPr>
          <w:p>
            <w:pPr>
              <w:ind w:left="440"/>
              <w:spacing w:after="0"/>
              <w:rPr>
                <w:sz w:val="20"/>
                <w:szCs w:val="20"/>
                <w:color w:val="auto"/>
              </w:rPr>
            </w:pPr>
            <w:r>
              <w:rPr>
                <w:rFonts w:ascii="Arial" w:cs="Arial" w:eastAsia="Arial" w:hAnsi="Arial"/>
                <w:sz w:val="16"/>
                <w:szCs w:val="16"/>
                <w:color w:val="auto"/>
              </w:rPr>
              <w:t>o</w:t>
            </w:r>
          </w:p>
        </w:tc>
        <w:tc>
          <w:tcPr>
            <w:tcW w:w="660" w:type="dxa"/>
            <w:vAlign w:val="bottom"/>
          </w:tcPr>
          <w:p>
            <w:pPr>
              <w:ind w:left="380"/>
              <w:spacing w:after="0"/>
              <w:rPr>
                <w:sz w:val="20"/>
                <w:szCs w:val="20"/>
                <w:color w:val="auto"/>
              </w:rPr>
            </w:pPr>
            <w:r>
              <w:rPr>
                <w:rFonts w:ascii="Arial" w:cs="Arial" w:eastAsia="Arial" w:hAnsi="Arial"/>
                <w:sz w:val="16"/>
                <w:szCs w:val="16"/>
                <w:color w:val="auto"/>
              </w:rPr>
              <w:t>No</w:t>
            </w:r>
          </w:p>
        </w:tc>
        <w:tc>
          <w:tcPr>
            <w:tcW w:w="3100" w:type="dxa"/>
            <w:vAlign w:val="bottom"/>
            <w:gridSpan w:val="2"/>
          </w:tcPr>
          <w:p>
            <w:pPr>
              <w:ind w:left="360"/>
              <w:spacing w:after="0"/>
              <w:rPr>
                <w:sz w:val="20"/>
                <w:szCs w:val="20"/>
                <w:color w:val="auto"/>
              </w:rPr>
            </w:pPr>
            <w:r>
              <w:rPr>
                <w:rFonts w:ascii="Arial" w:cs="Arial" w:eastAsia="Arial" w:hAnsi="Arial"/>
                <w:sz w:val="16"/>
                <w:szCs w:val="16"/>
                <w:color w:val="auto"/>
              </w:rPr>
              <w:t>x</w:t>
            </w:r>
          </w:p>
        </w:tc>
        <w:tc>
          <w:tcPr>
            <w:tcW w:w="3180" w:type="dxa"/>
            <w:vAlign w:val="bottom"/>
          </w:tcPr>
          <w:p>
            <w:pPr>
              <w:spacing w:after="0"/>
              <w:rPr>
                <w:sz w:val="17"/>
                <w:szCs w:val="17"/>
                <w:color w:val="auto"/>
              </w:rPr>
            </w:pPr>
          </w:p>
        </w:tc>
      </w:tr>
    </w:tbl>
    <w:p>
      <w:pPr>
        <w:spacing w:after="0" w:line="104" w:lineRule="exact"/>
        <w:rPr>
          <w:sz w:val="24"/>
          <w:szCs w:val="24"/>
          <w:color w:val="auto"/>
        </w:rPr>
      </w:pPr>
    </w:p>
    <w:p>
      <w:pPr>
        <w:ind w:right="12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4"/>
          <w:szCs w:val="14"/>
          <w:color w:val="auto"/>
        </w:rPr>
        <w:t>o</w:t>
      </w:r>
    </w:p>
    <w:p>
      <w:pPr>
        <w:spacing w:after="0" w:line="113" w:lineRule="exact"/>
        <w:rPr>
          <w:sz w:val="24"/>
          <w:szCs w:val="24"/>
          <w:color w:val="auto"/>
        </w:rPr>
      </w:pPr>
    </w:p>
    <w:p>
      <w:pPr>
        <w:ind w:right="360"/>
        <w:spacing w:after="0" w:line="25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4"/>
          <w:szCs w:val="14"/>
          <w:color w:val="auto"/>
        </w:rPr>
        <w:t>o</w:t>
      </w:r>
    </w:p>
    <w:p>
      <w:pPr>
        <w:spacing w:after="0" w:line="113" w:lineRule="exact"/>
        <w:rPr>
          <w:sz w:val="24"/>
          <w:szCs w:val="24"/>
          <w:color w:val="auto"/>
        </w:rPr>
      </w:pPr>
    </w:p>
    <w:p>
      <w:pPr>
        <w:ind w:right="20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4"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93" w:right="239" w:bottom="1440" w:gutter="0" w:footer="0" w:header="0"/>
        </w:sectPr>
      </w:pPr>
    </w:p>
    <w:p>
      <w:pPr>
        <w:spacing w:after="0" w:line="143"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3560" w:space="160"/>
            <w:col w:w="2000" w:space="720"/>
            <w:col w:w="1080" w:space="240"/>
            <w:col w:w="3660"/>
          </w:cols>
          <w:pgMar w:left="240" w:top="693" w:right="239" w:bottom="1440" w:gutter="0" w:footer="0" w:header="0"/>
          <w:type w:val="continuous"/>
        </w:sectPr>
      </w:pPr>
    </w:p>
    <w:p>
      <w:pPr>
        <w:spacing w:after="0" w:line="62"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3480" w:space="200"/>
            <w:col w:w="2040" w:space="720"/>
            <w:col w:w="1780" w:space="160"/>
            <w:col w:w="3040"/>
          </w:cols>
          <w:pgMar w:left="240" w:top="693" w:right="239" w:bottom="1440" w:gutter="0" w:footer="0" w:header="0"/>
          <w:type w:val="continuous"/>
        </w:sectPr>
      </w:pPr>
    </w:p>
    <w:p>
      <w:pPr>
        <w:spacing w:after="0" w:line="85" w:lineRule="exact"/>
        <w:rPr>
          <w:sz w:val="24"/>
          <w:szCs w:val="24"/>
          <w:color w:val="auto"/>
        </w:rPr>
      </w:pPr>
    </w:p>
    <w:p>
      <w:pPr>
        <w:ind w:left="64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8200" w:space="160"/>
            <w:col w:w="3060"/>
          </w:cols>
          <w:pgMar w:left="240" w:top="693" w:right="239" w:bottom="1440" w:gutter="0" w:footer="0" w:header="0"/>
          <w:type w:val="continuous"/>
        </w:sectPr>
      </w:pPr>
    </w:p>
    <w:p>
      <w:pPr>
        <w:spacing w:after="0" w:line="166"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 w:lineRule="exact"/>
        <w:rPr>
          <w:sz w:val="24"/>
          <w:szCs w:val="24"/>
          <w:color w:val="auto"/>
        </w:rPr>
      </w:pP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x</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State the aggregate market value of the voting stock held by non-affiliates of the Registrant.</w:t>
      </w:r>
    </w:p>
    <w:p>
      <w:pPr>
        <w:spacing w:after="0" w:line="194" w:lineRule="exact"/>
        <w:rPr>
          <w:sz w:val="24"/>
          <w:szCs w:val="24"/>
          <w:color w:val="auto"/>
        </w:rPr>
      </w:pPr>
    </w:p>
    <w:tbl>
      <w:tblPr>
        <w:tblLayout w:type="fixed"/>
        <w:tblInd w:w="3960" w:type="dxa"/>
        <w:tblCellMar>
          <w:top w:w="0" w:type="dxa"/>
          <w:left w:w="0" w:type="dxa"/>
          <w:bottom w:w="0" w:type="dxa"/>
          <w:right w:w="0" w:type="dxa"/>
        </w:tblCellMar>
      </w:tblP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At June 30, 2018</w:t>
            </w:r>
          </w:p>
        </w:tc>
        <w:tc>
          <w:tcPr>
            <w:tcW w:w="1700" w:type="dxa"/>
            <w:vAlign w:val="bottom"/>
          </w:tcPr>
          <w:p>
            <w:pPr>
              <w:jc w:val="right"/>
              <w:spacing w:after="0"/>
              <w:rPr>
                <w:sz w:val="20"/>
                <w:szCs w:val="20"/>
                <w:color w:val="auto"/>
              </w:rPr>
            </w:pPr>
            <w:r>
              <w:rPr>
                <w:rFonts w:ascii="Arial" w:cs="Arial" w:eastAsia="Arial" w:hAnsi="Arial"/>
                <w:sz w:val="16"/>
                <w:szCs w:val="16"/>
                <w:color w:val="auto"/>
              </w:rPr>
              <w:t>$3,239,030,444</w:t>
            </w:r>
          </w:p>
        </w:tc>
      </w:tr>
    </w:tbl>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55" w:lineRule="exact"/>
        <w:rPr>
          <w:sz w:val="24"/>
          <w:szCs w:val="24"/>
          <w:color w:val="auto"/>
        </w:rPr>
      </w:pPr>
    </w:p>
    <w:tbl>
      <w:tblPr>
        <w:tblLayout w:type="fixed"/>
        <w:tblInd w:w="284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Class</w:t>
            </w:r>
          </w:p>
        </w:tc>
        <w:tc>
          <w:tcPr>
            <w:tcW w:w="2120" w:type="dxa"/>
            <w:vAlign w:val="bottom"/>
          </w:tcPr>
          <w:p>
            <w:pPr>
              <w:spacing w:after="0"/>
              <w:rPr>
                <w:sz w:val="16"/>
                <w:szCs w:val="16"/>
                <w:color w:val="auto"/>
              </w:rPr>
            </w:pPr>
          </w:p>
        </w:tc>
        <w:tc>
          <w:tcPr>
            <w:tcW w:w="3480" w:type="dxa"/>
            <w:vAlign w:val="bottom"/>
            <w:gridSpan w:val="2"/>
          </w:tcPr>
          <w:p>
            <w:pPr>
              <w:ind w:left="1380"/>
              <w:spacing w:after="0"/>
              <w:rPr>
                <w:sz w:val="20"/>
                <w:szCs w:val="20"/>
                <w:color w:val="auto"/>
              </w:rPr>
            </w:pPr>
            <w:r>
              <w:rPr>
                <w:rFonts w:ascii="Arial" w:cs="Arial" w:eastAsia="Arial" w:hAnsi="Arial"/>
                <w:sz w:val="16"/>
                <w:szCs w:val="16"/>
                <w:color w:val="auto"/>
                <w:w w:val="89"/>
              </w:rPr>
              <w:t>Outstanding at January 31, 2019</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71"/>
        </w:trPr>
        <w:tc>
          <w:tcPr>
            <w:tcW w:w="3340" w:type="dxa"/>
            <w:vAlign w:val="bottom"/>
            <w:gridSpan w:val="3"/>
          </w:tcPr>
          <w:p>
            <w:pPr>
              <w:jc w:val="center"/>
              <w:ind w:right="1260"/>
              <w:spacing w:after="0"/>
              <w:rPr>
                <w:sz w:val="20"/>
                <w:szCs w:val="20"/>
                <w:color w:val="auto"/>
              </w:rPr>
            </w:pPr>
            <w:r>
              <w:rPr>
                <w:rFonts w:ascii="Arial" w:cs="Arial" w:eastAsia="Arial" w:hAnsi="Arial"/>
                <w:sz w:val="16"/>
                <w:szCs w:val="16"/>
                <w:color w:val="auto"/>
                <w:w w:val="92"/>
              </w:rPr>
              <w:t>Common stock, $1.00 par value</w:t>
            </w:r>
          </w:p>
        </w:tc>
        <w:tc>
          <w:tcPr>
            <w:tcW w:w="3480" w:type="dxa"/>
            <w:vAlign w:val="bottom"/>
            <w:gridSpan w:val="2"/>
          </w:tcPr>
          <w:p>
            <w:pPr>
              <w:ind w:left="1260"/>
              <w:spacing w:after="0"/>
              <w:rPr>
                <w:sz w:val="20"/>
                <w:szCs w:val="20"/>
                <w:color w:val="auto"/>
              </w:rPr>
            </w:pPr>
            <w:r>
              <w:rPr>
                <w:rFonts w:ascii="Arial" w:cs="Arial" w:eastAsia="Arial" w:hAnsi="Arial"/>
                <w:sz w:val="16"/>
                <w:szCs w:val="16"/>
                <w:color w:val="auto"/>
              </w:rPr>
              <w:t>60,003,965  shares</w:t>
            </w:r>
          </w:p>
        </w:tc>
      </w:tr>
    </w:tbl>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Portions of the Registrant’s Definitive Proxy Statement being prepared for the solicitation of proxies in connection with the 2019 Annual Meeting of Stockholders to be held on April 30, 2019, are incorporated by reference in Part III of this Form 10-K.</w:t>
      </w:r>
    </w:p>
    <w:p>
      <w:pPr>
        <w:sectPr>
          <w:pgSz w:w="11900" w:h="16838" w:orient="portrait"/>
          <w:cols w:equalWidth="0" w:num="1">
            <w:col w:w="11420"/>
          </w:cols>
          <w:pgMar w:left="240" w:top="69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800" w:type="dxa"/>
            <w:vAlign w:val="bottom"/>
            <w:gridSpan w:val="5"/>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2540" w:type="dxa"/>
            <w:vAlign w:val="bottom"/>
            <w:tcBorders>
              <w:bottom w:val="single" w:sz="8" w:color="CEFFE7"/>
            </w:tcBorders>
          </w:tcPr>
          <w:p>
            <w:pPr>
              <w:spacing w:after="0"/>
              <w:rPr>
                <w:sz w:val="2"/>
                <w:szCs w:val="2"/>
                <w:color w:val="auto"/>
              </w:rPr>
            </w:pPr>
          </w:p>
        </w:tc>
        <w:tc>
          <w:tcPr>
            <w:tcW w:w="808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800" w:type="dxa"/>
            <w:vAlign w:val="bottom"/>
            <w:gridSpan w:val="5"/>
            <w:shd w:val="clear" w:color="auto" w:fill="CEFFE7"/>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WEBSITE ACCESS TO REPORTS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FORWARD-LOOKING INFORMATION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CEFFE7"/>
            </w:tcBorders>
          </w:tcPr>
          <w:p>
            <w:pPr>
              <w:spacing w:after="0"/>
              <w:rPr>
                <w:sz w:val="21"/>
                <w:szCs w:val="21"/>
                <w:color w:val="auto"/>
              </w:rPr>
            </w:pPr>
          </w:p>
        </w:tc>
        <w:tc>
          <w:tcPr>
            <w:tcW w:w="80" w:type="dxa"/>
            <w:vAlign w:val="bottom"/>
            <w:tcBorders>
              <w:top w:val="single" w:sz="8" w:color="CEFFE7"/>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ITEMS 1. and 2.</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BUSINESS AND PROPERTIES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1A.</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RISK FACTORS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1B.</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UNRESOLVED STAFF COMMENTS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3.</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LEGAL PROCEEDINGS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4.</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MINE SAFETY DISCLOSURES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CEFFE7"/>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5.</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w w:val="99"/>
              </w:rPr>
              <w:t>MARKET FOR REGISTRANT’S COMMON EQUITY, RELATED STOCKHOLDER MATTERS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ISSUER PURCHASES OF EQUITY SECURITIES</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6.</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SELECTED FINANCIAL DATA</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ITEMS 7. and 7A.</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w w:val="98"/>
              </w:rPr>
              <w:t>MANAGEMENT’S DISCUSSION AND ANALYSIS OF FINANCIAL CONDITION AND RESULTS OF</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w w:val="98"/>
              </w:rPr>
              <w:t>OPERATIONS AND QUANTITATIVE AND QUALITATIVE DISCLOSURES ABOUT MARKET RISK</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8.</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9.</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rPr>
              <w:t>CHANGES IN AND DISAGREEMENTS WITH ACCOUNTANTS ON ACCOUNTING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FINANCIAL DISCLOSURE</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161">
              <w:r>
                <w:rPr>
                  <w:rFonts w:ascii="Arial" w:cs="Arial" w:eastAsia="Arial" w:hAnsi="Arial"/>
                  <w:sz w:val="18"/>
                  <w:szCs w:val="18"/>
                  <w:color w:val="0000EE"/>
                </w:rPr>
                <w:t>161</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9A.</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CONTROLS AND PROCEDURES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161</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9B.</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OTHER INFORMATION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161</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III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10.</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11.</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EXECUTIVE COMPENSATION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162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12.</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RELATED STOCKHOLDER MATTERS</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163">
              <w:r>
                <w:rPr>
                  <w:rFonts w:ascii="Arial" w:cs="Arial" w:eastAsia="Arial" w:hAnsi="Arial"/>
                  <w:sz w:val="18"/>
                  <w:szCs w:val="18"/>
                  <w:color w:val="0000EE"/>
                </w:rPr>
                <w:t>163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13.</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w w:val="97"/>
              </w:rPr>
              <w:t>CERTAIN RELATIONSHIPS AND RELATED TRANSACTIONS, AND DIRECTOR INDEPENDENCE</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3">
              <w:r>
                <w:rPr>
                  <w:rFonts w:ascii="Arial" w:cs="Arial" w:eastAsia="Arial" w:hAnsi="Arial"/>
                  <w:sz w:val="18"/>
                  <w:szCs w:val="18"/>
                  <w:color w:val="0000EE"/>
                </w:rPr>
                <w:t>163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14.</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PRINCIPAL ACCOUNTING FEES AND SERVICES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3">
              <w:r>
                <w:rPr>
                  <w:rFonts w:ascii="Arial" w:cs="Arial" w:eastAsia="Arial" w:hAnsi="Arial"/>
                  <w:sz w:val="18"/>
                  <w:szCs w:val="18"/>
                  <w:color w:val="0000EE"/>
                </w:rPr>
                <w:t>163</w:t>
              </w:r>
            </w:hyperlink>
          </w:p>
        </w:tc>
      </w:tr>
      <w:tr>
        <w:trPr>
          <w:trHeight w:val="230"/>
        </w:trPr>
        <w:tc>
          <w:tcPr>
            <w:tcW w:w="2540" w:type="dxa"/>
            <w:vAlign w:val="bottom"/>
            <w:tcBorders>
              <w:top w:val="single" w:sz="8" w:color="CEFFE7"/>
            </w:tcBorders>
          </w:tcPr>
          <w:p>
            <w:pPr>
              <w:spacing w:after="0"/>
              <w:rPr>
                <w:sz w:val="19"/>
                <w:szCs w:val="19"/>
                <w:color w:val="auto"/>
              </w:rPr>
            </w:pPr>
          </w:p>
        </w:tc>
        <w:tc>
          <w:tcPr>
            <w:tcW w:w="8080" w:type="dxa"/>
            <w:vAlign w:val="bottom"/>
            <w:tcBorders>
              <w:top w:val="single" w:sz="8" w:color="CEFFE7"/>
            </w:tcBorders>
          </w:tcPr>
          <w:p>
            <w:pPr>
              <w:spacing w:after="0"/>
              <w:rPr>
                <w:sz w:val="19"/>
                <w:szCs w:val="19"/>
                <w:color w:val="auto"/>
              </w:rPr>
            </w:pPr>
          </w:p>
        </w:tc>
        <w:tc>
          <w:tcPr>
            <w:tcW w:w="500" w:type="dxa"/>
            <w:vAlign w:val="bottom"/>
            <w:tcBorders>
              <w:top w:val="single" w:sz="8" w:color="CEFFE7"/>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EFFE7"/>
            </w:tcBorders>
          </w:tcPr>
          <w:p>
            <w:pPr>
              <w:spacing w:after="0"/>
              <w:rPr>
                <w:sz w:val="19"/>
                <w:szCs w:val="19"/>
                <w:color w:val="auto"/>
              </w:rPr>
            </w:pPr>
          </w:p>
        </w:tc>
      </w:tr>
      <w:tr>
        <w:trPr>
          <w:trHeight w:val="250"/>
        </w:trPr>
        <w:tc>
          <w:tcPr>
            <w:tcW w:w="2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Part IV</w:t>
            </w:r>
          </w:p>
        </w:tc>
        <w:tc>
          <w:tcPr>
            <w:tcW w:w="808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r>
      <w:tr>
        <w:trPr>
          <w:trHeight w:val="270"/>
        </w:trPr>
        <w:tc>
          <w:tcPr>
            <w:tcW w:w="2540" w:type="dxa"/>
            <w:vAlign w:val="bottom"/>
          </w:tcPr>
          <w:p>
            <w:pPr>
              <w:spacing w:after="0"/>
              <w:rPr>
                <w:sz w:val="23"/>
                <w:szCs w:val="23"/>
                <w:color w:val="auto"/>
              </w:rPr>
            </w:pPr>
          </w:p>
        </w:tc>
        <w:tc>
          <w:tcPr>
            <w:tcW w:w="8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15.</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EXHIBITS, FINANCIAL STATEMENT SCHEDULES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4">
              <w:r>
                <w:rPr>
                  <w:rFonts w:ascii="Arial" w:cs="Arial" w:eastAsia="Arial" w:hAnsi="Arial"/>
                  <w:sz w:val="18"/>
                  <w:szCs w:val="18"/>
                  <w:color w:val="0000EE"/>
                </w:rPr>
                <w:t>164</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16.</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FORM 10-K SUMMARY</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167</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03"/>
        </w:trPr>
        <w:tc>
          <w:tcPr>
            <w:tcW w:w="2540" w:type="dxa"/>
            <w:vAlign w:val="bottom"/>
            <w:shd w:val="clear" w:color="auto" w:fill="CEFFE7"/>
          </w:tcPr>
          <w:p>
            <w:pPr>
              <w:spacing w:after="0"/>
              <w:rPr>
                <w:sz w:val="17"/>
                <w:szCs w:val="17"/>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SIGNATURES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168</w:t>
              </w:r>
            </w:hyperlink>
          </w:p>
        </w:tc>
      </w:tr>
      <w:tr>
        <w:trPr>
          <w:trHeight w:val="48"/>
        </w:trPr>
        <w:tc>
          <w:tcPr>
            <w:tcW w:w="2540" w:type="dxa"/>
            <w:vAlign w:val="bottom"/>
            <w:tcBorders>
              <w:top w:val="single" w:sz="8" w:color="CEFFE7"/>
            </w:tcBorders>
            <w:shd w:val="clear" w:color="auto" w:fill="CEFFE7"/>
          </w:tcPr>
          <w:p>
            <w:pPr>
              <w:spacing w:after="0"/>
              <w:rPr>
                <w:sz w:val="4"/>
                <w:szCs w:val="4"/>
                <w:color w:val="auto"/>
              </w:rPr>
            </w:pPr>
          </w:p>
        </w:tc>
        <w:tc>
          <w:tcPr>
            <w:tcW w:w="8080" w:type="dxa"/>
            <w:vAlign w:val="bottom"/>
            <w:tcBorders>
              <w:top w:val="single" w:sz="8" w:color="CEFFE7"/>
            </w:tcBorders>
            <w:shd w:val="clear" w:color="auto" w:fill="CEFFE7"/>
          </w:tcPr>
          <w:p>
            <w:pPr>
              <w:spacing w:after="0"/>
              <w:rPr>
                <w:sz w:val="4"/>
                <w:szCs w:val="4"/>
                <w:color w:val="auto"/>
              </w:rPr>
            </w:pPr>
          </w:p>
        </w:tc>
        <w:tc>
          <w:tcPr>
            <w:tcW w:w="50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88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881"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Arial" w:cs="Arial" w:eastAsia="Arial" w:hAnsi="Arial"/>
                <w:sz w:val="18"/>
                <w:szCs w:val="18"/>
                <w:b w:val="1"/>
                <w:bCs w:val="1"/>
                <w:color w:val="auto"/>
              </w:rPr>
              <w:t>GLOSSARY OF TERMS AND ABBREVIATIONS</w:t>
            </w:r>
          </w:p>
        </w:tc>
      </w:tr>
      <w:tr>
        <w:trPr>
          <w:trHeight w:val="432"/>
        </w:trPr>
        <w:tc>
          <w:tcPr>
            <w:tcW w:w="11400" w:type="dxa"/>
            <w:vAlign w:val="bottom"/>
            <w:gridSpan w:val="3"/>
          </w:tcPr>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20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AFUDC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Allowance for Funds Used During Construction</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AltaGas</w:t>
            </w:r>
          </w:p>
        </w:tc>
        <w:tc>
          <w:tcPr>
            <w:tcW w:w="8200" w:type="dxa"/>
            <w:vAlign w:val="bottom"/>
          </w:tcPr>
          <w:p>
            <w:pPr>
              <w:ind w:left="160"/>
              <w:spacing w:after="0"/>
              <w:rPr>
                <w:sz w:val="20"/>
                <w:szCs w:val="20"/>
                <w:color w:val="auto"/>
              </w:rPr>
            </w:pPr>
            <w:r>
              <w:rPr>
                <w:rFonts w:ascii="Arial" w:cs="Arial" w:eastAsia="Arial" w:hAnsi="Arial"/>
                <w:sz w:val="18"/>
                <w:szCs w:val="18"/>
                <w:color w:val="auto"/>
              </w:rPr>
              <w:t>AltaGas Renewable Energy Colorado LLC, a subsidiary of AltaGas Ltd.</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AOCI</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Accumulated Other Comprehensive Income</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Aquila Transaction</w:t>
            </w:r>
          </w:p>
        </w:tc>
        <w:tc>
          <w:tcPr>
            <w:tcW w:w="8200" w:type="dxa"/>
            <w:vAlign w:val="bottom"/>
          </w:tcPr>
          <w:p>
            <w:pPr>
              <w:ind w:left="160"/>
              <w:spacing w:after="0"/>
              <w:rPr>
                <w:sz w:val="20"/>
                <w:szCs w:val="20"/>
                <w:color w:val="auto"/>
              </w:rPr>
            </w:pPr>
            <w:r>
              <w:rPr>
                <w:rFonts w:ascii="Arial" w:cs="Arial" w:eastAsia="Arial" w:hAnsi="Arial"/>
                <w:sz w:val="18"/>
                <w:szCs w:val="18"/>
                <w:color w:val="auto"/>
              </w:rPr>
              <w:t>Our July 14, 2008 acquisition of five utilities from Aquila, Inc.</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APSC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Arkansas Public Service Commission</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Arkansas Gas</w:t>
            </w:r>
          </w:p>
        </w:tc>
        <w:tc>
          <w:tcPr>
            <w:tcW w:w="8200" w:type="dxa"/>
            <w:vAlign w:val="bottom"/>
          </w:tcPr>
          <w:p>
            <w:pPr>
              <w:ind w:left="160"/>
              <w:spacing w:after="0"/>
              <w:rPr>
                <w:sz w:val="20"/>
                <w:szCs w:val="20"/>
                <w:color w:val="auto"/>
              </w:rPr>
            </w:pPr>
            <w:r>
              <w:rPr>
                <w:rFonts w:ascii="Arial" w:cs="Arial" w:eastAsia="Arial" w:hAnsi="Arial"/>
                <w:sz w:val="18"/>
                <w:szCs w:val="18"/>
                <w:color w:val="auto"/>
                <w:w w:val="92"/>
              </w:rPr>
              <w:t>Includes the acquired SourceGas utility Black Hills Energy Arkansas, Inc. utility operations (doing business as</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Energy)</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ARO</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Asset Retirement Obligations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ASC</w:t>
            </w:r>
          </w:p>
        </w:tc>
        <w:tc>
          <w:tcPr>
            <w:tcW w:w="82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ASU</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Accounting Standards Update as issued by the FASB</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ATM</w:t>
            </w:r>
          </w:p>
        </w:tc>
        <w:tc>
          <w:tcPr>
            <w:tcW w:w="8200" w:type="dxa"/>
            <w:vAlign w:val="bottom"/>
          </w:tcPr>
          <w:p>
            <w:pPr>
              <w:ind w:left="160"/>
              <w:spacing w:after="0"/>
              <w:rPr>
                <w:sz w:val="20"/>
                <w:szCs w:val="20"/>
                <w:color w:val="auto"/>
              </w:rPr>
            </w:pPr>
            <w:r>
              <w:rPr>
                <w:rFonts w:ascii="Arial" w:cs="Arial" w:eastAsia="Arial" w:hAnsi="Arial"/>
                <w:sz w:val="18"/>
                <w:szCs w:val="18"/>
                <w:color w:val="auto"/>
              </w:rPr>
              <w:t>At-the-market equity offering program</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Basin Electric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Bbl</w:t>
            </w:r>
          </w:p>
        </w:tc>
        <w:tc>
          <w:tcPr>
            <w:tcW w:w="8200" w:type="dxa"/>
            <w:vAlign w:val="bottom"/>
          </w:tcPr>
          <w:p>
            <w:pPr>
              <w:ind w:left="160"/>
              <w:spacing w:after="0"/>
              <w:rPr>
                <w:sz w:val="20"/>
                <w:szCs w:val="20"/>
                <w:color w:val="auto"/>
              </w:rPr>
            </w:pPr>
            <w:r>
              <w:rPr>
                <w:rFonts w:ascii="Arial" w:cs="Arial" w:eastAsia="Arial" w:hAnsi="Arial"/>
                <w:sz w:val="18"/>
                <w:szCs w:val="18"/>
                <w:color w:val="auto"/>
              </w:rPr>
              <w:t>Barrel</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Bcf</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Billion cubic feet</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BHC</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Corporation; the Company</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BHEP</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1"/>
              </w:rPr>
              <w:t>Black Hills Exploration and Production, Inc., our previous Oil and Gas segment. As of December 31, 2018, we</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have completed the exit of the Oil and Gas business.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BHSC</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Service Company LLC, a direct, wholly-owned subsidiary of Black Hills Corporation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Colorado IPP</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Gas</w:t>
            </w:r>
          </w:p>
        </w:tc>
        <w:tc>
          <w:tcPr>
            <w:tcW w:w="8200" w:type="dxa"/>
            <w:vAlign w:val="bottom"/>
          </w:tcPr>
          <w:p>
            <w:pPr>
              <w:ind w:left="160"/>
              <w:spacing w:after="0"/>
              <w:rPr>
                <w:sz w:val="20"/>
                <w:szCs w:val="20"/>
                <w:color w:val="auto"/>
              </w:rPr>
            </w:pPr>
            <w:r>
              <w:rPr>
                <w:rFonts w:ascii="Arial" w:cs="Arial" w:eastAsia="Arial" w:hAnsi="Arial"/>
                <w:sz w:val="18"/>
                <w:szCs w:val="18"/>
                <w:color w:val="auto"/>
                <w:w w:val="97"/>
              </w:rPr>
              <w:t>Black Hills Gas, LLC, a subsidiary of Black Hills Gas Holdings, which was previously named SourceGas</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LLC.</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Gas Holdings</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8"/>
              </w:rPr>
              <w:t>Black Hills Gas Holdings, LLC, a subsidiary of Black Hills Utility Holdings, which was previously named</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SourceGas Holdings LLC</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Electric Generation</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Electric Generation, LLC, a direct, wholly-owned subsidiary of Black Hills Non-regulated</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Holdings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The name used to conduct the business of our utility companies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Colorado Electric</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Colorado Electric’s utility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Colorado Gas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Black Hills Energy Colorado Gas utility operations, as well as RMNG</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Iowa Gas</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Black Hills Energy Iowa gas utility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Kansas Gas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Black Hills Energy Kansas gas utility operations</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Nebraska Gas</w:t>
            </w:r>
          </w:p>
        </w:tc>
        <w:tc>
          <w:tcPr>
            <w:tcW w:w="8200" w:type="dxa"/>
            <w:vAlign w:val="bottom"/>
          </w:tcPr>
          <w:p>
            <w:pPr>
              <w:ind w:left="160"/>
              <w:spacing w:after="0"/>
              <w:rPr>
                <w:sz w:val="20"/>
                <w:szCs w:val="20"/>
                <w:color w:val="auto"/>
              </w:rPr>
            </w:pPr>
            <w:r>
              <w:rPr>
                <w:rFonts w:ascii="Arial" w:cs="Arial" w:eastAsia="Arial" w:hAnsi="Arial"/>
                <w:sz w:val="18"/>
                <w:szCs w:val="18"/>
                <w:color w:val="auto"/>
                <w:w w:val="94"/>
              </w:rPr>
              <w:t>Includes Black Hills Energy Nebraska gas utility operations, as well as the acquired SourceGas utility Black</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Hills Gas Distribution’s Nebraska gas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Services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 Choice Gas supplier acquired in the SourceGas Acquisition</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w w:val="97"/>
              </w:rPr>
              <w:t>Black Hills Energy South Dakota Electric</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Black Hills Power’s operations in South Dakota, Wyoming and Montana</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Wyoming Electric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Cheyenne Light’s electric utility operations</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Wyoming Gas</w:t>
            </w:r>
          </w:p>
        </w:tc>
        <w:tc>
          <w:tcPr>
            <w:tcW w:w="8200" w:type="dxa"/>
            <w:vAlign w:val="bottom"/>
          </w:tcPr>
          <w:p>
            <w:pPr>
              <w:ind w:left="160"/>
              <w:spacing w:after="0"/>
              <w:rPr>
                <w:sz w:val="20"/>
                <w:szCs w:val="20"/>
                <w:color w:val="auto"/>
              </w:rPr>
            </w:pPr>
            <w:r>
              <w:rPr>
                <w:rFonts w:ascii="Arial" w:cs="Arial" w:eastAsia="Arial" w:hAnsi="Arial"/>
                <w:sz w:val="18"/>
                <w:szCs w:val="18"/>
                <w:color w:val="auto"/>
                <w:w w:val="92"/>
              </w:rPr>
              <w:t>Includes Cheyenne Light’s natural gas utility operations, as well as the acquired SourceGas utility Black Hills</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Gas Distribution’s Wyoming gas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Gas Distribution</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5"/>
              </w:rPr>
              <w:t>Black Hills Gas Distribution, LLC, a company acquired in the SourceGas Acquisition that conducts the gas</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w w:val="98"/>
              </w:rPr>
              <w:t>distribution operations in Nebraska and Wyoming. It was formerly named SourceGas Distribution LLC.</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Non-regulated Holdings</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Power</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2"/>
              </w:rPr>
              <w:t>Black Hills Power, Inc., a direct, wholly-owned subsidiary of Black Hills Corporation (doing business as Black</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Hills Energy)</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Utility Holdings</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Utility Holdings, Inc., a direct, wholly-owned subsidiary of Black Hills Corporation (doing</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business as Black Hills Energy)</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Wyoming</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tc>
      </w:tr>
      <w:tr>
        <w:trPr>
          <w:trHeight w:val="4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200" w:type="dxa"/>
            <w:vAlign w:val="bottom"/>
          </w:tcPr>
          <w:p>
            <w:pPr>
              <w:ind w:left="24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BLM</w:t>
            </w:r>
          </w:p>
        </w:tc>
        <w:tc>
          <w:tcPr>
            <w:tcW w:w="8100" w:type="dxa"/>
            <w:vAlign w:val="bottom"/>
          </w:tcPr>
          <w:p>
            <w:pPr>
              <w:ind w:left="60"/>
              <w:spacing w:after="0"/>
              <w:rPr>
                <w:sz w:val="20"/>
                <w:szCs w:val="20"/>
                <w:color w:val="auto"/>
              </w:rPr>
            </w:pPr>
            <w:r>
              <w:rPr>
                <w:rFonts w:ascii="Arial" w:cs="Arial" w:eastAsia="Arial" w:hAnsi="Arial"/>
                <w:sz w:val="18"/>
                <w:szCs w:val="18"/>
                <w:color w:val="auto"/>
              </w:rPr>
              <w:t>United States Bureau of Land Management</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Btu</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British thermal unit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Busch Ranch I</w:t>
            </w:r>
          </w:p>
        </w:tc>
        <w:tc>
          <w:tcPr>
            <w:tcW w:w="8100" w:type="dxa"/>
            <w:vAlign w:val="bottom"/>
          </w:tcPr>
          <w:p>
            <w:pPr>
              <w:ind w:left="60"/>
              <w:spacing w:after="0"/>
              <w:rPr>
                <w:sz w:val="20"/>
                <w:szCs w:val="20"/>
                <w:color w:val="auto"/>
              </w:rPr>
            </w:pPr>
            <w:r>
              <w:rPr>
                <w:rFonts w:ascii="Arial" w:cs="Arial" w:eastAsia="Arial" w:hAnsi="Arial"/>
                <w:sz w:val="18"/>
                <w:szCs w:val="18"/>
                <w:color w:val="auto"/>
                <w:w w:val="95"/>
              </w:rPr>
              <w:t>Busch Ranch Wind Farm is a 29 MW wind farm near Pueblo, Colorado, jointly owned by Colorado Electric</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4"/>
              </w:rPr>
              <w:t>and Black Hills Electric Generation. Colorado Electric and Black Hills Electric Generation each have a 50%</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ownership interest in the wind farm.</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Busch Ranch II</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6"/>
              </w:rPr>
              <w:t>Busch Ranch II wind project is under construction as a 60 MW wind farm near Pueblo, Colorado, built by</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2"/>
              </w:rPr>
              <w:t>Black Hills Electric Generation to provide wind energy to Colorado Electric through a 25-year power purchase</w:t>
            </w:r>
          </w:p>
        </w:tc>
      </w:tr>
      <w:tr>
        <w:trPr>
          <w:trHeight w:val="230"/>
        </w:trPr>
        <w:tc>
          <w:tcPr>
            <w:tcW w:w="3280" w:type="dxa"/>
            <w:vAlign w:val="bottom"/>
            <w:shd w:val="clear" w:color="auto" w:fill="CEFFE7"/>
          </w:tcPr>
          <w:p>
            <w:pPr>
              <w:spacing w:after="0"/>
              <w:rPr>
                <w:sz w:val="20"/>
                <w:szCs w:val="20"/>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rPr>
              <w:t>agreement.</w:t>
            </w:r>
          </w:p>
        </w:tc>
      </w:tr>
      <w:tr>
        <w:trPr>
          <w:trHeight w:val="243"/>
        </w:trPr>
        <w:tc>
          <w:tcPr>
            <w:tcW w:w="3280" w:type="dxa"/>
            <w:vAlign w:val="bottom"/>
            <w:shd w:val="clear" w:color="auto" w:fill="CEFFE7"/>
          </w:tcPr>
          <w:p>
            <w:pPr>
              <w:spacing w:after="0"/>
              <w:rPr>
                <w:sz w:val="21"/>
                <w:szCs w:val="21"/>
                <w:color w:val="auto"/>
              </w:rPr>
            </w:pPr>
          </w:p>
        </w:tc>
        <w:tc>
          <w:tcPr>
            <w:tcW w:w="8100" w:type="dxa"/>
            <w:vAlign w:val="bottom"/>
            <w:shd w:val="clear" w:color="auto" w:fill="CEFFE7"/>
          </w:tcPr>
          <w:p>
            <w:pPr>
              <w:spacing w:after="0"/>
              <w:rPr>
                <w:sz w:val="21"/>
                <w:szCs w:val="2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Ceiling Test</w:t>
            </w:r>
          </w:p>
        </w:tc>
        <w:tc>
          <w:tcPr>
            <w:tcW w:w="8100" w:type="dxa"/>
            <w:vAlign w:val="bottom"/>
          </w:tcPr>
          <w:p>
            <w:pPr>
              <w:ind w:left="60"/>
              <w:spacing w:after="0"/>
              <w:rPr>
                <w:sz w:val="20"/>
                <w:szCs w:val="20"/>
                <w:color w:val="auto"/>
              </w:rPr>
            </w:pPr>
            <w:r>
              <w:rPr>
                <w:rFonts w:ascii="Arial" w:cs="Arial" w:eastAsia="Arial" w:hAnsi="Arial"/>
                <w:sz w:val="18"/>
                <w:szCs w:val="18"/>
                <w:color w:val="auto"/>
                <w:w w:val="93"/>
              </w:rPr>
              <w:t>Related to our Oil and Gas subsidiary, capitalized costs, less accumulated amortization and related deferred</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0"/>
              </w:rPr>
              <w:t>income taxes, are subject to a ceiling test which limits the pooled costs to the aggregate of the discounted value</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1"/>
              </w:rPr>
              <w:t>of future net revenue attributable to proved natural gas and crude oil reserves using a discount rate defined by</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the SEC plus the lower of cost or market value of unevaluated properties.</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CAPP</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Customer Appliance Protection Plan - acquired in the SourceGas Acquisition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CFTC</w:t>
            </w:r>
          </w:p>
        </w:tc>
        <w:tc>
          <w:tcPr>
            <w:tcW w:w="8100" w:type="dxa"/>
            <w:vAlign w:val="bottom"/>
          </w:tcPr>
          <w:p>
            <w:pPr>
              <w:ind w:left="60"/>
              <w:spacing w:after="0"/>
              <w:rPr>
                <w:sz w:val="20"/>
                <w:szCs w:val="20"/>
                <w:color w:val="auto"/>
              </w:rPr>
            </w:pPr>
            <w:r>
              <w:rPr>
                <w:rFonts w:ascii="Arial" w:cs="Arial" w:eastAsia="Arial" w:hAnsi="Arial"/>
                <w:sz w:val="18"/>
                <w:szCs w:val="18"/>
                <w:color w:val="auto"/>
              </w:rPr>
              <w:t>United States Commodity Futures Trading Commission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CG&amp;A</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Cawley, Gillespie &amp; Associates, Inc., an independent consulting and engineering firm</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Cheyenne Light</w:t>
            </w:r>
          </w:p>
        </w:tc>
        <w:tc>
          <w:tcPr>
            <w:tcW w:w="8100" w:type="dxa"/>
            <w:vAlign w:val="bottom"/>
          </w:tcPr>
          <w:p>
            <w:pPr>
              <w:ind w:left="60"/>
              <w:spacing w:after="0"/>
              <w:rPr>
                <w:sz w:val="20"/>
                <w:szCs w:val="20"/>
                <w:color w:val="auto"/>
              </w:rPr>
            </w:pPr>
            <w:r>
              <w:rPr>
                <w:rFonts w:ascii="Arial" w:cs="Arial" w:eastAsia="Arial" w:hAnsi="Arial"/>
                <w:sz w:val="18"/>
                <w:szCs w:val="18"/>
                <w:color w:val="auto"/>
                <w:w w:val="97"/>
              </w:rPr>
              <w:t>Cheyenne Light, Fuel and Power Company, a direct, wholly-owned subsidiary of Black Hills Corporation</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(doing business as Black Hills Energy)</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Cheyenne Prairie</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3"/>
              </w:rPr>
              <w:t>Cheyenne Prairie Generating Station is a 132 MW natural-gas fired generating facility jointly owned by Black</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Hills Power and Cheyenne Light in Cheyenne, Wyoming. Cheyenne Prairie was placed into commercial</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service on October 1, 2014.</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Choice Gas Program</w:t>
            </w:r>
          </w:p>
        </w:tc>
        <w:tc>
          <w:tcPr>
            <w:tcW w:w="8100" w:type="dxa"/>
            <w:vAlign w:val="bottom"/>
          </w:tcPr>
          <w:p>
            <w:pPr>
              <w:ind w:left="60"/>
              <w:spacing w:after="0"/>
              <w:rPr>
                <w:sz w:val="20"/>
                <w:szCs w:val="20"/>
                <w:color w:val="auto"/>
              </w:rPr>
            </w:pPr>
            <w:r>
              <w:rPr>
                <w:rFonts w:ascii="Arial" w:cs="Arial" w:eastAsia="Arial" w:hAnsi="Arial"/>
                <w:sz w:val="18"/>
                <w:szCs w:val="18"/>
                <w:color w:val="auto"/>
                <w:w w:val="92"/>
              </w:rPr>
              <w:t>The unbundling of the natural gas service from the distribution component, which opens up the gas supply for</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5"/>
              </w:rPr>
              <w:t>competition allowing customers to choose from different natural gas suppliers. Black Hills Gas Distribution</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distributes the gas and Black Hills Energy Services is one of the Choice Gas suppliers.</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City of Gillette</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Gillette, Wyoming</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Colorado Electric</w:t>
            </w:r>
          </w:p>
        </w:tc>
        <w:tc>
          <w:tcPr>
            <w:tcW w:w="8100" w:type="dxa"/>
            <w:vAlign w:val="bottom"/>
          </w:tcPr>
          <w:p>
            <w:pPr>
              <w:ind w:left="60"/>
              <w:spacing w:after="0"/>
              <w:rPr>
                <w:sz w:val="20"/>
                <w:szCs w:val="20"/>
                <w:color w:val="auto"/>
              </w:rPr>
            </w:pPr>
            <w:r>
              <w:rPr>
                <w:rFonts w:ascii="Arial" w:cs="Arial" w:eastAsia="Arial" w:hAnsi="Arial"/>
                <w:sz w:val="18"/>
                <w:szCs w:val="18"/>
                <w:color w:val="auto"/>
              </w:rPr>
              <w:t>Black Hills Colorado Electric, LLC, an indirect, wholly-owned subsidiary of Black Hills Utility Holdings</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(doing business as Black Hills Energy)</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Colorado Gas</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Black Hills Colorado Gas, Inc., an indirect, wholly-owned subsidiary of Black Hills Utility Holdings (doing</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business as Black Hills Energy)</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Colorado Interstate Gas (CIG)</w:t>
            </w:r>
          </w:p>
        </w:tc>
        <w:tc>
          <w:tcPr>
            <w:tcW w:w="8100" w:type="dxa"/>
            <w:vAlign w:val="bottom"/>
          </w:tcPr>
          <w:p>
            <w:pPr>
              <w:ind w:left="60"/>
              <w:spacing w:after="0"/>
              <w:rPr>
                <w:sz w:val="20"/>
                <w:szCs w:val="20"/>
                <w:color w:val="auto"/>
              </w:rPr>
            </w:pPr>
            <w:r>
              <w:rPr>
                <w:rFonts w:ascii="Arial" w:cs="Arial" w:eastAsia="Arial" w:hAnsi="Arial"/>
                <w:sz w:val="18"/>
                <w:szCs w:val="18"/>
                <w:color w:val="auto"/>
              </w:rPr>
              <w:t>Colorado Interstate Natural Gas Pricing Index</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w w:val="92"/>
              </w:rPr>
              <w:t>Consolidated Indebtedness to Capitalization</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2"/>
              </w:rPr>
              <w:t>Any Indebtedness outstanding at such time, divided by Capital at such time. Capital being Consolidated Net-</w:t>
            </w:r>
          </w:p>
        </w:tc>
      </w:tr>
      <w:tr>
        <w:trPr>
          <w:trHeight w:val="216"/>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Ratio</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Worth (excluding noncontrolling interest) plus Consolidated Indebtedness (including letters of credit and</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certain guarantees issued) as defined within the current Credit Agreement.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Cooling Degree Day</w:t>
            </w:r>
          </w:p>
        </w:tc>
        <w:tc>
          <w:tcPr>
            <w:tcW w:w="8100" w:type="dxa"/>
            <w:vAlign w:val="bottom"/>
          </w:tcPr>
          <w:p>
            <w:pPr>
              <w:ind w:left="60"/>
              <w:spacing w:after="0"/>
              <w:rPr>
                <w:sz w:val="20"/>
                <w:szCs w:val="20"/>
                <w:color w:val="auto"/>
              </w:rPr>
            </w:pPr>
            <w:r>
              <w:rPr>
                <w:rFonts w:ascii="Arial" w:cs="Arial" w:eastAsia="Arial" w:hAnsi="Arial"/>
                <w:sz w:val="18"/>
                <w:szCs w:val="18"/>
                <w:color w:val="auto"/>
                <w:w w:val="90"/>
              </w:rPr>
              <w:t>A cooling degree day is equivalent to each degree that the average of the high and low temperature for a day is</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3"/>
              </w:rPr>
              <w:t>above 65 degrees. The warmer the climate, the greater the number of cooling degree days. Cooling degree</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8"/>
              </w:rPr>
              <w:t>days are used in the utility industry to measure the relative warmth of weather and to compare relative</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6"/>
              </w:rPr>
              <w:t>temperatures between one geographic area and another. Normal degree days are based on the National</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Weather Service data for selected locations over a 30-year average.</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CPCN</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Certificate of Public Convenience and Necessity</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CPP</w:t>
            </w:r>
          </w:p>
        </w:tc>
        <w:tc>
          <w:tcPr>
            <w:tcW w:w="8100" w:type="dxa"/>
            <w:vAlign w:val="bottom"/>
          </w:tcPr>
          <w:p>
            <w:pPr>
              <w:ind w:left="60"/>
              <w:spacing w:after="0"/>
              <w:rPr>
                <w:sz w:val="20"/>
                <w:szCs w:val="20"/>
                <w:color w:val="auto"/>
              </w:rPr>
            </w:pPr>
            <w:r>
              <w:rPr>
                <w:rFonts w:ascii="Arial" w:cs="Arial" w:eastAsia="Arial" w:hAnsi="Arial"/>
                <w:sz w:val="18"/>
                <w:szCs w:val="18"/>
                <w:color w:val="auto"/>
              </w:rPr>
              <w:t>Clean Power Plan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 Program</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Commercial Paper Program</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CPUC</w:t>
            </w:r>
          </w:p>
        </w:tc>
        <w:tc>
          <w:tcPr>
            <w:tcW w:w="8100" w:type="dxa"/>
            <w:vAlign w:val="bottom"/>
          </w:tcPr>
          <w:p>
            <w:pPr>
              <w:ind w:left="60"/>
              <w:spacing w:after="0"/>
              <w:rPr>
                <w:sz w:val="20"/>
                <w:szCs w:val="20"/>
                <w:color w:val="auto"/>
              </w:rPr>
            </w:pPr>
            <w:r>
              <w:rPr>
                <w:rFonts w:ascii="Arial" w:cs="Arial" w:eastAsia="Arial" w:hAnsi="Arial"/>
                <w:sz w:val="18"/>
                <w:szCs w:val="18"/>
                <w:color w:val="auto"/>
              </w:rPr>
              <w:t>Colorado Public Utilities Commission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CT</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Combustion turbine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CTII</w:t>
            </w:r>
          </w:p>
        </w:tc>
        <w:tc>
          <w:tcPr>
            <w:tcW w:w="8100" w:type="dxa"/>
            <w:vAlign w:val="bottom"/>
          </w:tcPr>
          <w:p>
            <w:pPr>
              <w:ind w:left="60"/>
              <w:spacing w:after="0"/>
              <w:rPr>
                <w:sz w:val="20"/>
                <w:szCs w:val="20"/>
                <w:color w:val="auto"/>
              </w:rPr>
            </w:pPr>
            <w:r>
              <w:rPr>
                <w:rFonts w:ascii="Arial" w:cs="Arial" w:eastAsia="Arial" w:hAnsi="Arial"/>
                <w:sz w:val="18"/>
                <w:szCs w:val="18"/>
                <w:color w:val="auto"/>
              </w:rPr>
              <w:t>The 40 MW Gillette CT, a simple-cycle, gas-fired combustion turbine owned by the City of Gillette.</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CVA</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Credit Valuation Adjustment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DART</w:t>
            </w:r>
          </w:p>
        </w:tc>
        <w:tc>
          <w:tcPr>
            <w:tcW w:w="8100" w:type="dxa"/>
            <w:vAlign w:val="bottom"/>
          </w:tcPr>
          <w:p>
            <w:pPr>
              <w:ind w:left="60"/>
              <w:spacing w:after="0"/>
              <w:rPr>
                <w:sz w:val="20"/>
                <w:szCs w:val="20"/>
                <w:color w:val="auto"/>
              </w:rPr>
            </w:pPr>
            <w:r>
              <w:rPr>
                <w:rFonts w:ascii="Arial" w:cs="Arial" w:eastAsia="Arial" w:hAnsi="Arial"/>
                <w:sz w:val="18"/>
                <w:szCs w:val="18"/>
                <w:color w:val="auto"/>
                <w:w w:val="93"/>
              </w:rPr>
              <w:t>Days Away Restricted Transferred (number of cases with days away from work or job transfer or restrictions</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multiplied by 200,000 then divided by total hours worked for all employees during the year covered)</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DC</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Direct current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Dodd-Frank</w:t>
            </w:r>
          </w:p>
        </w:tc>
        <w:tc>
          <w:tcPr>
            <w:tcW w:w="8100" w:type="dxa"/>
            <w:vAlign w:val="bottom"/>
          </w:tcPr>
          <w:p>
            <w:pPr>
              <w:ind w:left="60"/>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DSM</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Demand Side Management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DRSPP</w:t>
            </w:r>
          </w:p>
        </w:tc>
        <w:tc>
          <w:tcPr>
            <w:tcW w:w="8100" w:type="dxa"/>
            <w:vAlign w:val="bottom"/>
          </w:tcPr>
          <w:p>
            <w:pPr>
              <w:ind w:left="60"/>
              <w:spacing w:after="0"/>
              <w:rPr>
                <w:sz w:val="20"/>
                <w:szCs w:val="20"/>
                <w:color w:val="auto"/>
              </w:rPr>
            </w:pPr>
            <w:r>
              <w:rPr>
                <w:rFonts w:ascii="Arial" w:cs="Arial" w:eastAsia="Arial" w:hAnsi="Arial"/>
                <w:sz w:val="18"/>
                <w:szCs w:val="18"/>
                <w:color w:val="auto"/>
              </w:rPr>
              <w:t>Dividend Reinvestment and Stock Purchase Plan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43"/>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Dth</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rPr>
              <w:t>Dekatherm. A unit of energy equal to 10 therms or one million British thermal units (MMBtu)</w:t>
            </w:r>
          </w:p>
        </w:tc>
      </w:tr>
      <w:tr>
        <w:trPr>
          <w:trHeight w:val="27"/>
        </w:trPr>
        <w:tc>
          <w:tcPr>
            <w:tcW w:w="3280" w:type="dxa"/>
            <w:vAlign w:val="bottom"/>
            <w:shd w:val="clear" w:color="auto" w:fill="CEFFE7"/>
          </w:tcPr>
          <w:p>
            <w:pPr>
              <w:spacing w:after="0"/>
              <w:rPr>
                <w:sz w:val="2"/>
                <w:szCs w:val="2"/>
                <w:color w:val="auto"/>
              </w:rPr>
            </w:pPr>
          </w:p>
        </w:tc>
        <w:tc>
          <w:tcPr>
            <w:tcW w:w="810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60" w:top="746"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746"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EBITDA</w:t>
            </w:r>
          </w:p>
        </w:tc>
        <w:tc>
          <w:tcPr>
            <w:tcW w:w="8880" w:type="dxa"/>
            <w:vAlign w:val="bottom"/>
          </w:tcPr>
          <w:p>
            <w:pPr>
              <w:ind w:left="840"/>
              <w:spacing w:after="0"/>
              <w:rPr>
                <w:sz w:val="20"/>
                <w:szCs w:val="20"/>
                <w:color w:val="auto"/>
              </w:rPr>
            </w:pPr>
            <w:r>
              <w:rPr>
                <w:rFonts w:ascii="Arial" w:cs="Arial" w:eastAsia="Arial" w:hAnsi="Arial"/>
                <w:sz w:val="18"/>
                <w:szCs w:val="18"/>
                <w:color w:val="auto"/>
              </w:rPr>
              <w:t>Earnings before interest, taxes, depreciation and amortization, a non-GAAP measurement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ECA</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w w:val="91"/>
              </w:rPr>
              <w:t>Energy Cost Adjustment -- adjustments that allow us to pass the prudently-incurred cost of fuel and purchased</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energy through to customers.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Economy Energy</w:t>
            </w:r>
          </w:p>
        </w:tc>
        <w:tc>
          <w:tcPr>
            <w:tcW w:w="8880" w:type="dxa"/>
            <w:vAlign w:val="bottom"/>
          </w:tcPr>
          <w:p>
            <w:pPr>
              <w:ind w:left="840"/>
              <w:spacing w:after="0"/>
              <w:rPr>
                <w:sz w:val="20"/>
                <w:szCs w:val="20"/>
                <w:color w:val="auto"/>
              </w:rPr>
            </w:pPr>
            <w:r>
              <w:rPr>
                <w:rFonts w:ascii="Arial" w:cs="Arial" w:eastAsia="Arial" w:hAnsi="Arial"/>
                <w:sz w:val="18"/>
                <w:szCs w:val="18"/>
                <w:color w:val="auto"/>
                <w:w w:val="96"/>
              </w:rPr>
              <w:t>Electricity purchased by one utility from another utility to take the place of electricity that would have cost</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more to produce on the utility’s own system</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EIA</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Environmental Improvement Adjustment</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EPA</w:t>
            </w:r>
          </w:p>
        </w:tc>
        <w:tc>
          <w:tcPr>
            <w:tcW w:w="8880" w:type="dxa"/>
            <w:vAlign w:val="bottom"/>
          </w:tcPr>
          <w:p>
            <w:pPr>
              <w:ind w:left="840"/>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Equity Unit</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w w:val="94"/>
              </w:rPr>
              <w:t>Each Equity Unit has a stated amount of $50, consisting of a purchase contract issued by BHC to purchase</w:t>
            </w:r>
          </w:p>
        </w:tc>
      </w:tr>
      <w:tr>
        <w:trPr>
          <w:trHeight w:val="216"/>
        </w:trPr>
        <w:tc>
          <w:tcPr>
            <w:tcW w:w="2500" w:type="dxa"/>
            <w:vAlign w:val="bottom"/>
            <w:shd w:val="clear" w:color="auto" w:fill="CEFFE7"/>
          </w:tcPr>
          <w:p>
            <w:pPr>
              <w:spacing w:after="0"/>
              <w:rPr>
                <w:sz w:val="18"/>
                <w:szCs w:val="18"/>
                <w:color w:val="auto"/>
              </w:rPr>
            </w:pP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w w:val="94"/>
              </w:rPr>
              <w:t>shares of BHC common stock and a 1/20, or 5% undivided beneficial ownership interest in $1,000 principal</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amount of BHC RSNs due 2028.</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EWG</w:t>
            </w:r>
          </w:p>
        </w:tc>
        <w:tc>
          <w:tcPr>
            <w:tcW w:w="8880" w:type="dxa"/>
            <w:vAlign w:val="bottom"/>
          </w:tcPr>
          <w:p>
            <w:pPr>
              <w:ind w:left="840"/>
              <w:spacing w:after="0"/>
              <w:rPr>
                <w:sz w:val="20"/>
                <w:szCs w:val="20"/>
                <w:color w:val="auto"/>
              </w:rPr>
            </w:pPr>
            <w:r>
              <w:rPr>
                <w:rFonts w:ascii="Arial" w:cs="Arial" w:eastAsia="Arial" w:hAnsi="Arial"/>
                <w:sz w:val="18"/>
                <w:szCs w:val="18"/>
                <w:color w:val="auto"/>
              </w:rPr>
              <w:t>Exempt Wholesale Generator</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FASB</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FDIC</w:t>
            </w:r>
          </w:p>
        </w:tc>
        <w:tc>
          <w:tcPr>
            <w:tcW w:w="8880" w:type="dxa"/>
            <w:vAlign w:val="bottom"/>
          </w:tcPr>
          <w:p>
            <w:pPr>
              <w:ind w:left="840"/>
              <w:spacing w:after="0"/>
              <w:rPr>
                <w:sz w:val="20"/>
                <w:szCs w:val="20"/>
                <w:color w:val="auto"/>
              </w:rPr>
            </w:pPr>
            <w:r>
              <w:rPr>
                <w:rFonts w:ascii="Arial" w:cs="Arial" w:eastAsia="Arial" w:hAnsi="Arial"/>
                <w:sz w:val="18"/>
                <w:szCs w:val="18"/>
                <w:color w:val="auto"/>
              </w:rPr>
              <w:t>Federal Deposit Insurance Corporation</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FERC</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United States Federal Energy Regulatory Commission</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Fitch</w:t>
            </w:r>
          </w:p>
        </w:tc>
        <w:tc>
          <w:tcPr>
            <w:tcW w:w="8880" w:type="dxa"/>
            <w:vAlign w:val="bottom"/>
          </w:tcPr>
          <w:p>
            <w:pPr>
              <w:ind w:left="840"/>
              <w:spacing w:after="0"/>
              <w:rPr>
                <w:sz w:val="20"/>
                <w:szCs w:val="20"/>
                <w:color w:val="auto"/>
              </w:rPr>
            </w:pPr>
            <w:r>
              <w:rPr>
                <w:rFonts w:ascii="Arial" w:cs="Arial" w:eastAsia="Arial" w:hAnsi="Arial"/>
                <w:sz w:val="18"/>
                <w:szCs w:val="18"/>
                <w:color w:val="auto"/>
              </w:rPr>
              <w:t>Fitch Ratings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GAAP</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GCA</w:t>
            </w:r>
          </w:p>
        </w:tc>
        <w:tc>
          <w:tcPr>
            <w:tcW w:w="8880" w:type="dxa"/>
            <w:vAlign w:val="bottom"/>
          </w:tcPr>
          <w:p>
            <w:pPr>
              <w:ind w:left="840"/>
              <w:spacing w:after="0"/>
              <w:rPr>
                <w:sz w:val="20"/>
                <w:szCs w:val="20"/>
                <w:color w:val="auto"/>
              </w:rPr>
            </w:pPr>
            <w:r>
              <w:rPr>
                <w:rFonts w:ascii="Arial" w:cs="Arial" w:eastAsia="Arial" w:hAnsi="Arial"/>
                <w:sz w:val="18"/>
                <w:szCs w:val="18"/>
                <w:color w:val="auto"/>
                <w:w w:val="97"/>
              </w:rPr>
              <w:t>Gas Cost Adjustment -- adjustments that allow us to pass the prudently-incurred cost of gas and certain</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services through to customers.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GHG</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Greenhouse gases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Global Settlement</w:t>
            </w:r>
          </w:p>
        </w:tc>
        <w:tc>
          <w:tcPr>
            <w:tcW w:w="8880" w:type="dxa"/>
            <w:vAlign w:val="bottom"/>
          </w:tcPr>
          <w:p>
            <w:pPr>
              <w:ind w:left="840"/>
              <w:spacing w:after="0"/>
              <w:rPr>
                <w:sz w:val="20"/>
                <w:szCs w:val="20"/>
                <w:color w:val="auto"/>
              </w:rPr>
            </w:pPr>
            <w:r>
              <w:rPr>
                <w:rFonts w:ascii="Arial" w:cs="Arial" w:eastAsia="Arial" w:hAnsi="Arial"/>
                <w:sz w:val="18"/>
                <w:szCs w:val="18"/>
                <w:color w:val="auto"/>
                <w:w w:val="90"/>
              </w:rPr>
              <w:t>Settlement with a utilities commission where the dollar figure is agreed upon, but the specific adjustments used</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by each party to arrive at the figure are not specified in public rate orders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Happy Jack</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Happy Jack Wind Farm, LLC, owned by Duke Energy Generation Services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Heating Degree Day</w:t>
            </w:r>
          </w:p>
        </w:tc>
        <w:tc>
          <w:tcPr>
            <w:tcW w:w="8880" w:type="dxa"/>
            <w:vAlign w:val="bottom"/>
          </w:tcPr>
          <w:p>
            <w:pPr>
              <w:ind w:left="840"/>
              <w:spacing w:after="0"/>
              <w:rPr>
                <w:sz w:val="20"/>
                <w:szCs w:val="20"/>
                <w:color w:val="auto"/>
              </w:rPr>
            </w:pPr>
            <w:r>
              <w:rPr>
                <w:rFonts w:ascii="Arial" w:cs="Arial" w:eastAsia="Arial" w:hAnsi="Arial"/>
                <w:sz w:val="18"/>
                <w:szCs w:val="18"/>
                <w:color w:val="auto"/>
                <w:w w:val="91"/>
              </w:rPr>
              <w:t>A heating degree day is equivalent to each degree that the average of the high and the low temperatures for a</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89"/>
              </w:rPr>
              <w:t>day is below 65 degrees. The colder the climate, the greater the number of heating degree days. Heating degree</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97"/>
              </w:rPr>
              <w:t>days are used in the utility industry to measure the relative coldness of weather and to compare relative</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88"/>
              </w:rPr>
              <w:t>temperatures between one geographic area and another. Normal degree days are based on the National Weather</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Service data for selected locations over a 30 year average.</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Iowa Gas</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rPr>
              <w:t>Black Hills Iowa Gas Utility Company, LLC, a direct, wholly-owned subsidiary of Black Hills Utility</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Holdings (doing business as Black Hills Energy)</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IPP</w:t>
            </w:r>
          </w:p>
        </w:tc>
        <w:tc>
          <w:tcPr>
            <w:tcW w:w="8880" w:type="dxa"/>
            <w:vAlign w:val="bottom"/>
          </w:tcPr>
          <w:p>
            <w:pPr>
              <w:ind w:left="840"/>
              <w:spacing w:after="0"/>
              <w:rPr>
                <w:sz w:val="20"/>
                <w:szCs w:val="20"/>
                <w:color w:val="auto"/>
              </w:rPr>
            </w:pPr>
            <w:r>
              <w:rPr>
                <w:rFonts w:ascii="Arial" w:cs="Arial" w:eastAsia="Arial" w:hAnsi="Arial"/>
                <w:sz w:val="18"/>
                <w:szCs w:val="18"/>
                <w:color w:val="auto"/>
              </w:rPr>
              <w:t>Independent power producer</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IPP Transaction</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The July 11, 2008 sale of seven of our IPP plants</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IRS</w:t>
            </w:r>
          </w:p>
        </w:tc>
        <w:tc>
          <w:tcPr>
            <w:tcW w:w="8880" w:type="dxa"/>
            <w:vAlign w:val="bottom"/>
          </w:tcPr>
          <w:p>
            <w:pPr>
              <w:ind w:left="840"/>
              <w:spacing w:after="0"/>
              <w:rPr>
                <w:sz w:val="20"/>
                <w:szCs w:val="20"/>
                <w:color w:val="auto"/>
              </w:rPr>
            </w:pPr>
            <w:r>
              <w:rPr>
                <w:rFonts w:ascii="Arial" w:cs="Arial" w:eastAsia="Arial" w:hAnsi="Arial"/>
                <w:sz w:val="18"/>
                <w:szCs w:val="18"/>
                <w:color w:val="auto"/>
              </w:rPr>
              <w:t>United States Internal Revenue Service</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Kansas Gas</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rPr>
              <w:t>Black Hills Kansas Gas Utility Company, LLC, a direct, wholly-owned subsidiary of Black Hills Utility</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Holdings (doing business as Black Hills Energy)</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kV</w:t>
            </w:r>
          </w:p>
        </w:tc>
        <w:tc>
          <w:tcPr>
            <w:tcW w:w="8880" w:type="dxa"/>
            <w:vAlign w:val="bottom"/>
          </w:tcPr>
          <w:p>
            <w:pPr>
              <w:ind w:left="840"/>
              <w:spacing w:after="0"/>
              <w:rPr>
                <w:sz w:val="20"/>
                <w:szCs w:val="20"/>
                <w:color w:val="auto"/>
              </w:rPr>
            </w:pPr>
            <w:r>
              <w:rPr>
                <w:rFonts w:ascii="Arial" w:cs="Arial" w:eastAsia="Arial" w:hAnsi="Arial"/>
                <w:sz w:val="18"/>
                <w:szCs w:val="18"/>
                <w:color w:val="auto"/>
              </w:rPr>
              <w:t>Kilovolt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LIBOR</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LOE</w:t>
            </w:r>
          </w:p>
        </w:tc>
        <w:tc>
          <w:tcPr>
            <w:tcW w:w="8880" w:type="dxa"/>
            <w:vAlign w:val="bottom"/>
          </w:tcPr>
          <w:p>
            <w:pPr>
              <w:ind w:left="840"/>
              <w:spacing w:after="0"/>
              <w:rPr>
                <w:sz w:val="20"/>
                <w:szCs w:val="20"/>
                <w:color w:val="auto"/>
              </w:rPr>
            </w:pPr>
            <w:r>
              <w:rPr>
                <w:rFonts w:ascii="Arial" w:cs="Arial" w:eastAsia="Arial" w:hAnsi="Arial"/>
                <w:sz w:val="18"/>
                <w:szCs w:val="18"/>
                <w:color w:val="auto"/>
              </w:rPr>
              <w:t>Lease Operating Expense</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Loveland Area Project</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Part of the Western Area Power Association transmission system</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MAPP</w:t>
            </w:r>
          </w:p>
        </w:tc>
        <w:tc>
          <w:tcPr>
            <w:tcW w:w="8880" w:type="dxa"/>
            <w:vAlign w:val="bottom"/>
          </w:tcPr>
          <w:p>
            <w:pPr>
              <w:ind w:left="840"/>
              <w:spacing w:after="0"/>
              <w:rPr>
                <w:sz w:val="20"/>
                <w:szCs w:val="20"/>
                <w:color w:val="auto"/>
              </w:rPr>
            </w:pPr>
            <w:r>
              <w:rPr>
                <w:rFonts w:ascii="Arial" w:cs="Arial" w:eastAsia="Arial" w:hAnsi="Arial"/>
                <w:sz w:val="18"/>
                <w:szCs w:val="18"/>
                <w:color w:val="auto"/>
              </w:rPr>
              <w:t>Mid-Continent Area Power Pool</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MATS</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rPr>
              <w:t>Utility Mercury and Air Toxics Rules under the United States EPA National Emissions Standards for</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Hazardous Air Pollutants from Coal and Oil Fired Electric Utility Steam Generating Units</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Mbbl</w:t>
            </w:r>
          </w:p>
        </w:tc>
        <w:tc>
          <w:tcPr>
            <w:tcW w:w="8880" w:type="dxa"/>
            <w:vAlign w:val="bottom"/>
          </w:tcPr>
          <w:p>
            <w:pPr>
              <w:ind w:left="840"/>
              <w:spacing w:after="0"/>
              <w:rPr>
                <w:sz w:val="20"/>
                <w:szCs w:val="20"/>
                <w:color w:val="auto"/>
              </w:rPr>
            </w:pPr>
            <w:r>
              <w:rPr>
                <w:rFonts w:ascii="Arial" w:cs="Arial" w:eastAsia="Arial" w:hAnsi="Arial"/>
                <w:sz w:val="18"/>
                <w:szCs w:val="18"/>
                <w:color w:val="auto"/>
              </w:rPr>
              <w:t>Thousand barrels of oil</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Mcf</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Thousand cubic feet</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Mcfd</w:t>
            </w:r>
          </w:p>
        </w:tc>
        <w:tc>
          <w:tcPr>
            <w:tcW w:w="8880" w:type="dxa"/>
            <w:vAlign w:val="bottom"/>
          </w:tcPr>
          <w:p>
            <w:pPr>
              <w:ind w:left="840"/>
              <w:spacing w:after="0"/>
              <w:rPr>
                <w:sz w:val="20"/>
                <w:szCs w:val="20"/>
                <w:color w:val="auto"/>
              </w:rPr>
            </w:pPr>
            <w:r>
              <w:rPr>
                <w:rFonts w:ascii="Arial" w:cs="Arial" w:eastAsia="Arial" w:hAnsi="Arial"/>
                <w:sz w:val="18"/>
                <w:szCs w:val="18"/>
                <w:color w:val="auto"/>
              </w:rPr>
              <w:t>Thousand cubic feet per day</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Mcfe</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Thousand cubic feet equivalent</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MDU</w:t>
            </w:r>
          </w:p>
        </w:tc>
        <w:tc>
          <w:tcPr>
            <w:tcW w:w="8880" w:type="dxa"/>
            <w:vAlign w:val="bottom"/>
          </w:tcPr>
          <w:p>
            <w:pPr>
              <w:ind w:left="840"/>
              <w:spacing w:after="0"/>
              <w:rPr>
                <w:sz w:val="20"/>
                <w:szCs w:val="20"/>
                <w:color w:val="auto"/>
              </w:rPr>
            </w:pPr>
            <w:r>
              <w:rPr>
                <w:rFonts w:ascii="Arial" w:cs="Arial" w:eastAsia="Arial" w:hAnsi="Arial"/>
                <w:sz w:val="18"/>
                <w:szCs w:val="18"/>
                <w:color w:val="auto"/>
              </w:rPr>
              <w:t>Montana Dakota Utilities Co., a regulated utility division of MDU Resources Group, Inc.</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MEAN</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Municipal Energy Agency of Nebraska</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MGP</w:t>
            </w:r>
          </w:p>
        </w:tc>
        <w:tc>
          <w:tcPr>
            <w:tcW w:w="8880" w:type="dxa"/>
            <w:vAlign w:val="bottom"/>
          </w:tcPr>
          <w:p>
            <w:pPr>
              <w:ind w:left="840"/>
              <w:spacing w:after="0"/>
              <w:rPr>
                <w:sz w:val="20"/>
                <w:szCs w:val="20"/>
                <w:color w:val="auto"/>
              </w:rPr>
            </w:pPr>
            <w:r>
              <w:rPr>
                <w:rFonts w:ascii="Arial" w:cs="Arial" w:eastAsia="Arial" w:hAnsi="Arial"/>
                <w:sz w:val="18"/>
                <w:szCs w:val="18"/>
                <w:color w:val="auto"/>
              </w:rPr>
              <w:t>Manufactured Gas Plant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MMBtu</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MMcf</w:t>
            </w:r>
          </w:p>
        </w:tc>
        <w:tc>
          <w:tcPr>
            <w:tcW w:w="8880" w:type="dxa"/>
            <w:vAlign w:val="bottom"/>
          </w:tcPr>
          <w:p>
            <w:pPr>
              <w:ind w:left="840"/>
              <w:spacing w:after="0"/>
              <w:rPr>
                <w:sz w:val="20"/>
                <w:szCs w:val="20"/>
                <w:color w:val="auto"/>
              </w:rPr>
            </w:pPr>
            <w:r>
              <w:rPr>
                <w:rFonts w:ascii="Arial" w:cs="Arial" w:eastAsia="Arial" w:hAnsi="Arial"/>
                <w:sz w:val="18"/>
                <w:szCs w:val="18"/>
                <w:color w:val="auto"/>
              </w:rPr>
              <w:t>Million cubic feet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43"/>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MMcfe</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rPr>
              <w:t>Million cubic feet equivalent</w:t>
            </w:r>
          </w:p>
        </w:tc>
      </w:tr>
      <w:tr>
        <w:trPr>
          <w:trHeight w:val="27"/>
        </w:trPr>
        <w:tc>
          <w:tcPr>
            <w:tcW w:w="2500" w:type="dxa"/>
            <w:vAlign w:val="bottom"/>
            <w:shd w:val="clear" w:color="auto" w:fill="CEFFE7"/>
          </w:tcPr>
          <w:p>
            <w:pPr>
              <w:spacing w:after="0"/>
              <w:rPr>
                <w:sz w:val="2"/>
                <w:szCs w:val="2"/>
                <w:color w:val="auto"/>
              </w:rPr>
            </w:pPr>
          </w:p>
        </w:tc>
        <w:tc>
          <w:tcPr>
            <w:tcW w:w="88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60" w:top="746"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746"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Moody’s</w:t>
            </w:r>
          </w:p>
        </w:tc>
        <w:tc>
          <w:tcPr>
            <w:tcW w:w="9200" w:type="dxa"/>
            <w:vAlign w:val="bottom"/>
          </w:tcPr>
          <w:p>
            <w:pPr>
              <w:ind w:left="1160"/>
              <w:spacing w:after="0"/>
              <w:rPr>
                <w:sz w:val="20"/>
                <w:szCs w:val="20"/>
                <w:color w:val="auto"/>
              </w:rPr>
            </w:pPr>
            <w:r>
              <w:rPr>
                <w:rFonts w:ascii="Arial" w:cs="Arial" w:eastAsia="Arial" w:hAnsi="Arial"/>
                <w:sz w:val="18"/>
                <w:szCs w:val="18"/>
                <w:color w:val="auto"/>
              </w:rPr>
              <w:t>Moody’s Investors Service, Inc.</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MSHA</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Mine Safety and Health Administration</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MTPSC</w:t>
            </w:r>
          </w:p>
        </w:tc>
        <w:tc>
          <w:tcPr>
            <w:tcW w:w="9200" w:type="dxa"/>
            <w:vAlign w:val="bottom"/>
          </w:tcPr>
          <w:p>
            <w:pPr>
              <w:ind w:left="1160"/>
              <w:spacing w:after="0"/>
              <w:rPr>
                <w:sz w:val="20"/>
                <w:szCs w:val="20"/>
                <w:color w:val="auto"/>
              </w:rPr>
            </w:pPr>
            <w:r>
              <w:rPr>
                <w:rFonts w:ascii="Arial" w:cs="Arial" w:eastAsia="Arial" w:hAnsi="Arial"/>
                <w:sz w:val="18"/>
                <w:szCs w:val="18"/>
                <w:color w:val="auto"/>
              </w:rPr>
              <w:t>Montana Public Service Commission</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MW</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Megawatts</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MWh</w:t>
            </w:r>
          </w:p>
        </w:tc>
        <w:tc>
          <w:tcPr>
            <w:tcW w:w="9200" w:type="dxa"/>
            <w:vAlign w:val="bottom"/>
          </w:tcPr>
          <w:p>
            <w:pPr>
              <w:ind w:left="1160"/>
              <w:spacing w:after="0"/>
              <w:rPr>
                <w:sz w:val="20"/>
                <w:szCs w:val="20"/>
                <w:color w:val="auto"/>
              </w:rPr>
            </w:pPr>
            <w:r>
              <w:rPr>
                <w:rFonts w:ascii="Arial" w:cs="Arial" w:eastAsia="Arial" w:hAnsi="Arial"/>
                <w:sz w:val="18"/>
                <w:szCs w:val="18"/>
                <w:color w:val="auto"/>
              </w:rPr>
              <w:t>Megawatt-hours</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Not Applicable</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NAV</w:t>
            </w:r>
          </w:p>
        </w:tc>
        <w:tc>
          <w:tcPr>
            <w:tcW w:w="9200" w:type="dxa"/>
            <w:vAlign w:val="bottom"/>
          </w:tcPr>
          <w:p>
            <w:pPr>
              <w:ind w:left="1160"/>
              <w:spacing w:after="0"/>
              <w:rPr>
                <w:sz w:val="20"/>
                <w:szCs w:val="20"/>
                <w:color w:val="auto"/>
              </w:rPr>
            </w:pPr>
            <w:r>
              <w:rPr>
                <w:rFonts w:ascii="Arial" w:cs="Arial" w:eastAsia="Arial" w:hAnsi="Arial"/>
                <w:sz w:val="18"/>
                <w:szCs w:val="18"/>
                <w:color w:val="auto"/>
              </w:rPr>
              <w:t>Net Asset Value</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Nebraska Gas</w:t>
            </w:r>
          </w:p>
        </w:tc>
        <w:tc>
          <w:tcPr>
            <w:tcW w:w="9200" w:type="dxa"/>
            <w:vAlign w:val="bottom"/>
            <w:shd w:val="clear" w:color="auto" w:fill="CEFFE7"/>
          </w:tcPr>
          <w:p>
            <w:pPr>
              <w:ind w:left="1160"/>
              <w:spacing w:after="0"/>
              <w:rPr>
                <w:sz w:val="20"/>
                <w:szCs w:val="20"/>
                <w:color w:val="auto"/>
              </w:rPr>
            </w:pPr>
            <w:r>
              <w:rPr>
                <w:rFonts w:ascii="Arial" w:cs="Arial" w:eastAsia="Arial" w:hAnsi="Arial"/>
                <w:sz w:val="18"/>
                <w:szCs w:val="18"/>
                <w:color w:val="auto"/>
                <w:w w:val="99"/>
              </w:rPr>
              <w:t>Black Hills Nebraska Gas Utility Company, LLC, a direct, wholly-owned subsidiary of Black Hills Utility</w:t>
            </w:r>
          </w:p>
        </w:tc>
      </w:tr>
      <w:tr>
        <w:trPr>
          <w:trHeight w:val="230"/>
        </w:trPr>
        <w:tc>
          <w:tcPr>
            <w:tcW w:w="2180" w:type="dxa"/>
            <w:vAlign w:val="bottom"/>
            <w:shd w:val="clear" w:color="auto" w:fill="CEFFE7"/>
          </w:tcPr>
          <w:p>
            <w:pPr>
              <w:spacing w:after="0"/>
              <w:rPr>
                <w:sz w:val="20"/>
                <w:szCs w:val="20"/>
                <w:color w:val="auto"/>
              </w:rPr>
            </w:pPr>
          </w:p>
        </w:tc>
        <w:tc>
          <w:tcPr>
            <w:tcW w:w="9200" w:type="dxa"/>
            <w:vAlign w:val="bottom"/>
            <w:shd w:val="clear" w:color="auto" w:fill="CEFFE7"/>
          </w:tcPr>
          <w:p>
            <w:pPr>
              <w:ind w:left="116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2180" w:type="dxa"/>
            <w:vAlign w:val="bottom"/>
            <w:shd w:val="clear" w:color="auto" w:fill="CEFFE7"/>
          </w:tcPr>
          <w:p>
            <w:pPr>
              <w:spacing w:after="0"/>
              <w:rPr>
                <w:sz w:val="2"/>
                <w:szCs w:val="2"/>
                <w:color w:val="auto"/>
              </w:rPr>
            </w:pPr>
          </w:p>
        </w:tc>
        <w:tc>
          <w:tcPr>
            <w:tcW w:w="9200" w:type="dxa"/>
            <w:vAlign w:val="bottom"/>
            <w:shd w:val="clear" w:color="auto" w:fill="CEFFE7"/>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380"/>
          </w:cols>
          <w:pgMar w:left="260" w:top="746" w:right="259" w:bottom="1070" w:gutter="0" w:footer="0" w:header="0"/>
        </w:sectPr>
      </w:pPr>
    </w:p>
    <w:p>
      <w:pPr>
        <w:ind w:left="20"/>
        <w:spacing w:after="0"/>
        <w:rPr>
          <w:sz w:val="20"/>
          <w:szCs w:val="20"/>
          <w:color w:val="auto"/>
        </w:rPr>
      </w:pPr>
      <w:r>
        <w:rPr>
          <w:rFonts w:ascii="Arial" w:cs="Arial" w:eastAsia="Arial" w:hAnsi="Arial"/>
          <w:sz w:val="18"/>
          <w:szCs w:val="18"/>
          <w:color w:val="auto"/>
        </w:rPr>
        <w:t>NERC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NGL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NOAA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NOAA Climate Normals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North American Electric Reliability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31750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Natural Gas Liquids (1 barrel equals 6 Mcfe)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Oceanic and Atmospheric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31750</wp:posOffset>
            </wp:positionV>
            <wp:extent cx="722947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788670"/>
                    </a:xfrm>
                    <a:prstGeom prst="rect">
                      <a:avLst/>
                    </a:prstGeom>
                    <a:noFill/>
                  </pic:spPr>
                </pic:pic>
              </a:graphicData>
            </a:graphic>
          </wp:anchor>
        </w:drawing>
      </w:r>
    </w:p>
    <w:p>
      <w:pPr>
        <w:spacing w:after="0" w:line="12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This dataset is produced once every 10 years. This dataset contains daily and monthly normals of temperature, precipitation, snowfall, heating and cooling degree days, frost/freeze dates, and growing degree days calculated from observations at approximately 9,800 stations operated by NOAA’s National Weather Service.</w:t>
      </w:r>
    </w:p>
    <w:p>
      <w:pPr>
        <w:spacing w:after="0" w:line="200" w:lineRule="exact"/>
        <w:rPr>
          <w:sz w:val="20"/>
          <w:szCs w:val="20"/>
          <w:color w:val="auto"/>
        </w:rPr>
      </w:pPr>
    </w:p>
    <w:p>
      <w:pPr>
        <w:sectPr>
          <w:pgSz w:w="11900" w:h="16838" w:orient="portrait"/>
          <w:cols w:equalWidth="0" w:num="2">
            <w:col w:w="2620" w:space="720"/>
            <w:col w:w="8040"/>
          </w:cols>
          <w:pgMar w:left="260" w:top="746" w:right="259" w:bottom="107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80" w:type="dxa"/>
            <w:vAlign w:val="bottom"/>
          </w:tcPr>
          <w:p>
            <w:pPr>
              <w:ind w:left="740"/>
              <w:spacing w:after="0"/>
              <w:rPr>
                <w:sz w:val="20"/>
                <w:szCs w:val="20"/>
                <w:color w:val="auto"/>
              </w:rPr>
            </w:pPr>
            <w:r>
              <w:rPr>
                <w:rFonts w:ascii="Arial" w:cs="Arial" w:eastAsia="Arial" w:hAnsi="Arial"/>
                <w:sz w:val="18"/>
                <w:szCs w:val="18"/>
                <w:color w:val="auto"/>
              </w:rPr>
              <w:t>Nitrogen oxide</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NOL</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Net operating loss</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NPSC</w:t>
            </w:r>
          </w:p>
        </w:tc>
        <w:tc>
          <w:tcPr>
            <w:tcW w:w="8780" w:type="dxa"/>
            <w:vAlign w:val="bottom"/>
          </w:tcPr>
          <w:p>
            <w:pPr>
              <w:ind w:left="740"/>
              <w:spacing w:after="0"/>
              <w:rPr>
                <w:sz w:val="20"/>
                <w:szCs w:val="20"/>
                <w:color w:val="auto"/>
              </w:rPr>
            </w:pPr>
            <w:r>
              <w:rPr>
                <w:rFonts w:ascii="Arial" w:cs="Arial" w:eastAsia="Arial" w:hAnsi="Arial"/>
                <w:sz w:val="18"/>
                <w:szCs w:val="18"/>
                <w:color w:val="auto"/>
              </w:rPr>
              <w:t>Nebraska Public Service Commission</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NWPL</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Northwest Interstate Natural Gas Pricing Index</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NYMEX</w:t>
            </w:r>
          </w:p>
        </w:tc>
        <w:tc>
          <w:tcPr>
            <w:tcW w:w="8780" w:type="dxa"/>
            <w:vAlign w:val="bottom"/>
          </w:tcPr>
          <w:p>
            <w:pPr>
              <w:ind w:left="74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NYSE</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New York Stock Exchange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OCI</w:t>
            </w:r>
          </w:p>
        </w:tc>
        <w:tc>
          <w:tcPr>
            <w:tcW w:w="8780" w:type="dxa"/>
            <w:vAlign w:val="bottom"/>
          </w:tcPr>
          <w:p>
            <w:pPr>
              <w:ind w:left="740"/>
              <w:spacing w:after="0"/>
              <w:rPr>
                <w:sz w:val="20"/>
                <w:szCs w:val="20"/>
                <w:color w:val="auto"/>
              </w:rPr>
            </w:pPr>
            <w:r>
              <w:rPr>
                <w:rFonts w:ascii="Arial" w:cs="Arial" w:eastAsia="Arial" w:hAnsi="Arial"/>
                <w:sz w:val="18"/>
                <w:szCs w:val="18"/>
                <w:color w:val="auto"/>
              </w:rPr>
              <w:t>Other Comprehensive Income</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OPEB</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Other Post-Employment Benefits</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OSHA</w:t>
            </w:r>
          </w:p>
        </w:tc>
        <w:tc>
          <w:tcPr>
            <w:tcW w:w="8780" w:type="dxa"/>
            <w:vAlign w:val="bottom"/>
          </w:tcPr>
          <w:p>
            <w:pPr>
              <w:ind w:left="740"/>
              <w:spacing w:after="0"/>
              <w:rPr>
                <w:sz w:val="20"/>
                <w:szCs w:val="20"/>
                <w:color w:val="auto"/>
              </w:rPr>
            </w:pPr>
            <w:r>
              <w:rPr>
                <w:rFonts w:ascii="Arial" w:cs="Arial" w:eastAsia="Arial" w:hAnsi="Arial"/>
                <w:sz w:val="18"/>
                <w:szCs w:val="18"/>
                <w:color w:val="auto"/>
              </w:rPr>
              <w:t>Occupational Safety &amp; Health Administration</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OSM</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U.S. Department of the Interior’s Office of Surface Mining</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PCA</w:t>
            </w:r>
          </w:p>
        </w:tc>
        <w:tc>
          <w:tcPr>
            <w:tcW w:w="8780" w:type="dxa"/>
            <w:vAlign w:val="bottom"/>
          </w:tcPr>
          <w:p>
            <w:pPr>
              <w:ind w:left="740"/>
              <w:spacing w:after="0"/>
              <w:rPr>
                <w:sz w:val="20"/>
                <w:szCs w:val="20"/>
                <w:color w:val="auto"/>
              </w:rPr>
            </w:pPr>
            <w:r>
              <w:rPr>
                <w:rFonts w:ascii="Arial" w:cs="Arial" w:eastAsia="Arial" w:hAnsi="Arial"/>
                <w:sz w:val="18"/>
                <w:szCs w:val="18"/>
                <w:color w:val="auto"/>
              </w:rPr>
              <w:t>Power Cost Adjustment</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PCCA</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Power Capacity Cost Adjustment</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Peak View</w:t>
            </w:r>
          </w:p>
        </w:tc>
        <w:tc>
          <w:tcPr>
            <w:tcW w:w="8780" w:type="dxa"/>
            <w:vAlign w:val="bottom"/>
          </w:tcPr>
          <w:p>
            <w:pPr>
              <w:ind w:left="740"/>
              <w:spacing w:after="0"/>
              <w:rPr>
                <w:sz w:val="20"/>
                <w:szCs w:val="20"/>
                <w:color w:val="auto"/>
              </w:rPr>
            </w:pPr>
            <w:r>
              <w:rPr>
                <w:rFonts w:ascii="Arial" w:cs="Arial" w:eastAsia="Arial" w:hAnsi="Arial"/>
                <w:sz w:val="18"/>
                <w:szCs w:val="18"/>
                <w:color w:val="auto"/>
                <w:w w:val="96"/>
              </w:rPr>
              <w:t>60 MW wind generating project owned by Colorado Electric, placed in service on November 7, 2016 and</w:t>
            </w:r>
          </w:p>
        </w:tc>
      </w:tr>
      <w:tr>
        <w:trPr>
          <w:trHeight w:val="230"/>
        </w:trPr>
        <w:tc>
          <w:tcPr>
            <w:tcW w:w="2600" w:type="dxa"/>
            <w:vAlign w:val="bottom"/>
          </w:tcPr>
          <w:p>
            <w:pPr>
              <w:spacing w:after="0"/>
              <w:rPr>
                <w:sz w:val="20"/>
                <w:szCs w:val="20"/>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rPr>
              <w:t>adjacent to Busch Ranch I Wind Farm</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PPA</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Power Purchase Agreement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PSCo</w:t>
            </w:r>
          </w:p>
        </w:tc>
        <w:tc>
          <w:tcPr>
            <w:tcW w:w="8780" w:type="dxa"/>
            <w:vAlign w:val="bottom"/>
          </w:tcPr>
          <w:p>
            <w:pPr>
              <w:ind w:left="740"/>
              <w:spacing w:after="0"/>
              <w:rPr>
                <w:sz w:val="20"/>
                <w:szCs w:val="20"/>
                <w:color w:val="auto"/>
              </w:rPr>
            </w:pPr>
            <w:r>
              <w:rPr>
                <w:rFonts w:ascii="Arial" w:cs="Arial" w:eastAsia="Arial" w:hAnsi="Arial"/>
                <w:sz w:val="18"/>
                <w:szCs w:val="18"/>
                <w:color w:val="auto"/>
              </w:rPr>
              <w:t>Public Service Company of Colorado</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PUHCA 2005</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Public Utility Holding Company Act of 2005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REPA</w:t>
            </w:r>
          </w:p>
        </w:tc>
        <w:tc>
          <w:tcPr>
            <w:tcW w:w="8780" w:type="dxa"/>
            <w:vAlign w:val="bottom"/>
          </w:tcPr>
          <w:p>
            <w:pPr>
              <w:ind w:left="740"/>
              <w:spacing w:after="0"/>
              <w:rPr>
                <w:sz w:val="20"/>
                <w:szCs w:val="20"/>
                <w:color w:val="auto"/>
              </w:rPr>
            </w:pPr>
            <w:r>
              <w:rPr>
                <w:rFonts w:ascii="Arial" w:cs="Arial" w:eastAsia="Arial" w:hAnsi="Arial"/>
                <w:sz w:val="18"/>
                <w:szCs w:val="18"/>
                <w:color w:val="auto"/>
              </w:rPr>
              <w:t>Renewable Energy Purchase Agreement</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w w:val="99"/>
              </w:rPr>
              <w:t>Our $750 million credit facility used to fund working capital needs, letters of credit and other corporate</w:t>
            </w:r>
          </w:p>
        </w:tc>
      </w:tr>
      <w:tr>
        <w:trPr>
          <w:trHeight w:val="237"/>
        </w:trPr>
        <w:tc>
          <w:tcPr>
            <w:tcW w:w="260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purposes, which matures in 2023</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RMNG</w:t>
            </w:r>
          </w:p>
        </w:tc>
        <w:tc>
          <w:tcPr>
            <w:tcW w:w="8780" w:type="dxa"/>
            <w:vAlign w:val="bottom"/>
          </w:tcPr>
          <w:p>
            <w:pPr>
              <w:ind w:left="740"/>
              <w:spacing w:after="0"/>
              <w:rPr>
                <w:sz w:val="20"/>
                <w:szCs w:val="20"/>
                <w:color w:val="auto"/>
              </w:rPr>
            </w:pPr>
            <w:r>
              <w:rPr>
                <w:rFonts w:ascii="Arial" w:cs="Arial" w:eastAsia="Arial" w:hAnsi="Arial"/>
                <w:sz w:val="18"/>
                <w:szCs w:val="18"/>
                <w:color w:val="auto"/>
                <w:w w:val="96"/>
              </w:rPr>
              <w:t>Rocky Mountain Natural Gas, a regulated gas utility acquired in the SourceGas Acquisition that provides</w:t>
            </w:r>
          </w:p>
        </w:tc>
      </w:tr>
      <w:tr>
        <w:trPr>
          <w:trHeight w:val="216"/>
        </w:trPr>
        <w:tc>
          <w:tcPr>
            <w:tcW w:w="2600" w:type="dxa"/>
            <w:vAlign w:val="bottom"/>
          </w:tcPr>
          <w:p>
            <w:pPr>
              <w:spacing w:after="0"/>
              <w:rPr>
                <w:sz w:val="18"/>
                <w:szCs w:val="18"/>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w w:val="92"/>
              </w:rPr>
              <w:t>regulated transmission and wholesale natural gas service to Black Hills Gas Distribution in western Colorado</w:t>
            </w:r>
          </w:p>
        </w:tc>
      </w:tr>
      <w:tr>
        <w:trPr>
          <w:trHeight w:val="230"/>
        </w:trPr>
        <w:tc>
          <w:tcPr>
            <w:tcW w:w="2600" w:type="dxa"/>
            <w:vAlign w:val="bottom"/>
          </w:tcPr>
          <w:p>
            <w:pPr>
              <w:spacing w:after="0"/>
              <w:rPr>
                <w:sz w:val="20"/>
                <w:szCs w:val="20"/>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rPr>
              <w:t>(doing business as Black Hills Energy)</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RSNs</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Remarketable junior subordinated notes, issued on November 23, 2015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SAIDI</w:t>
            </w:r>
          </w:p>
        </w:tc>
        <w:tc>
          <w:tcPr>
            <w:tcW w:w="8780" w:type="dxa"/>
            <w:vAlign w:val="bottom"/>
          </w:tcPr>
          <w:p>
            <w:pPr>
              <w:ind w:left="740"/>
              <w:spacing w:after="0"/>
              <w:rPr>
                <w:sz w:val="20"/>
                <w:szCs w:val="20"/>
                <w:color w:val="auto"/>
              </w:rPr>
            </w:pPr>
            <w:r>
              <w:rPr>
                <w:rFonts w:ascii="Arial" w:cs="Arial" w:eastAsia="Arial" w:hAnsi="Arial"/>
                <w:sz w:val="18"/>
                <w:szCs w:val="18"/>
                <w:color w:val="auto"/>
              </w:rPr>
              <w:t>System Average Interruption Duration Index</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SDPUC</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South Dakota Public Utilities Commission</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SEC</w:t>
            </w:r>
          </w:p>
        </w:tc>
        <w:tc>
          <w:tcPr>
            <w:tcW w:w="8780" w:type="dxa"/>
            <w:vAlign w:val="bottom"/>
          </w:tcPr>
          <w:p>
            <w:pPr>
              <w:ind w:left="740"/>
              <w:spacing w:after="0"/>
              <w:rPr>
                <w:sz w:val="20"/>
                <w:szCs w:val="20"/>
                <w:color w:val="auto"/>
              </w:rPr>
            </w:pPr>
            <w:r>
              <w:rPr>
                <w:rFonts w:ascii="Arial" w:cs="Arial" w:eastAsia="Arial" w:hAnsi="Arial"/>
                <w:sz w:val="18"/>
                <w:szCs w:val="18"/>
                <w:color w:val="auto"/>
              </w:rPr>
              <w:t>U. S. Securities and Exchange Commission</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Service Guard</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Home appliance repair product offering for both natural gas and electric</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Silver Sage</w:t>
            </w:r>
          </w:p>
        </w:tc>
        <w:tc>
          <w:tcPr>
            <w:tcW w:w="8780" w:type="dxa"/>
            <w:vAlign w:val="bottom"/>
          </w:tcPr>
          <w:p>
            <w:pPr>
              <w:ind w:left="740"/>
              <w:spacing w:after="0"/>
              <w:rPr>
                <w:sz w:val="20"/>
                <w:szCs w:val="20"/>
                <w:color w:val="auto"/>
              </w:rPr>
            </w:pPr>
            <w:r>
              <w:rPr>
                <w:rFonts w:ascii="Arial" w:cs="Arial" w:eastAsia="Arial" w:hAnsi="Arial"/>
                <w:sz w:val="18"/>
                <w:szCs w:val="18"/>
                <w:color w:val="auto"/>
              </w:rPr>
              <w:t>Silver Sage Windpower, LLC, owned by Duke Energy Generation Services</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w:t>
            </w:r>
            <w:r>
              <w:rPr>
                <w:rFonts w:ascii="Arial" w:cs="Arial" w:eastAsia="Arial" w:hAnsi="Arial"/>
                <w:sz w:val="18"/>
                <w:szCs w:val="18"/>
                <w:color w:val="auto"/>
                <w:vertAlign w:val="subscript"/>
              </w:rPr>
              <w:t>2</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Sulfur dioxide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S&amp;P</w:t>
            </w:r>
          </w:p>
        </w:tc>
        <w:tc>
          <w:tcPr>
            <w:tcW w:w="8780" w:type="dxa"/>
            <w:vAlign w:val="bottom"/>
          </w:tcPr>
          <w:p>
            <w:pPr>
              <w:ind w:left="740"/>
              <w:spacing w:after="0"/>
              <w:rPr>
                <w:sz w:val="20"/>
                <w:szCs w:val="20"/>
                <w:color w:val="auto"/>
              </w:rPr>
            </w:pPr>
            <w:r>
              <w:rPr>
                <w:rFonts w:ascii="Arial" w:cs="Arial" w:eastAsia="Arial" w:hAnsi="Arial"/>
                <w:sz w:val="18"/>
                <w:szCs w:val="18"/>
                <w:color w:val="auto"/>
              </w:rPr>
              <w:t>Standard &amp; Poor’s, a division of The McGraw-Hill Companies, Inc.</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SPP</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w w:val="93"/>
              </w:rPr>
              <w:t>Southwest Power Pool, Inc. which oversees the bulk electric grid and wholesale power market in the central</w:t>
            </w:r>
          </w:p>
        </w:tc>
      </w:tr>
      <w:tr>
        <w:trPr>
          <w:trHeight w:val="237"/>
        </w:trPr>
        <w:tc>
          <w:tcPr>
            <w:tcW w:w="260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United States</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SourceGas</w:t>
            </w:r>
          </w:p>
        </w:tc>
        <w:tc>
          <w:tcPr>
            <w:tcW w:w="8780" w:type="dxa"/>
            <w:vAlign w:val="bottom"/>
          </w:tcPr>
          <w:p>
            <w:pPr>
              <w:ind w:left="740"/>
              <w:spacing w:after="0"/>
              <w:rPr>
                <w:sz w:val="20"/>
                <w:szCs w:val="20"/>
                <w:color w:val="auto"/>
              </w:rPr>
            </w:pPr>
            <w:r>
              <w:rPr>
                <w:rFonts w:ascii="Arial" w:cs="Arial" w:eastAsia="Arial" w:hAnsi="Arial"/>
                <w:sz w:val="18"/>
                <w:szCs w:val="18"/>
                <w:color w:val="auto"/>
                <w:w w:val="98"/>
              </w:rPr>
              <w:t>SourceGas Holdings, LLC and its subsidiaries, a gas utility owned by funds managed by Alinda Capital</w:t>
            </w:r>
          </w:p>
        </w:tc>
      </w:tr>
      <w:tr>
        <w:trPr>
          <w:trHeight w:val="216"/>
        </w:trPr>
        <w:tc>
          <w:tcPr>
            <w:tcW w:w="2600" w:type="dxa"/>
            <w:vAlign w:val="bottom"/>
          </w:tcPr>
          <w:p>
            <w:pPr>
              <w:spacing w:after="0"/>
              <w:rPr>
                <w:sz w:val="18"/>
                <w:szCs w:val="18"/>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w w:val="93"/>
              </w:rPr>
              <w:t>Partners and GE Energy Financial Services, a unit of General Electric Co. (NYSE:GE) that was acquired on</w:t>
            </w:r>
          </w:p>
        </w:tc>
      </w:tr>
      <w:tr>
        <w:trPr>
          <w:trHeight w:val="230"/>
        </w:trPr>
        <w:tc>
          <w:tcPr>
            <w:tcW w:w="2600" w:type="dxa"/>
            <w:vAlign w:val="bottom"/>
          </w:tcPr>
          <w:p>
            <w:pPr>
              <w:spacing w:after="0"/>
              <w:rPr>
                <w:sz w:val="20"/>
                <w:szCs w:val="20"/>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w w:val="93"/>
              </w:rPr>
              <w:t>February 12, 2016, and is now named Black Hills Gas Holdings, LLC (doing business as Black Hills Energy)</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43"/>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SourceGas Acquisition</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rPr>
              <w:t>The acquisition of SourceGas Holdings LLC by Black Hills Utility Holdings</w:t>
            </w:r>
          </w:p>
        </w:tc>
      </w:tr>
      <w:tr>
        <w:trPr>
          <w:trHeight w:val="27"/>
        </w:trPr>
        <w:tc>
          <w:tcPr>
            <w:tcW w:w="2600" w:type="dxa"/>
            <w:vAlign w:val="bottom"/>
            <w:shd w:val="clear" w:color="auto" w:fill="CEFFE7"/>
          </w:tcPr>
          <w:p>
            <w:pPr>
              <w:spacing w:after="0"/>
              <w:rPr>
                <w:sz w:val="2"/>
                <w:szCs w:val="2"/>
                <w:color w:val="auto"/>
              </w:rPr>
            </w:pPr>
          </w:p>
        </w:tc>
        <w:tc>
          <w:tcPr>
            <w:tcW w:w="87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60" w:top="746" w:right="259" w:bottom="107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746" w:right="259" w:bottom="107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520" w:type="dxa"/>
            <w:vAlign w:val="bottom"/>
          </w:tcPr>
          <w:p>
            <w:pPr>
              <w:ind w:left="20"/>
              <w:spacing w:after="0"/>
              <w:rPr>
                <w:sz w:val="20"/>
                <w:szCs w:val="20"/>
                <w:color w:val="auto"/>
              </w:rPr>
            </w:pPr>
            <w:r>
              <w:rPr>
                <w:rFonts w:ascii="Arial" w:cs="Arial" w:eastAsia="Arial" w:hAnsi="Arial"/>
                <w:sz w:val="18"/>
                <w:szCs w:val="18"/>
                <w:color w:val="auto"/>
              </w:rPr>
              <w:t>SourceGas Transaction</w:t>
            </w:r>
          </w:p>
        </w:tc>
        <w:tc>
          <w:tcPr>
            <w:tcW w:w="8860" w:type="dxa"/>
            <w:vAlign w:val="bottom"/>
          </w:tcPr>
          <w:p>
            <w:pPr>
              <w:ind w:left="820"/>
              <w:spacing w:after="0"/>
              <w:rPr>
                <w:sz w:val="20"/>
                <w:szCs w:val="20"/>
                <w:color w:val="auto"/>
              </w:rPr>
            </w:pPr>
            <w:r>
              <w:rPr>
                <w:rFonts w:ascii="Arial" w:cs="Arial" w:eastAsia="Arial" w:hAnsi="Arial"/>
                <w:sz w:val="18"/>
                <w:szCs w:val="18"/>
                <w:color w:val="auto"/>
                <w:w w:val="97"/>
              </w:rPr>
              <w:t>On February 12, 2016, Black Hills Utility Holdings acquired SourceGas pursuant to a purchase and sale</w:t>
            </w:r>
          </w:p>
        </w:tc>
      </w:tr>
      <w:tr>
        <w:trPr>
          <w:trHeight w:val="216"/>
        </w:trPr>
        <w:tc>
          <w:tcPr>
            <w:tcW w:w="2520" w:type="dxa"/>
            <w:vAlign w:val="bottom"/>
          </w:tcPr>
          <w:p>
            <w:pPr>
              <w:spacing w:after="0"/>
              <w:rPr>
                <w:sz w:val="18"/>
                <w:szCs w:val="18"/>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w w:val="92"/>
              </w:rPr>
              <w:t>agreement executed on July 12, 2015 for approximately $1.89 billion, which included the assumption of $760</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million in debt at closing.</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South Dakota Electric</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Includes Black Hills Power operations in South Dakota, Wyoming and Montana</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SSIR</w:t>
            </w:r>
          </w:p>
        </w:tc>
        <w:tc>
          <w:tcPr>
            <w:tcW w:w="8860" w:type="dxa"/>
            <w:vAlign w:val="bottom"/>
          </w:tcPr>
          <w:p>
            <w:pPr>
              <w:ind w:left="820"/>
              <w:spacing w:after="0"/>
              <w:rPr>
                <w:sz w:val="20"/>
                <w:szCs w:val="20"/>
                <w:color w:val="auto"/>
              </w:rPr>
            </w:pPr>
            <w:r>
              <w:rPr>
                <w:rFonts w:ascii="Arial" w:cs="Arial" w:eastAsia="Arial" w:hAnsi="Arial"/>
                <w:sz w:val="18"/>
                <w:szCs w:val="18"/>
                <w:color w:val="auto"/>
              </w:rPr>
              <w:t>System Safety and Integrity Rider</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System Peak Demand</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4"/>
              </w:rPr>
              <w:t>Represents the highest point of customer usage for a single hour for the system in total. Our system peaks</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include demand loads for 100% of plants regardless of joint ownership.</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TCA</w:t>
            </w:r>
          </w:p>
        </w:tc>
        <w:tc>
          <w:tcPr>
            <w:tcW w:w="8860" w:type="dxa"/>
            <w:vAlign w:val="bottom"/>
          </w:tcPr>
          <w:p>
            <w:pPr>
              <w:ind w:left="820"/>
              <w:spacing w:after="0"/>
              <w:rPr>
                <w:sz w:val="20"/>
                <w:szCs w:val="20"/>
                <w:color w:val="auto"/>
              </w:rPr>
            </w:pPr>
            <w:r>
              <w:rPr>
                <w:rFonts w:ascii="Arial" w:cs="Arial" w:eastAsia="Arial" w:hAnsi="Arial"/>
                <w:sz w:val="18"/>
                <w:szCs w:val="18"/>
                <w:color w:val="auto"/>
                <w:w w:val="90"/>
              </w:rPr>
              <w:t>Transmission Cost Adjustment -- adjustments passed through to the customer based on transmission costs that</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are higher or lower than the costs approved in the rate case.</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TCJA</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Tax Cuts and Jobs Act enacted on December 22, 2017</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TCIR</w:t>
            </w:r>
          </w:p>
        </w:tc>
        <w:tc>
          <w:tcPr>
            <w:tcW w:w="8860" w:type="dxa"/>
            <w:vAlign w:val="bottom"/>
          </w:tcPr>
          <w:p>
            <w:pPr>
              <w:ind w:left="820"/>
              <w:spacing w:after="0"/>
              <w:rPr>
                <w:sz w:val="20"/>
                <w:szCs w:val="20"/>
                <w:color w:val="auto"/>
              </w:rPr>
            </w:pPr>
            <w:r>
              <w:rPr>
                <w:rFonts w:ascii="Arial" w:cs="Arial" w:eastAsia="Arial" w:hAnsi="Arial"/>
                <w:sz w:val="18"/>
                <w:szCs w:val="18"/>
                <w:color w:val="auto"/>
                <w:w w:val="92"/>
              </w:rPr>
              <w:t>Total Case Incident Rate (average number of work-related injuries incurred by 100 workers during a one-year</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period)</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Tech Services</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7"/>
              </w:rPr>
              <w:t>Non-regulated product lines within Black Hills Corporation that 1) provide electrical system construction</w:t>
            </w:r>
          </w:p>
        </w:tc>
      </w:tr>
      <w:tr>
        <w:trPr>
          <w:trHeight w:val="216"/>
        </w:trPr>
        <w:tc>
          <w:tcPr>
            <w:tcW w:w="2520" w:type="dxa"/>
            <w:vAlign w:val="bottom"/>
            <w:shd w:val="clear" w:color="auto" w:fill="CEFFE7"/>
          </w:tcPr>
          <w:p>
            <w:pPr>
              <w:spacing w:after="0"/>
              <w:rPr>
                <w:sz w:val="18"/>
                <w:szCs w:val="18"/>
                <w:color w:val="auto"/>
              </w:rPr>
            </w:pP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8"/>
              </w:rPr>
              <w:t>services to large industrial customers of our electric utilities, and 2) serve gas transportation customers</w:t>
            </w:r>
          </w:p>
        </w:tc>
      </w:tr>
      <w:tr>
        <w:trPr>
          <w:trHeight w:val="216"/>
        </w:trPr>
        <w:tc>
          <w:tcPr>
            <w:tcW w:w="2520" w:type="dxa"/>
            <w:vAlign w:val="bottom"/>
            <w:shd w:val="clear" w:color="auto" w:fill="CEFFE7"/>
          </w:tcPr>
          <w:p>
            <w:pPr>
              <w:spacing w:after="0"/>
              <w:rPr>
                <w:sz w:val="18"/>
                <w:szCs w:val="18"/>
                <w:color w:val="auto"/>
              </w:rPr>
            </w:pP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4"/>
              </w:rPr>
              <w:t>throughout its service territory by constructing and maintaining customer-owner gas infrastructure facilities,</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typically through one-time contracts.</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TFA</w:t>
            </w:r>
          </w:p>
        </w:tc>
        <w:tc>
          <w:tcPr>
            <w:tcW w:w="8860" w:type="dxa"/>
            <w:vAlign w:val="bottom"/>
          </w:tcPr>
          <w:p>
            <w:pPr>
              <w:ind w:left="820"/>
              <w:spacing w:after="0"/>
              <w:rPr>
                <w:sz w:val="20"/>
                <w:szCs w:val="20"/>
                <w:color w:val="auto"/>
              </w:rPr>
            </w:pPr>
            <w:r>
              <w:rPr>
                <w:rFonts w:ascii="Arial" w:cs="Arial" w:eastAsia="Arial" w:hAnsi="Arial"/>
                <w:sz w:val="18"/>
                <w:szCs w:val="18"/>
                <w:color w:val="auto"/>
              </w:rPr>
              <w:t>Transmission Facility Adjustment</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VEBA</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Voluntary Employee Benefit Association</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VIE</w:t>
            </w:r>
          </w:p>
        </w:tc>
        <w:tc>
          <w:tcPr>
            <w:tcW w:w="8860" w:type="dxa"/>
            <w:vAlign w:val="bottom"/>
          </w:tcPr>
          <w:p>
            <w:pPr>
              <w:ind w:left="820"/>
              <w:spacing w:after="0"/>
              <w:rPr>
                <w:sz w:val="20"/>
                <w:szCs w:val="20"/>
                <w:color w:val="auto"/>
              </w:rPr>
            </w:pPr>
            <w:r>
              <w:rPr>
                <w:rFonts w:ascii="Arial" w:cs="Arial" w:eastAsia="Arial" w:hAnsi="Arial"/>
                <w:sz w:val="18"/>
                <w:szCs w:val="18"/>
                <w:color w:val="auto"/>
              </w:rPr>
              <w:t>Variable Interest Entity</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WDEQ</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Wyoming Department of Environmental Quality</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WECC</w:t>
            </w:r>
          </w:p>
        </w:tc>
        <w:tc>
          <w:tcPr>
            <w:tcW w:w="8860" w:type="dxa"/>
            <w:vAlign w:val="bottom"/>
          </w:tcPr>
          <w:p>
            <w:pPr>
              <w:ind w:left="820"/>
              <w:spacing w:after="0"/>
              <w:rPr>
                <w:sz w:val="20"/>
                <w:szCs w:val="20"/>
                <w:color w:val="auto"/>
              </w:rPr>
            </w:pPr>
            <w:r>
              <w:rPr>
                <w:rFonts w:ascii="Arial" w:cs="Arial" w:eastAsia="Arial" w:hAnsi="Arial"/>
                <w:sz w:val="18"/>
                <w:szCs w:val="18"/>
                <w:color w:val="auto"/>
              </w:rPr>
              <w:t>Western Electricity Coordinating Council</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Winter Storm Atlas</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6"/>
              </w:rPr>
              <w:t>An October 2013 blizzard that impacted South Dakota Electric. It was the second most severe blizzard in</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Rapid City’s history.</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WPSC</w:t>
            </w:r>
          </w:p>
        </w:tc>
        <w:tc>
          <w:tcPr>
            <w:tcW w:w="8860" w:type="dxa"/>
            <w:vAlign w:val="bottom"/>
          </w:tcPr>
          <w:p>
            <w:pPr>
              <w:ind w:left="820"/>
              <w:spacing w:after="0"/>
              <w:rPr>
                <w:sz w:val="20"/>
                <w:szCs w:val="20"/>
                <w:color w:val="auto"/>
              </w:rPr>
            </w:pPr>
            <w:r>
              <w:rPr>
                <w:rFonts w:ascii="Arial" w:cs="Arial" w:eastAsia="Arial" w:hAnsi="Arial"/>
                <w:sz w:val="18"/>
                <w:szCs w:val="18"/>
                <w:color w:val="auto"/>
              </w:rPr>
              <w:t>Wyoming Public Service Commission</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WRDC</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8"/>
              </w:rPr>
              <w:t>Wyodak Resources Development Corp., a direct, wholly-owned subsidiary of Black Hills Non-regulated</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Holdings</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Wyodak Plant</w:t>
            </w:r>
          </w:p>
        </w:tc>
        <w:tc>
          <w:tcPr>
            <w:tcW w:w="8860" w:type="dxa"/>
            <w:vAlign w:val="bottom"/>
          </w:tcPr>
          <w:p>
            <w:pPr>
              <w:ind w:left="820"/>
              <w:spacing w:after="0"/>
              <w:rPr>
                <w:sz w:val="20"/>
                <w:szCs w:val="20"/>
                <w:color w:val="auto"/>
              </w:rPr>
            </w:pPr>
            <w:r>
              <w:rPr>
                <w:rFonts w:ascii="Arial" w:cs="Arial" w:eastAsia="Arial" w:hAnsi="Arial"/>
                <w:sz w:val="18"/>
                <w:szCs w:val="18"/>
                <w:color w:val="auto"/>
                <w:w w:val="93"/>
              </w:rPr>
              <w:t>Wyodak, a 362 MW mine-mouth coal-fired plant in Gillette, Wyoming, owned 80% by PacifiCorp and 20% by</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Black Hills Energy South Dakota. Our WRDC mine supplies all of the fuel for the plant.</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Wyoming Electric</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Includes Cheyenne Light’s electric utility operations</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Wyoming Gas</w:t>
            </w:r>
          </w:p>
        </w:tc>
        <w:tc>
          <w:tcPr>
            <w:tcW w:w="8860" w:type="dxa"/>
            <w:vAlign w:val="bottom"/>
          </w:tcPr>
          <w:p>
            <w:pPr>
              <w:ind w:left="820"/>
              <w:spacing w:after="0"/>
              <w:rPr>
                <w:sz w:val="20"/>
                <w:szCs w:val="20"/>
                <w:color w:val="auto"/>
              </w:rPr>
            </w:pPr>
            <w:r>
              <w:rPr>
                <w:rFonts w:ascii="Arial" w:cs="Arial" w:eastAsia="Arial" w:hAnsi="Arial"/>
                <w:sz w:val="18"/>
                <w:szCs w:val="18"/>
                <w:color w:val="auto"/>
                <w:w w:val="92"/>
              </w:rPr>
              <w:t>Includes Cheyenne Light’s natural gas utility operations, as well as the acquired SourceGas utility Black Hills</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Gas Distribution’s Wyoming gas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4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Website Access to Reports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7 - Management’s Discussion &amp; Analysis of Financial Condition and Results of Operations.</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Form 10-K, including statements contained within Item 1A - Risk Factors.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History and Organization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Black Hills Corporation, a South Dakota corporation (together with its subsidiaries, referred to herein as the “Company,” “we,” “us” or “our”), is a customer-focused, growth-oriented utility company headquartered in Rapid City, South Dakota. Our predecessor company, Black Hills Power and Light Company, was incorporated and began providing electric utility service in 1941. It was formed through the purchase and combination of several existing electric utilities and related assets, some of which had served customers in the Black Hills region since 1883. In 1956, with the purchase of the Wyodak coal mine, we began producing and selling energy through non-regulated businesses.</w:t>
      </w:r>
    </w:p>
    <w:p>
      <w:pPr>
        <w:spacing w:after="0" w:line="188"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operate our business in the United States, reporting our operating results through our regulated Electric Utilities, regulated Gas Utilities, Power Generation and Mining segments. Certain unallocated corporate expenses that support our operating segments are presented as Corporate and Other.</w:t>
      </w:r>
    </w:p>
    <w:p>
      <w:pPr>
        <w:spacing w:after="0" w:line="12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Our Electric Utilities segment generates, transmits and distributes electricity to approximately 212,000 electric customers in Colorado, Montana, South Dakota and Wyoming. Our Electric Utilities own 939 MW of generation and 8,858 miles of electric transmission and distribution lines.</w:t>
      </w:r>
    </w:p>
    <w:p>
      <w:pPr>
        <w:spacing w:after="0" w:line="14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Gas Utilities segment serves approximately 1,054,000 natural gas utility customers in Arkansas, Colorado, Iowa, Kansas, Nebraska, and Wyoming. Our Gas Utilities own and operate approximately 4,700 miles of intrastate gas transmission pipelines and 41,158 miles of gas distribution mains and service lines, seven natural gas storage sites, over 45,000 horsepower of compression and nearly 600 miles of gathering lines.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Power Generation segment produces electric power from its wind, natural gas and coal generating plants and sells the electric capacity and energy primarily to our utilities under long-term contracts. Our Mining segment produces coal at our mine near Gillette, Wyoming, and sells the coal primarily under long-term contracts to mine-mouth electric generation facilities owned by our Electric Utilities and Power Generation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 Utilities Segment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conduct electric utility operations through our South Dakota, Wyoming and Colorado subsidiaries. Our Electric Utilities generate, transmit and distribute electricity to approximately 212,000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 We also provide non-regulated services through our Tech Services product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Capacity and Demand. </w:t>
      </w:r>
      <w:r>
        <w:rPr>
          <w:rFonts w:ascii="Arial" w:cs="Arial" w:eastAsia="Arial" w:hAnsi="Arial"/>
          <w:sz w:val="18"/>
          <w:szCs w:val="18"/>
          <w:color w:val="auto"/>
        </w:rPr>
        <w:t>System peak demands for the Electric Utilities for each of the last three years are listed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w w:val="97"/>
              </w:rPr>
              <w:t>System Peak Demand (in MW)</w:t>
            </w: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jc w:val="right"/>
              <w:ind w:right="870"/>
              <w:spacing w:after="0"/>
              <w:rPr>
                <w:sz w:val="20"/>
                <w:szCs w:val="20"/>
                <w:color w:val="auto"/>
              </w:rPr>
            </w:pPr>
            <w:r>
              <w:rPr>
                <w:rFonts w:ascii="Arial" w:cs="Arial" w:eastAsia="Arial" w:hAnsi="Arial"/>
                <w:sz w:val="18"/>
                <w:szCs w:val="18"/>
                <w:color w:val="auto"/>
                <w:w w:val="99"/>
              </w:rPr>
              <w:t>2017</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4"/>
              </w:rPr>
              <w:t>Summer</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2"/>
              </w:rPr>
              <w:t>Winter</w:t>
            </w:r>
          </w:p>
        </w:tc>
        <w:tc>
          <w:tcPr>
            <w:tcW w:w="920" w:type="dxa"/>
            <w:vAlign w:val="bottom"/>
          </w:tcPr>
          <w:p>
            <w:pPr>
              <w:ind w:left="280"/>
              <w:spacing w:after="0"/>
              <w:rPr>
                <w:sz w:val="20"/>
                <w:szCs w:val="20"/>
                <w:color w:val="auto"/>
              </w:rPr>
            </w:pPr>
            <w:r>
              <w:rPr>
                <w:rFonts w:ascii="Arial" w:cs="Arial" w:eastAsia="Arial" w:hAnsi="Arial"/>
                <w:sz w:val="18"/>
                <w:szCs w:val="18"/>
                <w:color w:val="auto"/>
                <w:w w:val="91"/>
              </w:rPr>
              <w:t>Summer</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6"/>
              </w:rPr>
              <w:t>Winter</w:t>
            </w:r>
          </w:p>
        </w:tc>
        <w:tc>
          <w:tcPr>
            <w:tcW w:w="960" w:type="dxa"/>
            <w:vAlign w:val="bottom"/>
          </w:tcPr>
          <w:p>
            <w:pPr>
              <w:ind w:left="260"/>
              <w:spacing w:after="0"/>
              <w:rPr>
                <w:sz w:val="20"/>
                <w:szCs w:val="20"/>
                <w:color w:val="auto"/>
              </w:rPr>
            </w:pPr>
            <w:r>
              <w:rPr>
                <w:rFonts w:ascii="Arial" w:cs="Arial" w:eastAsia="Arial" w:hAnsi="Arial"/>
                <w:sz w:val="18"/>
                <w:szCs w:val="18"/>
                <w:color w:val="auto"/>
                <w:w w:val="99"/>
              </w:rPr>
              <w:t>Summer</w:t>
            </w: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96"/>
              </w:rPr>
              <w:t>Winter</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w:t>
            </w:r>
          </w:p>
        </w:tc>
        <w:tc>
          <w:tcPr>
            <w:tcW w:w="92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437</w:t>
            </w:r>
          </w:p>
        </w:tc>
        <w:tc>
          <w:tcPr>
            <w:tcW w:w="138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379</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93"/>
              </w:rPr>
              <w:t>447</w:t>
            </w:r>
          </w:p>
        </w:tc>
        <w:tc>
          <w:tcPr>
            <w:tcW w:w="138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402</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center"/>
              <w:ind w:left="70"/>
              <w:spacing w:after="0"/>
              <w:rPr>
                <w:sz w:val="20"/>
                <w:szCs w:val="20"/>
                <w:color w:val="auto"/>
              </w:rPr>
            </w:pPr>
            <w:r>
              <w:rPr>
                <w:rFonts w:ascii="Arial" w:cs="Arial" w:eastAsia="Arial" w:hAnsi="Arial"/>
                <w:sz w:val="18"/>
                <w:szCs w:val="18"/>
                <w:color w:val="auto"/>
                <w:w w:val="93"/>
              </w:rPr>
              <w:t>438</w:t>
            </w:r>
          </w:p>
        </w:tc>
        <w:tc>
          <w:tcPr>
            <w:tcW w:w="152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86"/>
              </w:rPr>
              <w:t>389</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86"/>
              </w:rPr>
              <w:t>254</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3"/>
              </w:rPr>
              <w:t>238</w:t>
            </w:r>
          </w:p>
        </w:tc>
        <w:tc>
          <w:tcPr>
            <w:tcW w:w="220" w:type="dxa"/>
            <w:vAlign w:val="bottom"/>
          </w:tcPr>
          <w:p>
            <w:pPr>
              <w:spacing w:after="0"/>
              <w:rPr>
                <w:sz w:val="23"/>
                <w:szCs w:val="23"/>
                <w:color w:val="auto"/>
              </w:rPr>
            </w:pP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3"/>
              </w:rPr>
              <w:t>249</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3"/>
              </w:rPr>
              <w:t>230</w:t>
            </w:r>
          </w:p>
        </w:tc>
        <w:tc>
          <w:tcPr>
            <w:tcW w:w="220" w:type="dxa"/>
            <w:vAlign w:val="bottom"/>
          </w:tcPr>
          <w:p>
            <w:pPr>
              <w:spacing w:after="0"/>
              <w:rPr>
                <w:sz w:val="23"/>
                <w:szCs w:val="23"/>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236</w:t>
            </w: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86"/>
              </w:rPr>
              <w:t>230</w:t>
            </w:r>
          </w:p>
        </w:tc>
        <w:tc>
          <w:tcPr>
            <w:tcW w:w="0" w:type="dxa"/>
            <w:vAlign w:val="bottom"/>
          </w:tcPr>
          <w:p>
            <w:pPr>
              <w:spacing w:after="0"/>
              <w:rPr>
                <w:sz w:val="1"/>
                <w:szCs w:val="1"/>
                <w:color w:val="auto"/>
              </w:rPr>
            </w:pPr>
          </w:p>
        </w:tc>
      </w:tr>
      <w:tr>
        <w:trPr>
          <w:trHeight w:val="270"/>
        </w:trPr>
        <w:tc>
          <w:tcPr>
            <w:tcW w:w="39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92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413</w:t>
            </w:r>
          </w:p>
        </w:tc>
        <w:tc>
          <w:tcPr>
            <w:tcW w:w="138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313</w:t>
            </w:r>
          </w:p>
        </w:tc>
        <w:tc>
          <w:tcPr>
            <w:tcW w:w="220" w:type="dxa"/>
            <w:vAlign w:val="bottom"/>
            <w:shd w:val="clear" w:color="auto" w:fill="CEFFE7"/>
          </w:tcPr>
          <w:p>
            <w:pPr>
              <w:spacing w:after="0"/>
              <w:rPr>
                <w:sz w:val="23"/>
                <w:szCs w:val="23"/>
                <w:color w:val="auto"/>
              </w:rPr>
            </w:pPr>
          </w:p>
        </w:tc>
        <w:tc>
          <w:tcPr>
            <w:tcW w:w="920" w:type="dxa"/>
            <w:vAlign w:val="bottom"/>
            <w:tcBorders>
              <w:bottom w:val="single" w:sz="8" w:color="auto"/>
            </w:tcBorders>
            <w:shd w:val="clear" w:color="auto" w:fill="CEFFE7"/>
          </w:tcPr>
          <w:p>
            <w:pPr>
              <w:jc w:val="center"/>
              <w:ind w:left="150"/>
              <w:spacing w:after="0"/>
              <w:rPr>
                <w:sz w:val="20"/>
                <w:szCs w:val="20"/>
                <w:color w:val="auto"/>
              </w:rPr>
            </w:pPr>
            <w:r>
              <w:rPr>
                <w:rFonts w:ascii="Arial" w:cs="Arial" w:eastAsia="Arial" w:hAnsi="Arial"/>
                <w:sz w:val="18"/>
                <w:szCs w:val="18"/>
                <w:color w:val="auto"/>
                <w:w w:val="93"/>
              </w:rPr>
              <w:t>398</w:t>
            </w:r>
          </w:p>
        </w:tc>
        <w:tc>
          <w:tcPr>
            <w:tcW w:w="138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299</w:t>
            </w:r>
          </w:p>
        </w:tc>
        <w:tc>
          <w:tcPr>
            <w:tcW w:w="220" w:type="dxa"/>
            <w:vAlign w:val="bottom"/>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center"/>
              <w:ind w:left="70"/>
              <w:spacing w:after="0"/>
              <w:rPr>
                <w:sz w:val="20"/>
                <w:szCs w:val="20"/>
                <w:color w:val="auto"/>
              </w:rPr>
            </w:pPr>
            <w:r>
              <w:rPr>
                <w:rFonts w:ascii="Arial" w:cs="Arial" w:eastAsia="Arial" w:hAnsi="Arial"/>
                <w:sz w:val="18"/>
                <w:szCs w:val="18"/>
                <w:color w:val="auto"/>
                <w:w w:val="93"/>
              </w:rPr>
              <w:t>412</w:t>
            </w:r>
          </w:p>
        </w:tc>
        <w:tc>
          <w:tcPr>
            <w:tcW w:w="1520" w:type="dxa"/>
            <w:vAlign w:val="bottom"/>
            <w:tcBorders>
              <w:bottom w:val="single" w:sz="8" w:color="auto"/>
            </w:tcBorders>
            <w:shd w:val="clear" w:color="auto" w:fill="CEFFE7"/>
          </w:tcPr>
          <w:p>
            <w:pPr>
              <w:jc w:val="center"/>
              <w:ind w:left="290"/>
              <w:spacing w:after="0"/>
              <w:rPr>
                <w:sz w:val="20"/>
                <w:szCs w:val="20"/>
                <w:color w:val="auto"/>
              </w:rPr>
            </w:pPr>
            <w:r>
              <w:rPr>
                <w:rFonts w:ascii="Arial" w:cs="Arial" w:eastAsia="Arial" w:hAnsi="Arial"/>
                <w:sz w:val="18"/>
                <w:szCs w:val="18"/>
                <w:color w:val="auto"/>
                <w:w w:val="86"/>
              </w:rPr>
              <w:t>302</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Total Electric Utilities’ Peak Demands</w:t>
            </w: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1,104</w:t>
            </w:r>
          </w:p>
        </w:tc>
        <w:tc>
          <w:tcPr>
            <w:tcW w:w="1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930</w:t>
            </w:r>
          </w:p>
        </w:tc>
        <w:tc>
          <w:tcPr>
            <w:tcW w:w="220" w:type="dxa"/>
            <w:vAlign w:val="bottom"/>
          </w:tcPr>
          <w:p>
            <w:pPr>
              <w:spacing w:after="0"/>
              <w:rPr>
                <w:sz w:val="22"/>
                <w:szCs w:val="22"/>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1,094</w:t>
            </w:r>
          </w:p>
        </w:tc>
        <w:tc>
          <w:tcPr>
            <w:tcW w:w="1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931</w:t>
            </w:r>
          </w:p>
        </w:tc>
        <w:tc>
          <w:tcPr>
            <w:tcW w:w="220" w:type="dxa"/>
            <w:vAlign w:val="bottom"/>
          </w:tcPr>
          <w:p>
            <w:pPr>
              <w:spacing w:after="0"/>
              <w:rPr>
                <w:sz w:val="22"/>
                <w:szCs w:val="22"/>
                <w:color w:val="auto"/>
              </w:rPr>
            </w:pP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1,086</w:t>
            </w:r>
          </w:p>
        </w:tc>
        <w:tc>
          <w:tcPr>
            <w:tcW w:w="15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6"/>
              </w:rPr>
              <w:t>921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00" w:hanging="332"/>
        <w:spacing w:after="0" w:line="24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July 2018 summer peak load of 254 surpassed previous summer peak record load of 249 set in July 2017. The December 2018 winter peak load of 238 surpassed the previous winter peak record load of 230 set in December 2016.</w:t>
      </w:r>
    </w:p>
    <w:p>
      <w:pPr>
        <w:ind w:left="340" w:right="48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July 2018 summer peak load of 413 surpassed previous summer peak record load of 412 set in July 2016. The October 2018 winter peak load of 313 surpassed previous winter peak load of 310 set in February 2011.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 xml:space="preserve">Regulated Power Plants. </w:t>
      </w:r>
      <w:r>
        <w:rPr>
          <w:rFonts w:ascii="Arial" w:cs="Arial" w:eastAsia="Arial" w:hAnsi="Arial"/>
          <w:sz w:val="18"/>
          <w:szCs w:val="18"/>
          <w:color w:val="auto"/>
        </w:rPr>
        <w:t>As of December 31, 2018, our Electric Utilities’ ownership interests in electric generating plants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91"/>
              </w:rPr>
              <w:t>Fuel</w:t>
            </w:r>
          </w:p>
        </w:tc>
        <w:tc>
          <w:tcPr>
            <w:tcW w:w="24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Owned Capacity</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Year</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Unit</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9"/>
              </w:rPr>
              <w:t>Type</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Interest %</w:t>
            </w:r>
          </w:p>
        </w:tc>
        <w:tc>
          <w:tcPr>
            <w:tcW w:w="1700" w:type="dxa"/>
            <w:vAlign w:val="bottom"/>
          </w:tcPr>
          <w:p>
            <w:pPr>
              <w:jc w:val="center"/>
              <w:spacing w:after="0"/>
              <w:rPr>
                <w:sz w:val="20"/>
                <w:szCs w:val="20"/>
                <w:color w:val="auto"/>
              </w:rPr>
            </w:pPr>
            <w:r>
              <w:rPr>
                <w:rFonts w:ascii="Arial" w:cs="Arial" w:eastAsia="Arial" w:hAnsi="Arial"/>
                <w:sz w:val="18"/>
                <w:szCs w:val="18"/>
                <w:color w:val="auto"/>
              </w:rPr>
              <w:t>(MW)</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Installed</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South Dakota Electric:</w:t>
            </w:r>
          </w:p>
        </w:tc>
        <w:tc>
          <w:tcPr>
            <w:tcW w:w="1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(a)</w:t>
            </w:r>
          </w:p>
        </w:tc>
        <w:tc>
          <w:tcPr>
            <w:tcW w:w="140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58%</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55.0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Wygen III </w:t>
            </w:r>
            <w:r>
              <w:rPr>
                <w:rFonts w:ascii="Arial" w:cs="Arial" w:eastAsia="Arial" w:hAnsi="Arial"/>
                <w:sz w:val="25"/>
                <w:szCs w:val="25"/>
                <w:color w:val="auto"/>
                <w:vertAlign w:val="superscript"/>
              </w:rPr>
              <w:t>(b)</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57.2</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II</w:t>
            </w:r>
          </w:p>
        </w:tc>
        <w:tc>
          <w:tcPr>
            <w:tcW w:w="1400" w:type="dxa"/>
            <w:vAlign w:val="bottom"/>
            <w:tcBorders>
              <w:bottom w:val="single" w:sz="8" w:color="CEFFE7"/>
            </w:tcBorders>
            <w:shd w:val="clear" w:color="auto" w:fill="CEFFE7"/>
          </w:tcPr>
          <w:p>
            <w:pPr>
              <w:jc w:val="center"/>
              <w:ind w:left="210"/>
              <w:spacing w:after="0"/>
              <w:rPr>
                <w:sz w:val="20"/>
                <w:szCs w:val="20"/>
                <w:color w:val="auto"/>
              </w:rPr>
            </w:pPr>
            <w:r>
              <w:rPr>
                <w:rFonts w:ascii="Arial" w:cs="Arial" w:eastAsia="Arial" w:hAnsi="Arial"/>
                <w:sz w:val="18"/>
                <w:szCs w:val="18"/>
                <w:color w:val="auto"/>
                <w:w w:val="91"/>
              </w:rPr>
              <w:t>Coal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90.0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1995</w:t>
            </w: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Wyodak </w:t>
            </w:r>
            <w:r>
              <w:rPr>
                <w:rFonts w:ascii="Arial" w:cs="Arial" w:eastAsia="Arial" w:hAnsi="Arial"/>
                <w:sz w:val="25"/>
                <w:szCs w:val="25"/>
                <w:color w:val="auto"/>
                <w:vertAlign w:val="superscript"/>
              </w:rPr>
              <w:t>(c)</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72.4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1978</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CT</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Lange CT</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Ben French Diesel #1-5</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rPr>
              <w:t>Oil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1965</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Ben French CTs #1-4</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93"/>
              </w:rPr>
              <w:t>Gas/Oil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1977-1979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1400" w:type="dxa"/>
            <w:vAlign w:val="bottom"/>
            <w:tcBorders>
              <w:bottom w:val="single" w:sz="8" w:color="CEFFE7"/>
            </w:tcBorders>
            <w:shd w:val="clear" w:color="auto" w:fill="CEFFE7"/>
          </w:tcPr>
          <w:p>
            <w:pPr>
              <w:spacing w:after="0"/>
              <w:rPr>
                <w:sz w:val="21"/>
                <w:szCs w:val="21"/>
                <w:color w:val="auto"/>
              </w:rPr>
            </w:pPr>
          </w:p>
        </w:tc>
        <w:tc>
          <w:tcPr>
            <w:tcW w:w="24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(a)</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0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CT </w:t>
            </w:r>
            <w:r>
              <w:rPr>
                <w:rFonts w:ascii="Arial" w:cs="Arial" w:eastAsia="Arial" w:hAnsi="Arial"/>
                <w:sz w:val="25"/>
                <w:szCs w:val="25"/>
                <w:color w:val="auto"/>
                <w:vertAlign w:val="superscript"/>
              </w:rPr>
              <w:t>(a)</w:t>
            </w:r>
          </w:p>
        </w:tc>
        <w:tc>
          <w:tcPr>
            <w:tcW w:w="140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37.0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Wygen II</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95.0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(e)</w:t>
            </w:r>
            <w:r>
              <w:rPr>
                <w:rFonts w:ascii="Arial" w:cs="Arial" w:eastAsia="Arial" w:hAnsi="Arial"/>
                <w:sz w:val="18"/>
                <w:szCs w:val="18"/>
                <w:color w:val="auto"/>
              </w:rPr>
              <w:t>:</w:t>
            </w:r>
          </w:p>
        </w:tc>
        <w:tc>
          <w:tcPr>
            <w:tcW w:w="1400" w:type="dxa"/>
            <w:vAlign w:val="bottom"/>
            <w:shd w:val="clear" w:color="auto" w:fill="CEFFE7"/>
          </w:tcPr>
          <w:p>
            <w:pPr>
              <w:spacing w:after="0"/>
              <w:rPr>
                <w:sz w:val="23"/>
                <w:szCs w:val="23"/>
                <w:color w:val="auto"/>
              </w:rPr>
            </w:pPr>
          </w:p>
        </w:tc>
        <w:tc>
          <w:tcPr>
            <w:tcW w:w="2440" w:type="dxa"/>
            <w:vAlign w:val="bottom"/>
            <w:shd w:val="clear" w:color="auto" w:fill="CEFFE7"/>
          </w:tcPr>
          <w:p>
            <w:pPr>
              <w:spacing w:after="0"/>
              <w:rPr>
                <w:sz w:val="23"/>
                <w:szCs w:val="23"/>
                <w:color w:val="auto"/>
              </w:rPr>
            </w:pPr>
          </w:p>
        </w:tc>
        <w:tc>
          <w:tcPr>
            <w:tcW w:w="1480" w:type="dxa"/>
            <w:vAlign w:val="bottom"/>
            <w:shd w:val="clear" w:color="auto" w:fill="CEFFE7"/>
          </w:tcPr>
          <w:p>
            <w:pPr>
              <w:spacing w:after="0"/>
              <w:rPr>
                <w:sz w:val="23"/>
                <w:szCs w:val="23"/>
                <w:color w:val="auto"/>
              </w:rPr>
            </w:pPr>
          </w:p>
        </w:tc>
        <w:tc>
          <w:tcPr>
            <w:tcW w:w="1700" w:type="dxa"/>
            <w:vAlign w:val="bottom"/>
            <w:shd w:val="clear" w:color="auto" w:fill="CEFFE7"/>
          </w:tcPr>
          <w:p>
            <w:pPr>
              <w:spacing w:after="0"/>
              <w:rPr>
                <w:sz w:val="23"/>
                <w:szCs w:val="23"/>
                <w:color w:val="auto"/>
              </w:rPr>
            </w:pPr>
          </w:p>
        </w:tc>
        <w:tc>
          <w:tcPr>
            <w:tcW w:w="13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Busch Ranch I Wind Farm </w:t>
            </w:r>
            <w:r>
              <w:rPr>
                <w:rFonts w:ascii="Arial" w:cs="Arial" w:eastAsia="Arial" w:hAnsi="Arial"/>
                <w:sz w:val="25"/>
                <w:szCs w:val="25"/>
                <w:color w:val="auto"/>
                <w:vertAlign w:val="superscript"/>
              </w:rPr>
              <w:t>(d)</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97"/>
              </w:rPr>
              <w:t>Wind</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14.5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Peak View Wind Farm</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97"/>
              </w:rPr>
              <w:t>Wind</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60.0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Pueblo Airport Generation</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Pueblo Airport Generation CT</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AIP Diesel</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rPr>
              <w:t>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Diesel #1 and #3-5</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rPr>
              <w:t>Oil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7"/>
              </w:rPr>
              <w:t>8.0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Diesel #1-5</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rPr>
              <w:t>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Rocky Ford,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EFFE7"/>
            </w:tcBorders>
          </w:tcPr>
          <w:p>
            <w:pPr>
              <w:spacing w:after="0"/>
              <w:rPr>
                <w:sz w:val="2"/>
                <w:szCs w:val="2"/>
                <w:color w:val="auto"/>
              </w:rPr>
            </w:pPr>
          </w:p>
        </w:tc>
        <w:tc>
          <w:tcPr>
            <w:tcW w:w="1400" w:type="dxa"/>
            <w:vAlign w:val="bottom"/>
            <w:tcBorders>
              <w:bottom w:val="single" w:sz="8" w:color="CEFFE7"/>
            </w:tcBorders>
          </w:tcPr>
          <w:p>
            <w:pPr>
              <w:spacing w:after="0"/>
              <w:rPr>
                <w:sz w:val="2"/>
                <w:szCs w:val="2"/>
                <w:color w:val="auto"/>
              </w:rPr>
            </w:pPr>
          </w:p>
        </w:tc>
        <w:tc>
          <w:tcPr>
            <w:tcW w:w="2440" w:type="dxa"/>
            <w:vAlign w:val="bottom"/>
            <w:tcBorders>
              <w:bottom w:val="single" w:sz="8" w:color="CEFFE7"/>
            </w:tcBorders>
          </w:tcPr>
          <w:p>
            <w:pPr>
              <w:spacing w:after="0"/>
              <w:rPr>
                <w:sz w:val="2"/>
                <w:szCs w:val="2"/>
                <w:color w:val="auto"/>
              </w:rPr>
            </w:pPr>
          </w:p>
        </w:tc>
        <w:tc>
          <w:tcPr>
            <w:tcW w:w="1480" w:type="dxa"/>
            <w:vAlign w:val="bottom"/>
            <w:tcBorders>
              <w:bottom w:val="single" w:sz="8" w:color="CEFFE7"/>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MW Capacity</w:t>
            </w:r>
          </w:p>
        </w:tc>
        <w:tc>
          <w:tcPr>
            <w:tcW w:w="1400" w:type="dxa"/>
            <w:vAlign w:val="bottom"/>
            <w:tcBorders>
              <w:bottom w:val="single" w:sz="8" w:color="CEFFE7"/>
            </w:tcBorders>
            <w:shd w:val="clear" w:color="auto" w:fill="CEFFE7"/>
          </w:tcPr>
          <w:p>
            <w:pPr>
              <w:spacing w:after="0"/>
              <w:rPr>
                <w:sz w:val="22"/>
                <w:szCs w:val="22"/>
                <w:color w:val="auto"/>
              </w:rPr>
            </w:pPr>
          </w:p>
        </w:tc>
        <w:tc>
          <w:tcPr>
            <w:tcW w:w="2440" w:type="dxa"/>
            <w:vAlign w:val="bottom"/>
            <w:tcBorders>
              <w:bottom w:val="single" w:sz="8" w:color="CEFFE7"/>
            </w:tcBorders>
            <w:shd w:val="clear" w:color="auto" w:fill="CEFFE7"/>
          </w:tcPr>
          <w:p>
            <w:pPr>
              <w:spacing w:after="0"/>
              <w:rPr>
                <w:sz w:val="22"/>
                <w:szCs w:val="22"/>
                <w:color w:val="auto"/>
              </w:rPr>
            </w:pPr>
          </w:p>
        </w:tc>
        <w:tc>
          <w:tcPr>
            <w:tcW w:w="148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8"/>
                <w:szCs w:val="18"/>
                <w:color w:val="auto"/>
                <w:w w:val="88"/>
              </w:rPr>
              <w:t>939.1</w:t>
            </w:r>
          </w:p>
        </w:tc>
        <w:tc>
          <w:tcPr>
            <w:tcW w:w="1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80" w:hanging="332"/>
        <w:spacing w:after="0" w:line="24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Cheyenne Prairie, a 132 MW natural gas-fired power generation facility supports the utility customers of South Dakota Electric and Wyoming Electric. The facility includes one simple-cycle, 37 MW combustion turbine that is wholly-owned by Wyoming Electric and one combined-cycle, 95 MW unit that is jointly-owned by Wyoming Electric (40 MW) and South Dakota Electric (55 MW).</w:t>
      </w:r>
    </w:p>
    <w:p>
      <w:pPr>
        <w:spacing w:after="0" w:line="1"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Wygen III, a 110 MW mine-mouth coal-fired power plant, is operated by South Dakota Electric. South Dakota Electric has a 52% ownership interest, MDU owns 25% and the City of Gillette owns the remaining 23% interest. Our WRDC coal mine supplies all of the fuel for the plant.</w:t>
      </w:r>
    </w:p>
    <w:p>
      <w:pPr>
        <w:ind w:left="340" w:right="2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Wyodak, a 362 MW mine-mouth coal-fired power plant, is owned 80% by PacifiCorp and 20% by South Dakota Electric. This baseload plant is operated by PacifiCorp and our WRDC coal mine supplies all of the fuel for the plant.</w:t>
      </w:r>
    </w:p>
    <w:p>
      <w:pPr>
        <w:ind w:left="340" w:right="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Busch Ranch I Wind Farm, a 29 MW wind farm, is operated by Colorado Electric. Colorado Electric has a 50% ownership interest in the wind farm and Black Hills Electric Generation owns the remaining 50%. Black Hills Electric Generation purchased the remaining 50% from AltaGas on December 11, 2018. Colorado Electric has a PPA with Black Hills Electric Generation for its 14.5 MW of power from the wind farm. The terms of the PPA are the same as the previous PPA with AltaGas.</w:t>
      </w:r>
    </w:p>
    <w:p>
      <w:pPr>
        <w:ind w:left="340" w:right="4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25, 2018, Colorado Electric received approval from the CPUC to contract with Black Hills Electric Generation for the 60 MW Busch Ranch II wind project. The project is currently under construction and is expected to be in service by the end of 2019.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right="600"/>
        <w:spacing w:after="0" w:line="277" w:lineRule="auto"/>
        <w:rPr>
          <w:sz w:val="20"/>
          <w:szCs w:val="20"/>
          <w:color w:val="auto"/>
        </w:rPr>
      </w:pPr>
      <w:r>
        <w:rPr>
          <w:rFonts w:ascii="Arial" w:cs="Arial" w:eastAsia="Arial" w:hAnsi="Arial"/>
          <w:sz w:val="18"/>
          <w:szCs w:val="18"/>
          <w:color w:val="auto"/>
        </w:rPr>
        <w:t>The Electric Utilities’ annual average cost of fuel utilized to generate electricity and the average price paid for purchased power (excluding contracted capacity) per MWh for the years ended December 31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Fuel Source (dollars per MWh)</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Coal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11.10</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33.42</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34.05</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Borders>
              <w:bottom w:val="single" w:sz="8" w:color="CEFFE7"/>
            </w:tcBorders>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Diesel Oil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329.27</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210.11</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 Average Fuel Cost</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13.53</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Coal, Gas and Oil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45.62</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45.63</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Renewable Sources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54.31</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53.08</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Price per MWh for Diesel Oil are unit start-up costs. The diesel-fueled generating units are generally used as supplemental peaking units and the cost per MWh is reflective of how often the units are started and how long the units are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Power Supply</w:t>
            </w:r>
          </w:p>
        </w:tc>
        <w:tc>
          <w:tcPr>
            <w:tcW w:w="1920" w:type="dxa"/>
            <w:vAlign w:val="bottom"/>
          </w:tcPr>
          <w:p>
            <w:pPr>
              <w:jc w:val="right"/>
              <w:ind w:right="85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Coal</w:t>
            </w:r>
          </w:p>
        </w:tc>
        <w:tc>
          <w:tcPr>
            <w:tcW w:w="19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w:t>
            </w:r>
          </w:p>
        </w:tc>
        <w:tc>
          <w:tcPr>
            <w:tcW w:w="1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Gas, Oil and Wind</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8</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CEFFE7"/>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Generated</w:t>
            </w:r>
          </w:p>
        </w:tc>
        <w:tc>
          <w:tcPr>
            <w:tcW w:w="19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42</w:t>
            </w:r>
          </w:p>
        </w:tc>
        <w:tc>
          <w:tcPr>
            <w:tcW w:w="16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40</w:t>
            </w:r>
          </w:p>
        </w:tc>
        <w:tc>
          <w:tcPr>
            <w:tcW w:w="13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460" w:type="dxa"/>
            <w:vAlign w:val="bottom"/>
            <w:tcBorders>
              <w:bottom w:val="single" w:sz="8" w:color="CEFFE7"/>
            </w:tcBorders>
          </w:tcPr>
          <w:p>
            <w:pPr>
              <w:ind w:left="20"/>
              <w:spacing w:after="0" w:line="270" w:lineRule="exact"/>
              <w:rPr>
                <w:sz w:val="20"/>
                <w:szCs w:val="20"/>
                <w:color w:val="auto"/>
              </w:rPr>
            </w:pPr>
            <w:r>
              <w:rPr>
                <w:rFonts w:ascii="Arial" w:cs="Arial" w:eastAsia="Arial" w:hAnsi="Arial"/>
                <w:sz w:val="18"/>
                <w:szCs w:val="18"/>
                <w:color w:val="auto"/>
              </w:rPr>
              <w:t xml:space="preserve">Purchased </w:t>
            </w:r>
            <w:r>
              <w:rPr>
                <w:rFonts w:ascii="Arial" w:cs="Arial" w:eastAsia="Arial" w:hAnsi="Arial"/>
                <w:sz w:val="25"/>
                <w:szCs w:val="25"/>
                <w:color w:val="auto"/>
                <w:vertAlign w:val="superscript"/>
              </w:rPr>
              <w:t>(a)</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58</w:t>
            </w: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5270"/>
              <w:spacing w:after="0"/>
              <w:rPr>
                <w:sz w:val="20"/>
                <w:szCs w:val="20"/>
                <w:color w:val="auto"/>
              </w:rPr>
            </w:pPr>
            <w:r>
              <w:rPr>
                <w:rFonts w:ascii="Arial" w:cs="Arial" w:eastAsia="Arial" w:hAnsi="Arial"/>
                <w:sz w:val="16"/>
                <w:szCs w:val="16"/>
                <w:color w:val="auto"/>
                <w:w w:val="89"/>
              </w:rPr>
              <w:t>______________</w:t>
            </w: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Wind represents approximately 6%, 6% and 7% of our purchased power in 2018, 2017, and 2016, respectively.</w:t>
      </w: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Purchased Power. </w:t>
      </w:r>
      <w:r>
        <w:rPr>
          <w:rFonts w:ascii="Arial" w:cs="Arial" w:eastAsia="Arial" w:hAnsi="Arial"/>
          <w:sz w:val="18"/>
          <w:szCs w:val="18"/>
          <w:color w:val="auto"/>
        </w:rPr>
        <w:t>We have executed various agreements to support our Electric Utilities’ capacity and energy needs beyond our regulated power plants’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Key contracts include:</w:t>
      </w:r>
    </w:p>
    <w:p>
      <w:pPr>
        <w:spacing w:after="0" w:line="170" w:lineRule="exact"/>
        <w:rPr>
          <w:sz w:val="20"/>
          <w:szCs w:val="20"/>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South Dakota Electric’s PPA with PacifiCorp expiring on December 31, 2023, which provides for the purchase of 50 MW of coal-fired baseload power;</w:t>
      </w:r>
    </w:p>
    <w:p>
      <w:pPr>
        <w:spacing w:after="0" w:line="170"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Colorado Electric’s PPA with Black Hills Colorado IPP expiring on December 31, 2031, which provides 200 MW of energy and capacity to Colorado Electric from Black Hills Colorado IPP’s combined-cycle turbines. This PPA is reported and accounted for as a capital lease within our business segments and is eliminated on the accompanying Consolidated Financial Statements;</w:t>
      </w:r>
    </w:p>
    <w:p>
      <w:pPr>
        <w:spacing w:after="0" w:line="181" w:lineRule="exact"/>
        <w:rPr>
          <w:rFonts w:ascii="Arial" w:cs="Arial" w:eastAsia="Arial" w:hAnsi="Arial"/>
          <w:sz w:val="18"/>
          <w:szCs w:val="18"/>
          <w:color w:val="auto"/>
        </w:rPr>
      </w:pPr>
    </w:p>
    <w:p>
      <w:pPr>
        <w:jc w:val="both"/>
        <w:ind w:left="660" w:right="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Colorado Electric’s PPA with Black Hills Electric Generation, which provides up to 14.5 MW of wind energy from Black Hills Electric Generation’s owned interest in the Busch Ranch I Wind Farm. This PPA is the same as the previous agreement with AltaGas, which expires on October 16, 2037;</w:t>
      </w:r>
    </w:p>
    <w:p>
      <w:pPr>
        <w:spacing w:after="0" w:line="123" w:lineRule="exact"/>
        <w:rPr>
          <w:rFonts w:ascii="Arial" w:cs="Arial" w:eastAsia="Arial" w:hAnsi="Arial"/>
          <w:sz w:val="16"/>
          <w:szCs w:val="16"/>
          <w:color w:val="auto"/>
        </w:rPr>
      </w:pPr>
    </w:p>
    <w:p>
      <w:pPr>
        <w:ind w:left="660" w:right="14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Wyoming Electric’s PPA with Black Hills Wyoming expiring on December 31, 2022, whereby Black Hills Wyoming provides 60 MW of unit-contingent capacity and energy from its Wygen I facility. The PPA includes an option for Wyoming Electric to purchase Black Hills Wyoming’s ownership interest in the Wygen I facility through 2019. On November 30, 2018, Wyoming Electric submitted its 2018 integrated resource plan to the WPSC, which included the recommendation that Wyoming Electric acquire Wygen I. Review of Wyoming Electric’s integrated resource plan is subject to an open public process governed by the WPSC. The purchase of Wygen I would require approval of a CPCN by the WPSC and approval by FERC. The review process is expected to be completed by year-end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660" w:right="80"/>
        <w:spacing w:after="0" w:line="259" w:lineRule="auto"/>
        <w:rPr>
          <w:sz w:val="20"/>
          <w:szCs w:val="20"/>
          <w:color w:val="auto"/>
        </w:rPr>
      </w:pPr>
      <w:r>
        <w:rPr>
          <w:rFonts w:ascii="Arial" w:cs="Arial" w:eastAsia="Arial" w:hAnsi="Arial"/>
          <w:sz w:val="18"/>
          <w:szCs w:val="18"/>
          <w:color w:val="auto"/>
        </w:rPr>
        <w:t>The purchase price related to the option is $2.1 million per MW (65 MWs), adjusted for all depreciated capital additions since 2009, and reduced by depreciation (approximately $5 million per year) over a 35-year life beginning January 1, 2009. The net book value of Wygen I at December 31, 2018 was $75 million and if Wyoming Electric had exercised the purchase option at year-end 2018, the estimated purchase price would have been approximately $139 million;</w:t>
      </w:r>
    </w:p>
    <w:p>
      <w:pPr>
        <w:spacing w:after="0" w:line="187" w:lineRule="exact"/>
        <w:rPr>
          <w:sz w:val="20"/>
          <w:szCs w:val="20"/>
          <w:color w:val="auto"/>
        </w:rPr>
      </w:pPr>
    </w:p>
    <w:p>
      <w:pPr>
        <w:ind w:left="660" w:right="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Wyoming Electric’s 20-year PPA with Duke Energy expiring on September 3, 2028, which provides up to 29.4 MW of wind energy from the Happy Jack Wind Farm to Wyoming Electric. Under a separate intercompany agreement, Wyoming Electric sells 50% of the facility’s output to South Dakota Electric;</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Wyoming Electric’s 20-year PPA with Duke Energy expiring on September 30, 2029, which provides up to 30 MW of wind energy from the Silver Sage wind farm to Wyoming Electric. Under a separate intercompany agreement, Wyoming Electric sells 20 MW of the facility’s output to South Dakota Electric;</w:t>
      </w:r>
    </w:p>
    <w:p>
      <w:pPr>
        <w:spacing w:after="0" w:line="181"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Wyoming Electric and South Dakota Electric’s Generation Dispatch Agreement requires South Dakota Electric to purchase all of Wyoming Electric’s excess energy;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South Dakota Electric’s PPA with Platte River Power Authority to purchase up to 12 MW of wind energy through Platte River Power Authority’s agreement with Silver Sage. This agreement will expire September 30, 2029.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Power Sales Agreements. </w:t>
      </w:r>
      <w:r>
        <w:rPr>
          <w:rFonts w:ascii="Arial" w:cs="Arial" w:eastAsia="Arial" w:hAnsi="Arial"/>
          <w:sz w:val="18"/>
          <w:szCs w:val="18"/>
          <w:color w:val="auto"/>
        </w:rPr>
        <w:t>Our Electric Utilities have various long-term power sales agreements. Key agreements include:</w:t>
      </w:r>
    </w:p>
    <w:p>
      <w:pPr>
        <w:spacing w:after="0" w:line="225" w:lineRule="exact"/>
        <w:rPr>
          <w:sz w:val="20"/>
          <w:szCs w:val="20"/>
          <w:color w:val="auto"/>
        </w:rPr>
      </w:pPr>
    </w:p>
    <w:p>
      <w:pPr>
        <w:ind w:left="660" w:right="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MDU owns a 25% interest in Wygen III’s net generating capacity for the life of the plant. During periods of reduced production at Wygen III, or during periods when Wygen III is off-line, South Dakota Electric will provide MDU with 25 MW from its other generation facilities or from system purchases with reimbursement of costs by MDU;</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South Dakota Electric has an agreement through December 31, 2023 to provide MDU capacity and energy up to a maximum of 50 MW;</w:t>
      </w:r>
    </w:p>
    <w:p>
      <w:pPr>
        <w:spacing w:after="0" w:line="23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City of Gillette owns a 23% interest in Wygen III’s net generating capacity for the life of the plant. During periods of reduced production at Wygen III, or during periods when Wygen III is off-line, South Dakota Electric will provide the City of Gillette with its first 23 MW from its other generation facilities or from system purchases with reimbursement of costs by the City of Gillette. Under this agreement, South Dakota Electric will also provide the City of Gillette its operating component of spinning reserves;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 Dakota Electric has an agreement through December 31, 2021 to provide 50 MW of energy to Macquarie Energy, LLC during heavy and light load timing intervals; and</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 Dakota Electric has an amended agreement, effective January 1, 2019, to supply up to 20 MW of energy and capacity to MEAN under a contract that expires in 2028. The terms of the contract run from June 1 through May 31 for each interval listed below. This contract is unit-contingent based on the availability of our Neil Simpson II and Wygen III plants, with decreasing capacity purchased over the term of the agreement. The unit-contingent capacity amounts from Wygen III and Neil Simpson II are as follows:</w:t>
      </w:r>
    </w:p>
    <w:p>
      <w:pPr>
        <w:spacing w:after="0" w:line="13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2019-2020</w:t>
      </w:r>
      <w:r>
        <w:rPr>
          <w:sz w:val="20"/>
          <w:szCs w:val="20"/>
          <w:color w:val="auto"/>
        </w:rPr>
        <w:tab/>
      </w:r>
      <w:r>
        <w:rPr>
          <w:rFonts w:ascii="Arial" w:cs="Arial" w:eastAsia="Arial" w:hAnsi="Arial"/>
          <w:sz w:val="16"/>
          <w:szCs w:val="16"/>
          <w:color w:val="auto"/>
        </w:rPr>
        <w:t>15 MW - 10 MW contingent on Wygen III and 5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2020-2022</w:t>
      </w:r>
      <w:r>
        <w:rPr>
          <w:sz w:val="20"/>
          <w:szCs w:val="20"/>
          <w:color w:val="auto"/>
        </w:rPr>
        <w:tab/>
      </w:r>
      <w:r>
        <w:rPr>
          <w:rFonts w:ascii="Arial" w:cs="Arial" w:eastAsia="Arial" w:hAnsi="Arial"/>
          <w:sz w:val="16"/>
          <w:szCs w:val="16"/>
          <w:color w:val="auto"/>
        </w:rPr>
        <w:t>15 MW - 7 MW contingent on Wygen III and 8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2022-2023</w:t>
      </w:r>
      <w:r>
        <w:rPr>
          <w:sz w:val="20"/>
          <w:szCs w:val="20"/>
          <w:color w:val="auto"/>
        </w:rPr>
        <w:tab/>
      </w:r>
      <w:r>
        <w:rPr>
          <w:rFonts w:ascii="Arial" w:cs="Arial" w:eastAsia="Arial" w:hAnsi="Arial"/>
          <w:sz w:val="16"/>
          <w:szCs w:val="16"/>
          <w:color w:val="auto"/>
        </w:rPr>
        <w:t>15 MW - 8 MW contingent on Wygen III and 7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2023-2028</w:t>
      </w:r>
      <w:r>
        <w:rPr>
          <w:sz w:val="20"/>
          <w:szCs w:val="20"/>
          <w:color w:val="auto"/>
        </w:rPr>
        <w:tab/>
      </w:r>
      <w:r>
        <w:rPr>
          <w:rFonts w:ascii="Arial" w:cs="Arial" w:eastAsia="Arial" w:hAnsi="Arial"/>
          <w:sz w:val="16"/>
          <w:szCs w:val="16"/>
          <w:color w:val="auto"/>
        </w:rPr>
        <w:t>10 MW - 5 MW contingent on Wygen III and 5 MW contingent on Neil Simpson II</w:t>
      </w:r>
    </w:p>
    <w:p>
      <w:pPr>
        <w:spacing w:after="0" w:line="25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systems composed of high voltage transmission lines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69 kV) and low voltage lines (69 kV or less). We also jointly own high voltage lines with Basin Electric and Powder River Energy Corporation.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At December 31, 2018, our Electric Utilities owned the electric transmission and distribution lines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Transmission</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Distribution</w:t>
            </w:r>
          </w:p>
        </w:tc>
      </w:tr>
      <w:tr>
        <w:trPr>
          <w:trHeight w:val="230"/>
        </w:trPr>
        <w:tc>
          <w:tcPr>
            <w:tcW w:w="4300" w:type="dxa"/>
            <w:vAlign w:val="bottom"/>
          </w:tcPr>
          <w:p>
            <w:pPr>
              <w:ind w:left="40"/>
              <w:spacing w:after="0"/>
              <w:rPr>
                <w:sz w:val="20"/>
                <w:szCs w:val="20"/>
                <w:color w:val="auto"/>
              </w:rPr>
            </w:pPr>
            <w:r>
              <w:rPr>
                <w:rFonts w:ascii="Arial" w:cs="Arial" w:eastAsia="Arial" w:hAnsi="Arial"/>
                <w:sz w:val="18"/>
                <w:szCs w:val="18"/>
                <w:color w:val="auto"/>
              </w:rPr>
              <w:t>Utility</w:t>
            </w:r>
          </w:p>
        </w:tc>
        <w:tc>
          <w:tcPr>
            <w:tcW w:w="3540" w:type="dxa"/>
            <w:vAlign w:val="bottom"/>
          </w:tcPr>
          <w:p>
            <w:pPr>
              <w:jc w:val="center"/>
              <w:ind w:left="730"/>
              <w:spacing w:after="0"/>
              <w:rPr>
                <w:sz w:val="20"/>
                <w:szCs w:val="20"/>
                <w:color w:val="auto"/>
              </w:rPr>
            </w:pPr>
            <w:r>
              <w:rPr>
                <w:rFonts w:ascii="Arial" w:cs="Arial" w:eastAsia="Arial" w:hAnsi="Arial"/>
                <w:sz w:val="18"/>
                <w:szCs w:val="18"/>
                <w:color w:val="auto"/>
                <w:w w:val="85"/>
              </w:rPr>
              <w:t>State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(in Line Miles)</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(in Line Miles)</w:t>
            </w:r>
          </w:p>
        </w:tc>
      </w:tr>
      <w:tr>
        <w:trPr>
          <w:trHeight w:val="27"/>
        </w:trPr>
        <w:tc>
          <w:tcPr>
            <w:tcW w:w="4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w:t>
            </w:r>
          </w:p>
        </w:tc>
        <w:tc>
          <w:tcPr>
            <w:tcW w:w="3540" w:type="dxa"/>
            <w:vAlign w:val="bottom"/>
            <w:tcBorders>
              <w:bottom w:val="single" w:sz="8" w:color="CEFFE7"/>
            </w:tcBorders>
            <w:shd w:val="clear" w:color="auto" w:fill="CEFFE7"/>
          </w:tcPr>
          <w:p>
            <w:pPr>
              <w:jc w:val="center"/>
              <w:ind w:left="710"/>
              <w:spacing w:after="0"/>
              <w:rPr>
                <w:sz w:val="20"/>
                <w:szCs w:val="20"/>
                <w:color w:val="auto"/>
              </w:rPr>
            </w:pPr>
            <w:r>
              <w:rPr>
                <w:rFonts w:ascii="Arial" w:cs="Arial" w:eastAsia="Arial" w:hAnsi="Arial"/>
                <w:sz w:val="18"/>
                <w:szCs w:val="18"/>
                <w:color w:val="auto"/>
                <w:w w:val="91"/>
              </w:rPr>
              <w:t>South Dakota, Wyoming</w:t>
            </w:r>
          </w:p>
        </w:tc>
        <w:tc>
          <w:tcPr>
            <w:tcW w:w="19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1,231</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2,539</w:t>
            </w:r>
          </w:p>
        </w:tc>
      </w:tr>
      <w:tr>
        <w:trPr>
          <w:trHeight w:val="270"/>
        </w:trPr>
        <w:tc>
          <w:tcPr>
            <w:tcW w:w="4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South Dakota Electric - Jointly Owned </w:t>
            </w:r>
            <w:r>
              <w:rPr>
                <w:rFonts w:ascii="Arial" w:cs="Arial" w:eastAsia="Arial" w:hAnsi="Arial"/>
                <w:sz w:val="25"/>
                <w:szCs w:val="25"/>
                <w:color w:val="auto"/>
                <w:vertAlign w:val="superscript"/>
              </w:rPr>
              <w:t>(a)</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1"/>
              </w:rPr>
              <w:t>South Dakota, Wyoming</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3540" w:type="dxa"/>
            <w:vAlign w:val="bottom"/>
            <w:tcBorders>
              <w:bottom w:val="single" w:sz="8" w:color="CEFFE7"/>
            </w:tcBorders>
            <w:shd w:val="clear" w:color="auto" w:fill="CEFFE7"/>
          </w:tcPr>
          <w:p>
            <w:pPr>
              <w:jc w:val="center"/>
              <w:ind w:left="710"/>
              <w:spacing w:after="0"/>
              <w:rPr>
                <w:sz w:val="20"/>
                <w:szCs w:val="20"/>
                <w:color w:val="auto"/>
              </w:rPr>
            </w:pPr>
            <w:r>
              <w:rPr>
                <w:rFonts w:ascii="Arial" w:cs="Arial" w:eastAsia="Arial" w:hAnsi="Arial"/>
                <w:sz w:val="18"/>
                <w:szCs w:val="18"/>
                <w:color w:val="auto"/>
                <w:w w:val="93"/>
              </w:rPr>
              <w:t>Wyoming</w:t>
            </w:r>
          </w:p>
        </w:tc>
        <w:tc>
          <w:tcPr>
            <w:tcW w:w="19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49</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1,291</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Colorado Electric</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0"/>
              </w:rPr>
              <w:t>Colorado</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598</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3,106</w:t>
            </w:r>
          </w:p>
        </w:tc>
      </w:tr>
      <w:tr>
        <w:trPr>
          <w:trHeight w:val="220"/>
        </w:trPr>
        <w:tc>
          <w:tcPr>
            <w:tcW w:w="4300" w:type="dxa"/>
            <w:vAlign w:val="bottom"/>
          </w:tcPr>
          <w:p>
            <w:pPr>
              <w:spacing w:after="0"/>
              <w:rPr>
                <w:sz w:val="20"/>
                <w:szCs w:val="20"/>
                <w:color w:val="auto"/>
              </w:rPr>
            </w:pPr>
            <w:r>
              <w:rPr>
                <w:rFonts w:ascii="Arial" w:cs="Arial" w:eastAsia="Arial" w:hAnsi="Arial"/>
                <w:sz w:val="16"/>
                <w:szCs w:val="16"/>
                <w:color w:val="auto"/>
              </w:rPr>
              <w:t>__________________________</w:t>
            </w:r>
          </w:p>
        </w:tc>
        <w:tc>
          <w:tcPr>
            <w:tcW w:w="3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ind w:left="340" w:right="20" w:hanging="332"/>
        <w:spacing w:after="0" w:line="267"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South Dakota Electric owns 35% of a DC transmission tie that interconnects the Western and Eastern transmission grids, which are independently-operated transmission grids serving the western United States and eastern United States, respectively. This transmission tie, which is 65% owned by Basin Electric, provides transmission access to both the WECC region in the West and the SPP region in the East. The transfer capacity of the tie is 200 MW from West to East, and 200 MW from East to West. South Dakota Electric’s electric system is located in the WECC region. This transmission tie allows us to buy and sell energy in the Eastern grid without having to isolate and physically reconnect load or generation between the two transmission grids, thus enhancing the reliability of our system. It accommodates scheduling transactions in both directions simultaneously, provides additional opportunities to sell excess generation or to make economic purchases to serve our native load and contract obligations, and enables us to take advantage of power price differentials between the two grids.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South Dakota Electric has firm point-to-point transmission access to deliver up to 50 MW of power on PacifiCorp’s transmission system to wholesale customers in the WECC region through December 31, 2023.</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South Dakota Electric also has firm network transmission access to deliver power on PacifiCorp’s system to Sheridan, Wyoming, to serve our power sales contract with MDU through December 31, 2023, with the right to renew pursuant to the terms of PacifiCorp’s transmission tariff.</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order to serve Wyoming Electric’s existing load, Wyoming Electric has a network transmission agreement with Western Area Power Association’s Loveland Area Project.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Colorado Electric is party to a joint dispatch agreement with PSCo and Platte River Power Authority. This FERC-approved agreement, effective in 2017, is structured to allow PSCo, as administrator, to receive load and generation bid information for all three parties and, on an intra-hour basis, serve the combined utility load utilizing the combined bid generating resources on a least-cost basis. In other words, if one party has excess generation at a lower cost than another party’s generation, the administrator will increase dispatch of the lower-cost generation and decrease dispatch of the higher-cost generation. This results in lower energy costs to customers through more efficient dispatch of low-cost generating resources. Under the agreement, Colorado Electric retains the ability to participate or not participate in the joint dispatch at its discretion.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Electric Utilities have the following material operating agreements: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Services Agreements -</w:t>
      </w:r>
    </w:p>
    <w:p>
      <w:pPr>
        <w:spacing w:after="0" w:line="225" w:lineRule="exact"/>
        <w:rPr>
          <w:rFonts w:ascii="Arial" w:cs="Arial" w:eastAsia="Arial" w:hAnsi="Arial"/>
          <w:sz w:val="18"/>
          <w:szCs w:val="18"/>
          <w:color w:val="auto"/>
        </w:rPr>
      </w:pPr>
    </w:p>
    <w:p>
      <w:pPr>
        <w:ind w:left="1300" w:right="5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charges for the use of assets by the affiliate entity.</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also parties to a facility fee agreement, whereby Colorado Electric charges Black Hills Colorado IPP for the use of Colorado Electric assets.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South Dakota Electric and Wyoming Electric receive certain staffing and management services from BHSC for Cheyenne Prairie.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Jointly Owned Facilities -</w:t>
      </w:r>
    </w:p>
    <w:p>
      <w:pPr>
        <w:spacing w:after="0" w:line="225"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South Dakota Electric, the City of Gillette and MDU are parties to a shared joint ownership agreement, whereby South Dakota Electric charges the City of Gillette and MDU for administrative services, plant operations and maintenance for its share of the Wygen III generating facility for the life of the plant.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1300" w:right="8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Colorado Electric and Black Hills Electric Generation are parties to a shared joint ownership agreement whereby Colorado Electric charges Black Hills Electric Generation for operations and maintenance for its share of the Busch Ranch I Wind Farm.</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Seasonal Variations of Business. </w:t>
      </w:r>
      <w:r>
        <w:rPr>
          <w:rFonts w:ascii="Arial" w:cs="Arial" w:eastAsia="Arial" w:hAnsi="Arial"/>
          <w:sz w:val="18"/>
          <w:szCs w:val="18"/>
          <w:color w:val="auto"/>
        </w:rPr>
        <w:t>Our Electric Utilities are seasonal businesses and weather patterns may impact their operating performance. Demand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electricity is sensitive to seasonal cooling, heating and industrial load requirements, as well as market price. In particular, demand is often greater in the summer and winter months for cooling and heating, respectively. Because our Electric Utilities have a diverse customer and revenue base, and we have historically optimized the utilization of our electric power supply resources, the impact on our operations may not be as significant when weather conditions are warmer in the winter and cooler in the summer.</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restructuring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independent power producers for the right to provide electric energy and capacity for Colorado Electric when resource plans require additional resources.</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Rates and Regulation. </w:t>
      </w:r>
      <w:r>
        <w:rPr>
          <w:rFonts w:ascii="Arial" w:cs="Arial" w:eastAsia="Arial" w:hAnsi="Arial"/>
          <w:sz w:val="18"/>
          <w:szCs w:val="18"/>
          <w:color w:val="auto"/>
        </w:rPr>
        <w:t>Our Electric Utilities are subject to the jurisdiction of the public utilities commissions in the states where they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the rates of other utilities, general economic conditions and the political environment. Certain commissions also have jurisdiction over the issuance of debt or securities, and the creation of liens on property located in their states to secure bonds or other securities. The following table provides regulatory information for each of our Electric Utilities: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Authorized Rate</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Percentage of Power</w:t>
            </w:r>
          </w:p>
        </w:tc>
        <w:tc>
          <w:tcPr>
            <w:tcW w:w="0" w:type="dxa"/>
            <w:vAlign w:val="bottom"/>
          </w:tcPr>
          <w:p>
            <w:pPr>
              <w:spacing w:after="0"/>
              <w:rPr>
                <w:sz w:val="1"/>
                <w:szCs w:val="1"/>
                <w:color w:val="auto"/>
              </w:rPr>
            </w:pPr>
          </w:p>
        </w:tc>
      </w:tr>
      <w:tr>
        <w:trPr>
          <w:trHeight w:val="143"/>
        </w:trPr>
        <w:tc>
          <w:tcPr>
            <w:tcW w:w="100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6"/>
                <w:szCs w:val="16"/>
                <w:color w:val="auto"/>
              </w:rPr>
              <w:t>Jurisdic-</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2"/>
              </w:rPr>
              <w:t>Rate of Return</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3"/>
              </w:rPr>
              <w:t>Return on</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1"/>
              </w:rPr>
              <w:t>Base (in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94"/>
              </w:rPr>
              <w:t>Effective</w:t>
            </w:r>
          </w:p>
        </w:tc>
        <w:tc>
          <w:tcPr>
            <w:tcW w:w="288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color w:val="auto"/>
                <w:w w:val="97"/>
              </w:rPr>
              <w:t>Marketing Profit</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Shared with</w:t>
            </w:r>
          </w:p>
        </w:tc>
        <w:tc>
          <w:tcPr>
            <w:tcW w:w="0" w:type="dxa"/>
            <w:vAlign w:val="bottom"/>
          </w:tcPr>
          <w:p>
            <w:pPr>
              <w:spacing w:after="0"/>
              <w:rPr>
                <w:sz w:val="1"/>
                <w:szCs w:val="1"/>
                <w:color w:val="auto"/>
              </w:rPr>
            </w:pPr>
          </w:p>
        </w:tc>
      </w:tr>
      <w:tr>
        <w:trPr>
          <w:trHeight w:val="45"/>
        </w:trPr>
        <w:tc>
          <w:tcPr>
            <w:tcW w:w="1000" w:type="dxa"/>
            <w:vAlign w:val="bottom"/>
            <w:vMerge w:val="restart"/>
          </w:tcPr>
          <w:p>
            <w:pPr>
              <w:ind w:left="180"/>
              <w:spacing w:after="0"/>
              <w:rPr>
                <w:sz w:val="20"/>
                <w:szCs w:val="20"/>
                <w:color w:val="auto"/>
              </w:rPr>
            </w:pPr>
            <w:r>
              <w:rPr>
                <w:rFonts w:ascii="Arial" w:cs="Arial" w:eastAsia="Arial" w:hAnsi="Arial"/>
                <w:sz w:val="16"/>
                <w:szCs w:val="16"/>
                <w:color w:val="auto"/>
              </w:rPr>
              <w:t>Subsidiary</w:t>
            </w:r>
          </w:p>
        </w:tc>
        <w:tc>
          <w:tcPr>
            <w:tcW w:w="820" w:type="dxa"/>
            <w:vAlign w:val="bottom"/>
            <w:vMerge w:val="restart"/>
          </w:tcPr>
          <w:p>
            <w:pPr>
              <w:ind w:left="320"/>
              <w:spacing w:after="0"/>
              <w:rPr>
                <w:sz w:val="20"/>
                <w:szCs w:val="20"/>
                <w:color w:val="auto"/>
              </w:rPr>
            </w:pPr>
            <w:r>
              <w:rPr>
                <w:rFonts w:ascii="Arial" w:cs="Arial" w:eastAsia="Arial" w:hAnsi="Arial"/>
                <w:sz w:val="16"/>
                <w:szCs w:val="16"/>
                <w:color w:val="auto"/>
              </w:rPr>
              <w:t>tion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on Equity</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88"/>
              </w:rPr>
              <w:t>Rate Base</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millions)</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8"/>
              </w:rPr>
              <w:t>Date</w:t>
            </w:r>
          </w:p>
        </w:tc>
        <w:tc>
          <w:tcPr>
            <w:tcW w:w="2880" w:type="dxa"/>
            <w:vAlign w:val="bottom"/>
            <w:vMerge w:val="restart"/>
          </w:tcPr>
          <w:p>
            <w:pPr>
              <w:ind w:left="440"/>
              <w:spacing w:after="0"/>
              <w:rPr>
                <w:sz w:val="20"/>
                <w:szCs w:val="20"/>
                <w:color w:val="auto"/>
              </w:rPr>
            </w:pPr>
            <w:r>
              <w:rPr>
                <w:rFonts w:ascii="Arial" w:cs="Arial" w:eastAsia="Arial" w:hAnsi="Arial"/>
                <w:sz w:val="16"/>
                <w:szCs w:val="16"/>
                <w:color w:val="auto"/>
              </w:rPr>
              <w:t>Additional Tariffed Mechanisms</w:t>
            </w: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Customers</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shd w:val="clear" w:color="auto" w:fill="CEFFE7"/>
          </w:tcPr>
          <w:p>
            <w:pPr>
              <w:ind w:left="40"/>
              <w:spacing w:after="0"/>
              <w:rPr>
                <w:sz w:val="20"/>
                <w:szCs w:val="20"/>
                <w:color w:val="auto"/>
              </w:rPr>
            </w:pPr>
            <w:r>
              <w:rPr>
                <w:rFonts w:ascii="Arial" w:cs="Arial" w:eastAsia="Arial" w:hAnsi="Arial"/>
                <w:sz w:val="16"/>
                <w:szCs w:val="16"/>
                <w:color w:val="auto"/>
                <w:w w:val="96"/>
              </w:rPr>
              <w:t>South Dakota</w:t>
            </w: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8.13%</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46.7%/53.3%</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$46.8</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ECA</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65%</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2880" w:type="dxa"/>
            <w:vAlign w:val="bottom"/>
            <w:tcBorders>
              <w:bottom w:val="single" w:sz="8" w:color="CEFFE7"/>
            </w:tcBorders>
            <w:shd w:val="clear" w:color="auto" w:fill="CEFFE7"/>
          </w:tcPr>
          <w:p>
            <w:pPr>
              <w:spacing w:after="0"/>
              <w:rPr>
                <w:sz w:val="19"/>
                <w:szCs w:val="19"/>
                <w:color w:val="auto"/>
              </w:rPr>
            </w:pPr>
          </w:p>
        </w:tc>
        <w:tc>
          <w:tcPr>
            <w:tcW w:w="14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SD</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$543.9</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ECA, TCA,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Recovery/DSM</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EFFE7"/>
          </w:tcPr>
          <w:p>
            <w:pPr>
              <w:spacing w:after="0"/>
              <w:rPr>
                <w:sz w:val="19"/>
                <w:szCs w:val="19"/>
                <w:color w:val="auto"/>
              </w:rPr>
            </w:pP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SD</w:t>
            </w:r>
          </w:p>
        </w:tc>
        <w:tc>
          <w:tcPr>
            <w:tcW w:w="1140" w:type="dxa"/>
            <w:vAlign w:val="bottom"/>
            <w:shd w:val="clear" w:color="auto" w:fill="CEFFE7"/>
          </w:tcPr>
          <w:p>
            <w:pPr>
              <w:spacing w:after="0"/>
              <w:rPr>
                <w:sz w:val="19"/>
                <w:szCs w:val="19"/>
                <w:color w:val="auto"/>
              </w:rPr>
            </w:pP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5/2014</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8"/>
              </w:rPr>
              <w:t>Transmission Facility Adjustment (TFA)</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Tariff</w:t>
            </w:r>
          </w:p>
        </w:tc>
        <w:tc>
          <w:tcPr>
            <w:tcW w:w="14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SD</w:t>
            </w:r>
          </w:p>
        </w:tc>
        <w:tc>
          <w:tcPr>
            <w:tcW w:w="1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6/2011</w:t>
            </w:r>
          </w:p>
        </w:tc>
        <w:tc>
          <w:tcPr>
            <w:tcW w:w="2880" w:type="dxa"/>
            <w:vAlign w:val="bottom"/>
          </w:tcPr>
          <w:p>
            <w:pPr>
              <w:ind w:left="100"/>
              <w:spacing w:after="0"/>
              <w:rPr>
                <w:sz w:val="20"/>
                <w:szCs w:val="20"/>
                <w:color w:val="auto"/>
              </w:rPr>
            </w:pPr>
            <w:r>
              <w:rPr>
                <w:rFonts w:ascii="Arial" w:cs="Arial" w:eastAsia="Arial" w:hAnsi="Arial"/>
                <w:sz w:val="16"/>
                <w:szCs w:val="16"/>
                <w:color w:val="auto"/>
                <w:w w:val="96"/>
              </w:rPr>
              <w:t>Environmental Improvement Adjustment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(EIA) Tariff</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10.8%</w:t>
            </w: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8.76%</w:t>
            </w:r>
          </w:p>
        </w:tc>
        <w:tc>
          <w:tcPr>
            <w:tcW w:w="13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43%/57%</w:t>
            </w:r>
          </w:p>
        </w:tc>
        <w:tc>
          <w:tcPr>
            <w:tcW w:w="12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2/2009</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Wyoming</w:t>
            </w:r>
          </w:p>
        </w:tc>
        <w:tc>
          <w:tcPr>
            <w:tcW w:w="820" w:type="dxa"/>
            <w:vAlign w:val="bottom"/>
          </w:tcPr>
          <w:p>
            <w:pPr>
              <w:ind w:left="80"/>
              <w:spacing w:after="0"/>
              <w:rPr>
                <w:sz w:val="20"/>
                <w:szCs w:val="20"/>
                <w:color w:val="auto"/>
              </w:rPr>
            </w:pPr>
            <w:r>
              <w:rPr>
                <w:rFonts w:ascii="Arial" w:cs="Arial" w:eastAsia="Arial" w:hAnsi="Arial"/>
                <w:sz w:val="16"/>
                <w:szCs w:val="16"/>
                <w:color w:val="auto"/>
              </w:rPr>
              <w:t>WY</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7.98%</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$376.8</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PCA,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w w:val="96"/>
              </w:rPr>
              <w:t>Recovery/DSM, Rate Base Recovery on</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Acquisition Adjustment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10.6%</w:t>
            </w: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8.51%</w:t>
            </w:r>
          </w:p>
        </w:tc>
        <w:tc>
          <w:tcPr>
            <w:tcW w:w="13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$31.5</w:t>
            </w: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5/2014</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Pr>
          <w:p>
            <w:pPr>
              <w:ind w:left="8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7.43%</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47.6%/52.4%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$539.6</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tcPr>
          <w:p>
            <w:pPr>
              <w:ind w:left="100"/>
              <w:spacing w:after="0"/>
              <w:rPr>
                <w:sz w:val="20"/>
                <w:szCs w:val="20"/>
                <w:color w:val="auto"/>
              </w:rPr>
            </w:pPr>
            <w:r>
              <w:rPr>
                <w:rFonts w:ascii="Arial" w:cs="Arial" w:eastAsia="Arial" w:hAnsi="Arial"/>
                <w:sz w:val="16"/>
                <w:szCs w:val="16"/>
                <w:color w:val="auto"/>
              </w:rPr>
              <w:t>ECA, TCA, PCCA, Energy Efficiency</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90%</w:t>
            </w:r>
          </w:p>
        </w:tc>
        <w:tc>
          <w:tcPr>
            <w:tcW w:w="0" w:type="dxa"/>
            <w:vAlign w:val="bottom"/>
          </w:tcPr>
          <w:p>
            <w:pPr>
              <w:spacing w:after="0"/>
              <w:rPr>
                <w:sz w:val="1"/>
                <w:szCs w:val="1"/>
                <w:color w:val="auto"/>
              </w:rPr>
            </w:pPr>
          </w:p>
        </w:tc>
      </w:tr>
      <w:tr>
        <w:trPr>
          <w:trHeight w:val="203"/>
        </w:trPr>
        <w:tc>
          <w:tcPr>
            <w:tcW w:w="1000" w:type="dxa"/>
            <w:vAlign w:val="bottom"/>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w w:val="95"/>
              </w:rPr>
              <w:t>Cost Recovery/DSM, Renewable Energy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Standard Adjustment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EFFE7"/>
          </w:tcPr>
          <w:p>
            <w:pPr>
              <w:spacing w:after="0"/>
              <w:rPr>
                <w:sz w:val="19"/>
                <w:szCs w:val="19"/>
                <w:color w:val="auto"/>
              </w:rPr>
            </w:pP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6.02%</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67.3%/32.7%</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$57.9</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Clean Air Clean Jobs Act Adjustment</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0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Rider</w:t>
            </w:r>
          </w:p>
        </w:tc>
        <w:tc>
          <w:tcPr>
            <w:tcW w:w="14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90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780" w:type="dxa"/>
            <w:vAlign w:val="bottom"/>
            <w:shd w:val="clear" w:color="auto" w:fill="CEFFE7"/>
          </w:tcPr>
          <w:p>
            <w:pPr>
              <w:spacing w:after="0"/>
              <w:rPr>
                <w:sz w:val="2"/>
                <w:szCs w:val="2"/>
                <w:color w:val="auto"/>
              </w:rPr>
            </w:pPr>
          </w:p>
        </w:tc>
        <w:tc>
          <w:tcPr>
            <w:tcW w:w="288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ind w:right="20"/>
        <w:spacing w:after="0" w:line="273" w:lineRule="auto"/>
        <w:rPr>
          <w:sz w:val="20"/>
          <w:szCs w:val="20"/>
          <w:color w:val="auto"/>
        </w:rPr>
      </w:pPr>
      <w:r>
        <w:rPr>
          <w:rFonts w:ascii="Arial" w:cs="Arial" w:eastAsia="Arial" w:hAnsi="Arial"/>
          <w:sz w:val="17"/>
          <w:szCs w:val="17"/>
          <w:color w:val="auto"/>
        </w:rPr>
        <w:t>The regulatory provisions for recovering the costs to supply electricity vary by state. In all states, subject to thresholds noted below, we have cost adjustment mechanisms for our Electric Utilities that allow us to pass the prudently-incurred cost of fuel and purchased power through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Some states in which our utilities operate also allow the utility operating in that state to automatically adjust rates periodically for the cost of new transmission or environmental improvements and, in some instances, the utility has the opportunity to earn its authorized return on new capital investment immediately.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mechanisms we have in place include the following by utility and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Dakota Electric has:</w:t>
      </w:r>
    </w:p>
    <w:p>
      <w:pPr>
        <w:spacing w:after="0" w:line="225" w:lineRule="exact"/>
        <w:rPr>
          <w:sz w:val="20"/>
          <w:szCs w:val="20"/>
          <w:color w:val="auto"/>
        </w:rPr>
      </w:pPr>
    </w:p>
    <w:p>
      <w:pPr>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approved annual Environmental Improvement Adjustment (EIA) tariff which recovers costs associated with generation plant environmental improvements. South Dakota Electric also has a Transmission Facility Adjustment (TFA) tariff which recovers the costs associated with transmission facility improvements. The EIA and TFA were suspended for a six-year moratorium period effective July 1, 2017. See Note 13 in the Notes to the Consolidated Financial Statements in this Annual Report on Form 10-K for additional information.</w:t>
      </w:r>
    </w:p>
    <w:p>
      <w:pPr>
        <w:spacing w:after="0" w:line="171" w:lineRule="exact"/>
        <w:rPr>
          <w:rFonts w:ascii="Arial" w:cs="Arial" w:eastAsia="Arial" w:hAnsi="Arial"/>
          <w:sz w:val="17"/>
          <w:szCs w:val="17"/>
          <w:color w:val="auto"/>
        </w:rPr>
      </w:pPr>
    </w:p>
    <w:p>
      <w:pPr>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adjustment clause which provides for the over or under recovery of fuel and purchased power cost incurred to serve South Dakota customers. Additionally, this ECA contains an off-system sales sharing mechanism in which South Dakota customers will receive a credit equal to 100% of off-system power marketing operating income from the first $1.0 million of power marketing margin from short-term sales and a credit equal to 70% of power marketing margins from short-term sales in excess of the first $1.0 million. South Dakota Electric retains the remaining 30%. During the six-year moratorium period effective July 1, 2017, the 100% credit of power marketing margin increased from $1.0 million to $2.0 million. The ECA methodology allows us to directly assign renewable resources and firm purchases to the customer load. In Wyoming, a similar fuel and purchased power cost adjustment is also in place.</w:t>
      </w:r>
    </w:p>
    <w:p>
      <w:pPr>
        <w:spacing w:after="0" w:line="18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approved FERC Transmission Tariff based on a formulaic approach that determines the revenue component of South Dakota Electric’s open access transmission tariff.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Wyoming, Wyoming Electric has:</w:t>
      </w:r>
    </w:p>
    <w:p>
      <w:pPr>
        <w:spacing w:after="0" w:line="225" w:lineRule="exact"/>
        <w:rPr>
          <w:sz w:val="20"/>
          <w:szCs w:val="20"/>
          <w:color w:val="auto"/>
        </w:rPr>
      </w:pPr>
    </w:p>
    <w:p>
      <w:pPr>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cost adjustment mechanism that allows us to pass the prudently-incurred costs of fuel and purchased power through to electric customers. The annual cost adjustment allows for recovery of 85% of coal and coal-related cost per kWh variances from base, and recovery of 95% of purchased power, transmission, and natural gas cost per kWh variances from base.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approved FERC Transmission Tariff that determines the revenue component of Wyoming Electric’s open access transmission tariff.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Colorado, Colorado Electric has:</w:t>
      </w:r>
    </w:p>
    <w:p>
      <w:pPr>
        <w:spacing w:after="0" w:line="225" w:lineRule="exact"/>
        <w:rPr>
          <w:sz w:val="20"/>
          <w:szCs w:val="20"/>
          <w:color w:val="auto"/>
        </w:rPr>
      </w:pPr>
    </w:p>
    <w:p>
      <w:pPr>
        <w:ind w:left="660" w:right="1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quarterly ECA rider that allows us to recover forecasted increases or decreases in purchased energy and fuel costs, including the recovery for amounts payable to others for the transmission of the utility's electricity over transmission facilities owned by others, and the sharing of off-system sales margins, less certain operating costs (customer receives 90%). The ECA provides for not only direct recovery, but also for the issuance of credits for decreases in purchased energy, fuel costs and eligible energy resources.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TCA rider that includes nine months of actual transmission investment and three months of forecasted investment, with an annual true-up mechanism.</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Clean Air Clean Jobs Act Adjustment rider rate that collects the authorized revenue requirement for the 40 MW combustion turbine placed in service on December 31, 2016 with rates effective January 1, 2017.</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Renewable Energy Standard Adjustment rider that is specifically designed for meeting the requirements of Colorado’s renewable energy standard and most recently includes cost recovery for Peak View.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Tariff Filings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2018, South Dakota Electric and Wyoming Electric filed for approval of new, voluntary renewable energy tariffs to serve customer requests for renewable energy resources. Requests to approve the voluntary tariffs, known as Renewable Ready Service Tariffs, were submitted to the SDPUC and WPSC. The renewable ready tariffs would provide large commercial and industrial customers and governmental agencies an option to purchase utility-scale renewable energy. As proposed, customers would be able to enter into contracts with Black Hills Energy to purchase renewable energy for periods of five to 25 years.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September 28, 2018, Wyoming Electric filed for approval of a new innovative tariff to serve blockchain business customers in Wyoming. Request to approve the blockchain tariff, known as Blockchain Interruptible Service (“BCIS”) tariff, was submitted to the WPSC. The BCIS tariff, as proposed, was designed in response to blockchain business recruiting initiatives of the state of Wyoming and would provide the opportunity for Wyoming Electric to attract blockchain business and continue to provide safe and reliable service without negatively impacting existing customers.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13 in the Notes to the Consolidated Financial Statements in this Annual Report on Form 10-K for additional information regarding current electric rate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Statistics. </w:t>
      </w:r>
      <w:r>
        <w:rPr>
          <w:rFonts w:ascii="Arial" w:cs="Arial" w:eastAsia="Arial" w:hAnsi="Arial"/>
          <w:sz w:val="18"/>
          <w:szCs w:val="18"/>
          <w:color w:val="auto"/>
        </w:rPr>
        <w:t>The following tables summarize information for our Electric Utilities: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Degree Days</w:t>
            </w:r>
          </w:p>
        </w:tc>
        <w:tc>
          <w:tcPr>
            <w:tcW w:w="920" w:type="dxa"/>
            <w:vAlign w:val="bottom"/>
          </w:tcPr>
          <w:p>
            <w:pPr>
              <w:spacing w:after="0"/>
              <w:rPr>
                <w:sz w:val="17"/>
                <w:szCs w:val="17"/>
                <w:color w:val="auto"/>
              </w:rPr>
            </w:pPr>
          </w:p>
        </w:tc>
        <w:tc>
          <w:tcPr>
            <w:tcW w:w="1380" w:type="dxa"/>
            <w:vAlign w:val="bottom"/>
          </w:tcPr>
          <w:p>
            <w:pPr>
              <w:jc w:val="right"/>
              <w:ind w:right="910"/>
              <w:spacing w:after="0"/>
              <w:rPr>
                <w:sz w:val="20"/>
                <w:szCs w:val="20"/>
                <w:color w:val="auto"/>
              </w:rPr>
            </w:pPr>
            <w:r>
              <w:rPr>
                <w:rFonts w:ascii="Arial" w:cs="Arial" w:eastAsia="Arial" w:hAnsi="Arial"/>
                <w:sz w:val="18"/>
                <w:szCs w:val="18"/>
                <w:color w:val="auto"/>
                <w:w w:val="89"/>
              </w:rPr>
              <w:t>2018</w:t>
            </w:r>
          </w:p>
        </w:tc>
        <w:tc>
          <w:tcPr>
            <w:tcW w:w="2160" w:type="dxa"/>
            <w:vAlign w:val="bottom"/>
            <w:gridSpan w:val="2"/>
          </w:tcPr>
          <w:p>
            <w:pPr>
              <w:jc w:val="right"/>
              <w:ind w:right="91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17"/>
                <w:szCs w:val="17"/>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color w:val="auto"/>
                <w:w w:val="84"/>
              </w:rPr>
              <w:t>2016</w:t>
            </w: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22"/>
        </w:trPr>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Variance from</w:t>
            </w:r>
          </w:p>
        </w:tc>
        <w:tc>
          <w:tcPr>
            <w:tcW w:w="9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c>
          <w:tcPr>
            <w:tcW w:w="800" w:type="dxa"/>
            <w:vAlign w:val="bottom"/>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1"/>
              </w:rPr>
              <w:t>Variance from</w:t>
            </w: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30-Year</w:t>
            </w:r>
          </w:p>
        </w:tc>
        <w:tc>
          <w:tcPr>
            <w:tcW w:w="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30-Year</w:t>
            </w:r>
          </w:p>
        </w:tc>
        <w:tc>
          <w:tcPr>
            <w:tcW w:w="80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30-Year</w:t>
            </w:r>
          </w:p>
        </w:tc>
      </w:tr>
      <w:tr>
        <w:trPr>
          <w:trHeight w:val="257"/>
        </w:trPr>
        <w:tc>
          <w:tcPr>
            <w:tcW w:w="40" w:type="dxa"/>
            <w:vAlign w:val="bottom"/>
            <w:tcBorders>
              <w:bottom w:val="single" w:sz="8" w:color="CEFFE7"/>
            </w:tcBorders>
          </w:tcPr>
          <w:p>
            <w:pPr>
              <w:spacing w:after="0"/>
              <w:rPr>
                <w:sz w:val="22"/>
                <w:szCs w:val="22"/>
                <w:color w:val="auto"/>
              </w:rPr>
            </w:pPr>
          </w:p>
        </w:tc>
        <w:tc>
          <w:tcPr>
            <w:tcW w:w="920" w:type="dxa"/>
            <w:vAlign w:val="bottom"/>
            <w:tcBorders>
              <w:bottom w:val="single" w:sz="8" w:color="CEFFE7"/>
            </w:tcBorders>
          </w:tcPr>
          <w:p>
            <w:pPr>
              <w:spacing w:after="0"/>
              <w:rPr>
                <w:sz w:val="22"/>
                <w:szCs w:val="22"/>
                <w:color w:val="auto"/>
              </w:rPr>
            </w:pPr>
          </w:p>
        </w:tc>
        <w:tc>
          <w:tcPr>
            <w:tcW w:w="3960" w:type="dxa"/>
            <w:vAlign w:val="bottom"/>
            <w:tcBorders>
              <w:bottom w:val="single" w:sz="8" w:color="CEFFE7"/>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Actual</w:t>
            </w:r>
          </w:p>
        </w:tc>
        <w:tc>
          <w:tcPr>
            <w:tcW w:w="13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 xml:space="preserve">Average </w:t>
            </w:r>
            <w:r>
              <w:rPr>
                <w:rFonts w:ascii="Arial" w:cs="Arial" w:eastAsia="Arial" w:hAnsi="Arial"/>
                <w:sz w:val="25"/>
                <w:szCs w:val="25"/>
                <w:color w:val="auto"/>
                <w:w w:val="86"/>
                <w:vertAlign w:val="superscript"/>
              </w:rPr>
              <w:t>(b)</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Actual</w:t>
            </w:r>
          </w:p>
        </w:tc>
        <w:tc>
          <w:tcPr>
            <w:tcW w:w="12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 xml:space="preserve">Average </w:t>
            </w:r>
            <w:r>
              <w:rPr>
                <w:rFonts w:ascii="Arial" w:cs="Arial" w:eastAsia="Arial" w:hAnsi="Arial"/>
                <w:sz w:val="25"/>
                <w:szCs w:val="25"/>
                <w:color w:val="auto"/>
                <w:w w:val="84"/>
                <w:vertAlign w:val="superscript"/>
              </w:rPr>
              <w:t>(b)</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Actual</w:t>
            </w:r>
          </w:p>
        </w:tc>
        <w:tc>
          <w:tcPr>
            <w:tcW w:w="1240" w:type="dxa"/>
            <w:vAlign w:val="bottom"/>
            <w:tcBorders>
              <w:bottom w:val="single" w:sz="8" w:color="auto"/>
            </w:tcBorders>
          </w:tcPr>
          <w:p>
            <w:pPr>
              <w:jc w:val="center"/>
              <w:ind w:left="10"/>
              <w:spacing w:after="0" w:line="257" w:lineRule="exact"/>
              <w:rPr>
                <w:sz w:val="20"/>
                <w:szCs w:val="20"/>
                <w:color w:val="auto"/>
              </w:rPr>
            </w:pPr>
            <w:r>
              <w:rPr>
                <w:rFonts w:ascii="Arial" w:cs="Arial" w:eastAsia="Arial" w:hAnsi="Arial"/>
                <w:sz w:val="18"/>
                <w:szCs w:val="18"/>
                <w:color w:val="auto"/>
                <w:w w:val="84"/>
              </w:rPr>
              <w:t xml:space="preserve">Average </w:t>
            </w:r>
            <w:r>
              <w:rPr>
                <w:rFonts w:ascii="Arial" w:cs="Arial" w:eastAsia="Arial" w:hAnsi="Arial"/>
                <w:sz w:val="25"/>
                <w:szCs w:val="25"/>
                <w:color w:val="auto"/>
                <w:w w:val="84"/>
                <w:vertAlign w:val="superscript"/>
              </w:rPr>
              <w:t>(b)</w:t>
            </w:r>
          </w:p>
        </w:tc>
      </w:tr>
      <w:tr>
        <w:trPr>
          <w:trHeight w:val="244"/>
        </w:trPr>
        <w:tc>
          <w:tcPr>
            <w:tcW w:w="49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Heating Degree Days:</w:t>
            </w:r>
          </w:p>
        </w:tc>
        <w:tc>
          <w:tcPr>
            <w:tcW w:w="9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South Dakota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7,749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6,870</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4"/>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6,402</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88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7,036</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(7)%</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6,623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(12)%</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6,363</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5"/>
              </w:rPr>
              <w:t>(14)%</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Colorado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5,119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4,693</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800" w:type="dxa"/>
            <w:vAlign w:val="bottom"/>
          </w:tcPr>
          <w:p>
            <w:pPr>
              <w:jc w:val="right"/>
              <w:spacing w:after="0"/>
              <w:rPr>
                <w:sz w:val="20"/>
                <w:szCs w:val="20"/>
                <w:color w:val="auto"/>
              </w:rPr>
            </w:pPr>
            <w:r>
              <w:rPr>
                <w:rFonts w:ascii="Arial" w:cs="Arial" w:eastAsia="Arial" w:hAnsi="Arial"/>
                <w:sz w:val="18"/>
                <w:szCs w:val="18"/>
                <w:color w:val="auto"/>
              </w:rPr>
              <w:t>4,658</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5"/>
              </w:rPr>
              <w:t>(16)%</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shd w:val="clear" w:color="auto" w:fill="CEFFE7"/>
          </w:tcPr>
          <w:p>
            <w:pPr>
              <w:spacing w:after="0"/>
              <w:rPr>
                <w:sz w:val="23"/>
                <w:szCs w:val="23"/>
                <w:color w:val="auto"/>
              </w:rPr>
            </w:pPr>
          </w:p>
        </w:tc>
        <w:tc>
          <w:tcPr>
            <w:tcW w:w="4880" w:type="dxa"/>
            <w:vAlign w:val="bottom"/>
            <w:gridSpan w:val="2"/>
            <w:shd w:val="clear" w:color="auto" w:fill="CEFFE7"/>
          </w:tcPr>
          <w:p>
            <w:pPr>
              <w:jc w:val="right"/>
              <w:ind w:right="32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6,405</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3%</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5,826</w:t>
            </w:r>
          </w:p>
        </w:tc>
        <w:tc>
          <w:tcPr>
            <w:tcW w:w="126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1"/>
              </w:rPr>
              <w:t>(11)%</w:t>
            </w:r>
          </w:p>
        </w:tc>
        <w:tc>
          <w:tcPr>
            <w:tcW w:w="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5,595</w:t>
            </w:r>
          </w:p>
        </w:tc>
        <w:tc>
          <w:tcPr>
            <w:tcW w:w="12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5"/>
              </w:rPr>
              <w:t>(13)%</w:t>
            </w:r>
          </w:p>
        </w:tc>
      </w:tr>
      <w:tr>
        <w:trPr>
          <w:trHeight w:val="297"/>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920" w:type="dxa"/>
            <w:vAlign w:val="bottom"/>
            <w:tcBorders>
              <w:bottom w:val="single" w:sz="8" w:color="CEFFE7"/>
            </w:tcBorders>
            <w:gridSpan w:val="3"/>
            <w:shd w:val="clear" w:color="auto" w:fill="CEFFE7"/>
          </w:tcPr>
          <w:p>
            <w:pPr>
              <w:jc w:val="right"/>
              <w:ind w:right="3280"/>
              <w:spacing w:after="0"/>
              <w:rPr>
                <w:sz w:val="20"/>
                <w:szCs w:val="20"/>
                <w:color w:val="auto"/>
              </w:rPr>
            </w:pPr>
            <w:r>
              <w:rPr>
                <w:rFonts w:ascii="Arial" w:cs="Arial" w:eastAsia="Arial" w:hAnsi="Arial"/>
                <w:sz w:val="18"/>
                <w:szCs w:val="18"/>
                <w:color w:val="auto"/>
                <w:w w:val="91"/>
              </w:rPr>
              <w:t>Cooling Degree Days:</w:t>
            </w:r>
          </w:p>
        </w:tc>
        <w:tc>
          <w:tcPr>
            <w:tcW w:w="9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South Dakota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88"/>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646</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88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430</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24%</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429</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23%</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460</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4"/>
              </w:rPr>
              <w:t>31%</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Colorado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1,420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58%</w:t>
            </w:r>
          </w:p>
        </w:tc>
        <w:tc>
          <w:tcPr>
            <w:tcW w:w="900" w:type="dxa"/>
            <w:vAlign w:val="bottom"/>
          </w:tcPr>
          <w:p>
            <w:pPr>
              <w:jc w:val="right"/>
              <w:spacing w:after="0"/>
              <w:rPr>
                <w:sz w:val="20"/>
                <w:szCs w:val="20"/>
                <w:color w:val="auto"/>
              </w:rPr>
            </w:pPr>
            <w:r>
              <w:rPr>
                <w:rFonts w:ascii="Arial" w:cs="Arial" w:eastAsia="Arial" w:hAnsi="Arial"/>
                <w:sz w:val="18"/>
                <w:szCs w:val="18"/>
                <w:color w:val="auto"/>
              </w:rPr>
              <w:t>1,027</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800" w:type="dxa"/>
            <w:vAlign w:val="bottom"/>
          </w:tcPr>
          <w:p>
            <w:pPr>
              <w:jc w:val="right"/>
              <w:spacing w:after="0"/>
              <w:rPr>
                <w:sz w:val="20"/>
                <w:szCs w:val="20"/>
                <w:color w:val="auto"/>
              </w:rPr>
            </w:pPr>
            <w:r>
              <w:rPr>
                <w:rFonts w:ascii="Arial" w:cs="Arial" w:eastAsia="Arial" w:hAnsi="Arial"/>
                <w:sz w:val="18"/>
                <w:szCs w:val="18"/>
                <w:color w:val="auto"/>
              </w:rPr>
              <w:t>1,358</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42%</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shd w:val="clear" w:color="auto" w:fill="CEFFE7"/>
          </w:tcPr>
          <w:p>
            <w:pPr>
              <w:spacing w:after="0"/>
              <w:rPr>
                <w:sz w:val="23"/>
                <w:szCs w:val="23"/>
                <w:color w:val="auto"/>
              </w:rPr>
            </w:pPr>
          </w:p>
        </w:tc>
        <w:tc>
          <w:tcPr>
            <w:tcW w:w="4880" w:type="dxa"/>
            <w:vAlign w:val="bottom"/>
            <w:gridSpan w:val="2"/>
            <w:shd w:val="clear" w:color="auto" w:fill="CEFFE7"/>
          </w:tcPr>
          <w:p>
            <w:pPr>
              <w:jc w:val="right"/>
              <w:ind w:right="32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902</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29%</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798</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14%</w:t>
            </w:r>
          </w:p>
        </w:tc>
        <w:tc>
          <w:tcPr>
            <w:tcW w:w="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935</w:t>
            </w:r>
          </w:p>
        </w:tc>
        <w:tc>
          <w:tcPr>
            <w:tcW w:w="12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4"/>
              </w:rPr>
              <w:t>26%</w:t>
            </w:r>
          </w:p>
        </w:tc>
      </w:tr>
      <w:tr>
        <w:trPr>
          <w:trHeight w:val="220"/>
        </w:trPr>
        <w:tc>
          <w:tcPr>
            <w:tcW w:w="4920" w:type="dxa"/>
            <w:vAlign w:val="bottom"/>
            <w:gridSpan w:val="3"/>
          </w:tcPr>
          <w:p>
            <w:pPr>
              <w:jc w:val="right"/>
              <w:ind w:right="3480"/>
              <w:spacing w:after="0"/>
              <w:rPr>
                <w:sz w:val="20"/>
                <w:szCs w:val="20"/>
                <w:color w:val="auto"/>
              </w:rPr>
            </w:pPr>
            <w:r>
              <w:rPr>
                <w:rFonts w:ascii="Arial" w:cs="Arial" w:eastAsia="Arial" w:hAnsi="Arial"/>
                <w:sz w:val="18"/>
                <w:szCs w:val="18"/>
                <w:color w:val="auto"/>
                <w:w w:val="88"/>
              </w:rPr>
              <w:t>________________</w:t>
            </w: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combined degree days are calculated based on a weighted average of total customers by state.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30-Year Average is from NOAA Climate Normals.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rPr>
              <w:t>Electric Revenue (in thousands)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2"/>
          </w:tcPr>
          <w:p>
            <w:pPr>
              <w:jc w:val="right"/>
              <w:spacing w:after="0"/>
              <w:rPr>
                <w:sz w:val="20"/>
                <w:szCs w:val="20"/>
                <w:color w:val="auto"/>
              </w:rPr>
            </w:pPr>
            <w:r>
              <w:rPr>
                <w:rFonts w:ascii="Arial" w:cs="Arial" w:eastAsia="Arial" w:hAnsi="Arial"/>
                <w:sz w:val="16"/>
                <w:szCs w:val="16"/>
                <w:color w:val="auto"/>
              </w:rPr>
              <w:t>Quantities Sold (MWh)</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1160" w:type="dxa"/>
            <w:vAlign w:val="bottom"/>
            <w:gridSpan w:val="2"/>
          </w:tcPr>
          <w:p>
            <w:pPr>
              <w:jc w:val="right"/>
              <w:ind w:right="299"/>
              <w:spacing w:after="0"/>
              <w:rPr>
                <w:sz w:val="20"/>
                <w:szCs w:val="20"/>
                <w:color w:val="auto"/>
              </w:rPr>
            </w:pPr>
            <w:r>
              <w:rPr>
                <w:rFonts w:ascii="Arial" w:cs="Arial" w:eastAsia="Arial" w:hAnsi="Arial"/>
                <w:sz w:val="16"/>
                <w:szCs w:val="16"/>
                <w:color w:val="auto"/>
              </w:rPr>
              <w:t>2016</w:t>
            </w:r>
          </w:p>
        </w:tc>
        <w:tc>
          <w:tcPr>
            <w:tcW w:w="1380" w:type="dxa"/>
            <w:vAlign w:val="bottom"/>
            <w:gridSpan w:val="2"/>
          </w:tcPr>
          <w:p>
            <w:pPr>
              <w:jc w:val="right"/>
              <w:ind w:right="459"/>
              <w:spacing w:after="0"/>
              <w:rPr>
                <w:sz w:val="20"/>
                <w:szCs w:val="20"/>
                <w:color w:val="auto"/>
              </w:rPr>
            </w:pPr>
            <w:r>
              <w:rPr>
                <w:rFonts w:ascii="Arial" w:cs="Arial" w:eastAsia="Arial" w:hAnsi="Arial"/>
                <w:sz w:val="16"/>
                <w:szCs w:val="16"/>
                <w:color w:val="auto"/>
              </w:rPr>
              <w:t>2018</w:t>
            </w:r>
          </w:p>
        </w:tc>
        <w:tc>
          <w:tcPr>
            <w:tcW w:w="1300" w:type="dxa"/>
            <w:vAlign w:val="bottom"/>
          </w:tcPr>
          <w:p>
            <w:pPr>
              <w:jc w:val="right"/>
              <w:ind w:right="619"/>
              <w:spacing w:after="0"/>
              <w:rPr>
                <w:sz w:val="20"/>
                <w:szCs w:val="20"/>
                <w:color w:val="auto"/>
              </w:rPr>
            </w:pPr>
            <w:r>
              <w:rPr>
                <w:rFonts w:ascii="Arial" w:cs="Arial" w:eastAsia="Arial" w:hAnsi="Arial"/>
                <w:sz w:val="16"/>
                <w:szCs w:val="16"/>
                <w:color w:val="auto"/>
              </w:rPr>
              <w:t>2017</w:t>
            </w: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218,558</w:t>
            </w:r>
          </w:p>
        </w:tc>
        <w:tc>
          <w:tcPr>
            <w:tcW w:w="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210,172</w:t>
            </w:r>
          </w:p>
        </w:tc>
        <w:tc>
          <w:tcPr>
            <w:tcW w:w="5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208,725</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1,450,585</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1,390,952</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1,395,097</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250,894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258,754</w:t>
            </w:r>
          </w:p>
        </w:tc>
        <w:tc>
          <w:tcPr>
            <w:tcW w:w="5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258,768</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2,034,917</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2,038,495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2,067,486</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124,668</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122,958</w:t>
            </w:r>
          </w:p>
        </w:tc>
        <w:tc>
          <w:tcPr>
            <w:tcW w:w="52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118,181</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1,682,074</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1,598,755</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1,515,553</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17,871</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18,144</w:t>
            </w:r>
          </w:p>
        </w:tc>
        <w:tc>
          <w:tcPr>
            <w:tcW w:w="5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17,821</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160,913</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160,882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162,383</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Subtotal Retail Revenue - Electric</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611,991</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610,028</w:t>
            </w:r>
          </w:p>
        </w:tc>
        <w:tc>
          <w:tcPr>
            <w:tcW w:w="52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603,495</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5,328,489</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5,189,084</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5,140,519</w:t>
            </w:r>
          </w:p>
        </w:tc>
        <w:tc>
          <w:tcPr>
            <w:tcW w:w="0" w:type="dxa"/>
            <w:vAlign w:val="bottom"/>
          </w:tcPr>
          <w:p>
            <w:pPr>
              <w:spacing w:after="0"/>
              <w:rPr>
                <w:sz w:val="1"/>
                <w:szCs w:val="1"/>
                <w:color w:val="auto"/>
              </w:rPr>
            </w:pPr>
          </w:p>
        </w:tc>
      </w:tr>
      <w:tr>
        <w:trPr>
          <w:trHeight w:val="21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Contract Wholesale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33,688</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30,435</w:t>
            </w: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17,037</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900,854</w:t>
            </w:r>
          </w:p>
        </w:tc>
        <w:tc>
          <w:tcPr>
            <w:tcW w:w="13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722,659</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246,630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Off-system/Power Marketing Wholesale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24,800</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21,111</w:t>
            </w:r>
          </w:p>
        </w:tc>
        <w:tc>
          <w:tcPr>
            <w:tcW w:w="52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22,355</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673,994</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661,263</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769,843</w:t>
            </w:r>
          </w:p>
        </w:tc>
        <w:tc>
          <w:tcPr>
            <w:tcW w:w="0" w:type="dxa"/>
            <w:vAlign w:val="bottom"/>
          </w:tcPr>
          <w:p>
            <w:pPr>
              <w:spacing w:after="0"/>
              <w:rPr>
                <w:sz w:val="1"/>
                <w:szCs w:val="1"/>
                <w:color w:val="auto"/>
              </w:rPr>
            </w:pPr>
          </w:p>
        </w:tc>
      </w:tr>
      <w:tr>
        <w:trPr>
          <w:trHeight w:val="270"/>
        </w:trPr>
        <w:tc>
          <w:tcPr>
            <w:tcW w:w="448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40,972</w:t>
            </w: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43,076</w:t>
            </w:r>
          </w:p>
        </w:tc>
        <w:tc>
          <w:tcPr>
            <w:tcW w:w="5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34,394</w:t>
            </w:r>
          </w:p>
        </w:tc>
        <w:tc>
          <w:tcPr>
            <w:tcW w:w="120" w:type="dxa"/>
            <w:vAlign w:val="bottom"/>
            <w:tcBorders>
              <w:bottom w:val="single" w:sz="8" w:color="CEFFE7"/>
            </w:tcBorders>
          </w:tcPr>
          <w:p>
            <w:pPr>
              <w:spacing w:after="0"/>
              <w:rPr>
                <w:sz w:val="23"/>
                <w:szCs w:val="23"/>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 Sold</w:t>
            </w:r>
          </w:p>
        </w:tc>
        <w:tc>
          <w:tcPr>
            <w:tcW w:w="2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711,451</w:t>
            </w:r>
          </w:p>
        </w:tc>
        <w:tc>
          <w:tcPr>
            <w:tcW w:w="3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704,650</w:t>
            </w:r>
          </w:p>
        </w:tc>
        <w:tc>
          <w:tcPr>
            <w:tcW w:w="520" w:type="dxa"/>
            <w:vAlign w:val="bottom"/>
            <w:tcBorders>
              <w:bottom w:val="single" w:sz="8" w:color="CEFFE7"/>
            </w:tcBorders>
            <w:shd w:val="clear" w:color="auto" w:fill="CEFFE7"/>
          </w:tcPr>
          <w:p>
            <w:pPr>
              <w:spacing w:after="0"/>
              <w:rPr>
                <w:sz w:val="20"/>
                <w:szCs w:val="20"/>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677,281</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6,903,337</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6,573,006</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6,156,992</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Other Uses, Losses or Generation,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470,250</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468,179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433,400</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w:t>
            </w:r>
          </w:p>
        </w:tc>
        <w:tc>
          <w:tcPr>
            <w:tcW w:w="260" w:type="dxa"/>
            <w:vAlign w:val="bottom"/>
            <w:shd w:val="clear" w:color="auto" w:fill="CEFFE7"/>
          </w:tcPr>
          <w:p>
            <w:pPr>
              <w:spacing w:after="0"/>
              <w:rPr>
                <w:sz w:val="21"/>
                <w:szCs w:val="21"/>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711,451</w:t>
            </w:r>
          </w:p>
        </w:tc>
        <w:tc>
          <w:tcPr>
            <w:tcW w:w="300" w:type="dxa"/>
            <w:vAlign w:val="bottom"/>
            <w:shd w:val="clear" w:color="auto" w:fill="CEFFE7"/>
          </w:tcPr>
          <w:p>
            <w:pPr>
              <w:spacing w:after="0"/>
              <w:rPr>
                <w:sz w:val="21"/>
                <w:szCs w:val="21"/>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704,650</w:t>
            </w:r>
          </w:p>
        </w:tc>
        <w:tc>
          <w:tcPr>
            <w:tcW w:w="520" w:type="dxa"/>
            <w:vAlign w:val="bottom"/>
            <w:shd w:val="clear" w:color="auto" w:fill="CEFFE7"/>
          </w:tcPr>
          <w:p>
            <w:pPr>
              <w:spacing w:after="0"/>
              <w:rPr>
                <w:sz w:val="21"/>
                <w:szCs w:val="21"/>
                <w:color w:val="auto"/>
              </w:rPr>
            </w:pPr>
          </w:p>
        </w:tc>
        <w:tc>
          <w:tcPr>
            <w:tcW w:w="6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677,281</w:t>
            </w:r>
          </w:p>
        </w:tc>
        <w:tc>
          <w:tcPr>
            <w:tcW w:w="138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7,373,587</w:t>
            </w:r>
          </w:p>
        </w:tc>
        <w:tc>
          <w:tcPr>
            <w:tcW w:w="130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7,041,185</w:t>
            </w:r>
          </w:p>
        </w:tc>
        <w:tc>
          <w:tcPr>
            <w:tcW w:w="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6,590,392</w:t>
            </w:r>
          </w:p>
        </w:tc>
        <w:tc>
          <w:tcPr>
            <w:tcW w:w="0" w:type="dxa"/>
            <w:vAlign w:val="bottom"/>
          </w:tcPr>
          <w:p>
            <w:pPr>
              <w:spacing w:after="0"/>
              <w:rPr>
                <w:sz w:val="1"/>
                <w:szCs w:val="1"/>
                <w:color w:val="auto"/>
              </w:rPr>
            </w:pPr>
          </w:p>
        </w:tc>
      </w:tr>
      <w:tr>
        <w:trPr>
          <w:trHeight w:val="20"/>
        </w:trPr>
        <w:tc>
          <w:tcPr>
            <w:tcW w:w="4480" w:type="dxa"/>
            <w:vAlign w:val="bottom"/>
            <w:tcBorders>
              <w:top w:val="single" w:sz="8" w:color="CEFFE7"/>
              <w:bottom w:val="single" w:sz="8" w:color="CEFFE7"/>
            </w:tcBorders>
            <w:gridSpan w:val="2"/>
            <w:vMerge w:val="restart"/>
          </w:tcPr>
          <w:p>
            <w:pPr>
              <w:ind w:left="40"/>
              <w:spacing w:after="0"/>
              <w:rPr>
                <w:sz w:val="20"/>
                <w:szCs w:val="20"/>
                <w:color w:val="auto"/>
              </w:rPr>
            </w:pPr>
            <w:r>
              <w:rPr>
                <w:rFonts w:ascii="Arial" w:cs="Arial" w:eastAsia="Arial" w:hAnsi="Arial"/>
                <w:sz w:val="16"/>
                <w:szCs w:val="16"/>
                <w:color w:val="auto"/>
              </w:rPr>
              <w:t>Less cost of fuel and purchased power</w:t>
            </w:r>
          </w:p>
        </w:tc>
        <w:tc>
          <w:tcPr>
            <w:tcW w:w="26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277,093</w:t>
            </w:r>
          </w:p>
        </w:tc>
        <w:tc>
          <w:tcPr>
            <w:tcW w:w="30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268,405</w:t>
            </w:r>
          </w:p>
        </w:tc>
        <w:tc>
          <w:tcPr>
            <w:tcW w:w="52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bottom w:val="single" w:sz="8" w:color="CEFFE7"/>
            </w:tcBorders>
            <w:vMerge w:val="restart"/>
          </w:tcPr>
          <w:p>
            <w:pPr>
              <w:jc w:val="right"/>
              <w:ind w:right="19"/>
              <w:spacing w:after="0"/>
              <w:rPr>
                <w:sz w:val="20"/>
                <w:szCs w:val="20"/>
                <w:color w:val="auto"/>
              </w:rPr>
            </w:pPr>
            <w:r>
              <w:rPr>
                <w:rFonts w:ascii="Arial" w:cs="Arial" w:eastAsia="Arial" w:hAnsi="Arial"/>
                <w:sz w:val="16"/>
                <w:szCs w:val="16"/>
                <w:color w:val="auto"/>
                <w:w w:val="89"/>
              </w:rPr>
              <w:t>261,349</w:t>
            </w:r>
          </w:p>
        </w:tc>
        <w:tc>
          <w:tcPr>
            <w:tcW w:w="120" w:type="dxa"/>
            <w:vAlign w:val="bottom"/>
            <w:tcBorders>
              <w:top w:val="single" w:sz="8" w:color="CEFFE7"/>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6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434,358</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436,245</w:t>
            </w:r>
          </w:p>
        </w:tc>
        <w:tc>
          <w:tcPr>
            <w:tcW w:w="52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415,932</w:t>
            </w:r>
          </w:p>
        </w:tc>
        <w:tc>
          <w:tcPr>
            <w:tcW w:w="1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in 2018 reflects the impact of revenue reserved in accordance with the TCJA</w:t>
      </w:r>
      <w:r>
        <w:rPr>
          <w:rFonts w:ascii="Arial" w:cs="Arial" w:eastAsia="Arial" w:hAnsi="Arial"/>
          <w:sz w:val="14"/>
          <w:szCs w:val="14"/>
          <w:color w:val="auto"/>
        </w:rPr>
        <w:t>.</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ind w:left="180"/>
              <w:spacing w:after="0"/>
              <w:rPr>
                <w:sz w:val="20"/>
                <w:szCs w:val="20"/>
                <w:color w:val="auto"/>
              </w:rPr>
            </w:pPr>
            <w:r>
              <w:rPr>
                <w:rFonts w:ascii="Arial" w:cs="Arial" w:eastAsia="Arial" w:hAnsi="Arial"/>
                <w:sz w:val="16"/>
                <w:szCs w:val="16"/>
                <w:color w:val="auto"/>
              </w:rPr>
              <w:t>Electric Revenue (in thousands)</w:t>
            </w: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color w:val="auto"/>
                <w:w w:val="96"/>
              </w:rPr>
              <w:t xml:space="preserve">Gross Margin </w:t>
            </w:r>
            <w:r>
              <w:rPr>
                <w:rFonts w:ascii="Arial" w:cs="Arial" w:eastAsia="Arial" w:hAnsi="Arial"/>
                <w:sz w:val="21"/>
                <w:szCs w:val="21"/>
                <w:color w:val="auto"/>
                <w:w w:val="96"/>
                <w:vertAlign w:val="superscript"/>
              </w:rPr>
              <w:t>(a)</w:t>
            </w:r>
            <w:r>
              <w:rPr>
                <w:rFonts w:ascii="Arial" w:cs="Arial" w:eastAsia="Arial" w:hAnsi="Arial"/>
                <w:sz w:val="16"/>
                <w:szCs w:val="16"/>
                <w:color w:val="auto"/>
                <w:w w:val="96"/>
              </w:rPr>
              <w:t xml:space="preserve"> (in thousands)</w:t>
            </w:r>
          </w:p>
        </w:tc>
        <w:tc>
          <w:tcPr>
            <w:tcW w:w="3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2016</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2018</w:t>
            </w:r>
          </w:p>
        </w:tc>
        <w:tc>
          <w:tcPr>
            <w:tcW w:w="1020" w:type="dxa"/>
            <w:vAlign w:val="bottom"/>
          </w:tcPr>
          <w:p>
            <w:pPr>
              <w:jc w:val="right"/>
              <w:ind w:right="339"/>
              <w:spacing w:after="0"/>
              <w:rPr>
                <w:sz w:val="20"/>
                <w:szCs w:val="20"/>
                <w:color w:val="auto"/>
              </w:rPr>
            </w:pPr>
            <w:r>
              <w:rPr>
                <w:rFonts w:ascii="Arial" w:cs="Arial" w:eastAsia="Arial" w:hAnsi="Arial"/>
                <w:sz w:val="16"/>
                <w:szCs w:val="16"/>
                <w:color w:val="auto"/>
              </w:rPr>
              <w:t>2017</w:t>
            </w: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80"/>
              <w:spacing w:after="0"/>
              <w:rPr>
                <w:sz w:val="20"/>
                <w:szCs w:val="20"/>
                <w:color w:val="auto"/>
              </w:rPr>
            </w:pPr>
            <w:r>
              <w:rPr>
                <w:rFonts w:ascii="Arial" w:cs="Arial" w:eastAsia="Arial" w:hAnsi="Arial"/>
                <w:sz w:val="16"/>
                <w:szCs w:val="16"/>
                <w:color w:val="auto"/>
              </w:rPr>
              <w:t>298,080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100"/>
              <w:spacing w:after="0"/>
              <w:rPr>
                <w:sz w:val="20"/>
                <w:szCs w:val="20"/>
                <w:color w:val="auto"/>
              </w:rPr>
            </w:pPr>
            <w:r>
              <w:rPr>
                <w:rFonts w:ascii="Arial" w:cs="Arial" w:eastAsia="Arial" w:hAnsi="Arial"/>
                <w:sz w:val="16"/>
                <w:szCs w:val="16"/>
                <w:color w:val="auto"/>
              </w:rPr>
              <w:t>288,433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267,632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205,194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200,795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192,606</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3,360,396</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3,187,392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2,767,315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162,153</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165,127</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157,606</w:t>
            </w:r>
          </w:p>
        </w:tc>
        <w:tc>
          <w:tcPr>
            <w:tcW w:w="1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83,516</w:t>
            </w:r>
          </w:p>
        </w:tc>
        <w:tc>
          <w:tcPr>
            <w:tcW w:w="24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89,371</w:t>
            </w:r>
          </w:p>
        </w:tc>
        <w:tc>
          <w:tcPr>
            <w:tcW w:w="2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85,036</w:t>
            </w: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1,861,273</w:t>
            </w:r>
          </w:p>
        </w:tc>
        <w:tc>
          <w:tcPr>
            <w:tcW w:w="10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1,762,117</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1,677,421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20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251,218</w:t>
            </w:r>
          </w:p>
        </w:tc>
        <w:tc>
          <w:tcPr>
            <w:tcW w:w="24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color w:val="auto"/>
              </w:rPr>
              <w:t>251,090</w:t>
            </w:r>
          </w:p>
        </w:tc>
        <w:tc>
          <w:tcPr>
            <w:tcW w:w="2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252,043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145,648</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146,079</w:t>
            </w:r>
          </w:p>
        </w:tc>
        <w:tc>
          <w:tcPr>
            <w:tcW w:w="220" w:type="dxa"/>
            <w:vAlign w:val="bottom"/>
          </w:tcPr>
          <w:p>
            <w:pPr>
              <w:spacing w:after="0"/>
              <w:rPr>
                <w:sz w:val="20"/>
                <w:szCs w:val="20"/>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138,290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2,151,918</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2,091,676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2,145,656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EFFE7"/>
          </w:tcPr>
          <w:p>
            <w:pPr>
              <w:ind w:left="280"/>
              <w:spacing w:after="0"/>
              <w:rPr>
                <w:sz w:val="20"/>
                <w:szCs w:val="20"/>
                <w:color w:val="auto"/>
              </w:rPr>
            </w:pPr>
            <w:r>
              <w:rPr>
                <w:rFonts w:ascii="Arial" w:cs="Arial" w:eastAsia="Arial" w:hAnsi="Arial"/>
                <w:sz w:val="16"/>
                <w:szCs w:val="16"/>
                <w:color w:val="auto"/>
              </w:rPr>
              <w:t>Total Revenue, Gross Margin,</w:t>
            </w:r>
          </w:p>
        </w:tc>
        <w:tc>
          <w:tcPr>
            <w:tcW w:w="2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EFFE7"/>
          </w:tcPr>
          <w:p>
            <w:pPr>
              <w:ind w:left="100"/>
              <w:spacing w:after="0"/>
              <w:rPr>
                <w:sz w:val="20"/>
                <w:szCs w:val="20"/>
                <w:color w:val="auto"/>
              </w:rPr>
            </w:pPr>
            <w:r>
              <w:rPr>
                <w:rFonts w:ascii="Arial" w:cs="Arial" w:eastAsia="Arial" w:hAnsi="Arial"/>
                <w:sz w:val="16"/>
                <w:szCs w:val="16"/>
                <w:color w:val="auto"/>
                <w:w w:val="96"/>
              </w:rPr>
              <w:t>711,451</w:t>
            </w:r>
          </w:p>
        </w:tc>
        <w:tc>
          <w:tcPr>
            <w:tcW w:w="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EFFE7"/>
          </w:tcPr>
          <w:p>
            <w:pPr>
              <w:ind w:left="100"/>
              <w:spacing w:after="0"/>
              <w:rPr>
                <w:sz w:val="20"/>
                <w:szCs w:val="20"/>
                <w:color w:val="auto"/>
              </w:rPr>
            </w:pPr>
            <w:r>
              <w:rPr>
                <w:rFonts w:ascii="Arial" w:cs="Arial" w:eastAsia="Arial" w:hAnsi="Arial"/>
                <w:sz w:val="16"/>
                <w:szCs w:val="16"/>
                <w:color w:val="auto"/>
              </w:rPr>
              <w:t>704,650</w:t>
            </w:r>
          </w:p>
        </w:tc>
        <w:tc>
          <w:tcPr>
            <w:tcW w:w="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677,281</w:t>
            </w:r>
          </w:p>
        </w:tc>
        <w:tc>
          <w:tcPr>
            <w:tcW w:w="120" w:type="dxa"/>
            <w:vAlign w:val="bottom"/>
            <w:shd w:val="clear" w:color="auto" w:fill="CEFFE7"/>
          </w:tcPr>
          <w:p>
            <w:pPr>
              <w:spacing w:after="0"/>
              <w:rPr>
                <w:sz w:val="17"/>
                <w:szCs w:val="17"/>
                <w:color w:val="auto"/>
              </w:rPr>
            </w:pPr>
          </w:p>
        </w:tc>
        <w:tc>
          <w:tcPr>
            <w:tcW w:w="2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434,358</w:t>
            </w:r>
          </w:p>
        </w:tc>
        <w:tc>
          <w:tcPr>
            <w:tcW w:w="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436,245</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415,932</w:t>
            </w:r>
          </w:p>
        </w:tc>
        <w:tc>
          <w:tcPr>
            <w:tcW w:w="106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7,373,587</w:t>
            </w:r>
          </w:p>
        </w:tc>
        <w:tc>
          <w:tcPr>
            <w:tcW w:w="102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7,041,185</w:t>
            </w:r>
          </w:p>
        </w:tc>
        <w:tc>
          <w:tcPr>
            <w:tcW w:w="9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6,590,392</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and Quantities Sold</w:t>
            </w:r>
          </w:p>
        </w:tc>
        <w:tc>
          <w:tcPr>
            <w:tcW w:w="200" w:type="dxa"/>
            <w:vAlign w:val="bottom"/>
            <w:tcBorders>
              <w:bottom w:val="single" w:sz="8" w:color="auto"/>
            </w:tcBorders>
            <w:vMerge w:val="continue"/>
            <w:shd w:val="clear" w:color="auto" w:fill="CEFFE7"/>
          </w:tcPr>
          <w:p>
            <w:pPr>
              <w:spacing w:after="0"/>
              <w:rPr>
                <w:sz w:val="19"/>
                <w:szCs w:val="19"/>
                <w:color w:val="auto"/>
              </w:rPr>
            </w:pPr>
          </w:p>
        </w:tc>
        <w:tc>
          <w:tcPr>
            <w:tcW w:w="68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0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4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200" w:type="dxa"/>
            <w:vAlign w:val="bottom"/>
            <w:tcBorders>
              <w:bottom w:val="single" w:sz="8" w:color="auto"/>
            </w:tcBorders>
            <w:vMerge w:val="continue"/>
            <w:shd w:val="clear" w:color="auto" w:fill="CEFFE7"/>
          </w:tcPr>
          <w:p>
            <w:pPr>
              <w:spacing w:after="0"/>
              <w:rPr>
                <w:sz w:val="19"/>
                <w:szCs w:val="19"/>
                <w:color w:val="auto"/>
              </w:rPr>
            </w:pPr>
          </w:p>
        </w:tc>
        <w:tc>
          <w:tcPr>
            <w:tcW w:w="68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660" w:type="dxa"/>
            <w:vAlign w:val="bottom"/>
            <w:tcBorders>
              <w:bottom w:val="single" w:sz="8" w:color="auto"/>
            </w:tcBorders>
            <w:vMerge w:val="continue"/>
            <w:shd w:val="clear" w:color="auto" w:fill="CEFFE7"/>
          </w:tcPr>
          <w:p>
            <w:pPr>
              <w:spacing w:after="0"/>
              <w:rPr>
                <w:sz w:val="19"/>
                <w:szCs w:val="19"/>
                <w:color w:val="auto"/>
              </w:rPr>
            </w:pPr>
          </w:p>
        </w:tc>
        <w:tc>
          <w:tcPr>
            <w:tcW w:w="220" w:type="dxa"/>
            <w:vAlign w:val="bottom"/>
            <w:tcBorders>
              <w:bottom w:val="single" w:sz="8" w:color="auto"/>
            </w:tcBorders>
            <w:vMerge w:val="continue"/>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1060" w:type="dxa"/>
            <w:vAlign w:val="bottom"/>
            <w:tcBorders>
              <w:bottom w:val="single" w:sz="8" w:color="auto"/>
            </w:tcBorders>
            <w:vMerge w:val="continue"/>
            <w:shd w:val="clear" w:color="auto" w:fill="CEFFE7"/>
          </w:tcPr>
          <w:p>
            <w:pPr>
              <w:spacing w:after="0"/>
              <w:rPr>
                <w:sz w:val="19"/>
                <w:szCs w:val="19"/>
                <w:color w:val="auto"/>
              </w:rPr>
            </w:pPr>
          </w:p>
        </w:tc>
        <w:tc>
          <w:tcPr>
            <w:tcW w:w="1020" w:type="dxa"/>
            <w:vAlign w:val="bottom"/>
            <w:tcBorders>
              <w:bottom w:val="single" w:sz="8" w:color="auto"/>
            </w:tcBorders>
            <w:vMerge w:val="continue"/>
            <w:shd w:val="clear" w:color="auto" w:fill="CEFFE7"/>
          </w:tcPr>
          <w:p>
            <w:pPr>
              <w:spacing w:after="0"/>
              <w:rPr>
                <w:sz w:val="19"/>
                <w:szCs w:val="19"/>
                <w:color w:val="auto"/>
              </w:rPr>
            </w:pPr>
          </w:p>
        </w:tc>
        <w:tc>
          <w:tcPr>
            <w:tcW w:w="94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9"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is approximately 6%, 6%, and 7% for South Dakota Electric, Wyoming Electric, and Colorado Electric, respectively.</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60" w:type="dxa"/>
            <w:vAlign w:val="bottom"/>
          </w:tcPr>
          <w:p>
            <w:pPr>
              <w:jc w:val="right"/>
              <w:ind w:right="799"/>
              <w:spacing w:after="0"/>
              <w:rPr>
                <w:sz w:val="20"/>
                <w:szCs w:val="20"/>
                <w:color w:val="auto"/>
              </w:rPr>
            </w:pPr>
            <w:r>
              <w:rPr>
                <w:rFonts w:ascii="Arial" w:cs="Arial" w:eastAsia="Arial" w:hAnsi="Arial"/>
                <w:sz w:val="16"/>
                <w:szCs w:val="16"/>
                <w:color w:val="auto"/>
              </w:rPr>
              <w:t>2018</w:t>
            </w:r>
          </w:p>
        </w:tc>
        <w:tc>
          <w:tcPr>
            <w:tcW w:w="1560" w:type="dxa"/>
            <w:vAlign w:val="bottom"/>
          </w:tcPr>
          <w:p>
            <w:pPr>
              <w:jc w:val="right"/>
              <w:ind w:right="779"/>
              <w:spacing w:after="0"/>
              <w:rPr>
                <w:sz w:val="20"/>
                <w:szCs w:val="20"/>
                <w:color w:val="auto"/>
              </w:rPr>
            </w:pPr>
            <w:r>
              <w:rPr>
                <w:rFonts w:ascii="Arial" w:cs="Arial" w:eastAsia="Arial" w:hAnsi="Arial"/>
                <w:sz w:val="16"/>
                <w:szCs w:val="16"/>
                <w:color w:val="auto"/>
              </w:rPr>
              <w:t>2017</w:t>
            </w:r>
          </w:p>
        </w:tc>
        <w:tc>
          <w:tcPr>
            <w:tcW w:w="1240" w:type="dxa"/>
            <w:vAlign w:val="bottom"/>
          </w:tcPr>
          <w:p>
            <w:pPr>
              <w:jc w:val="right"/>
              <w:ind w:right="499"/>
              <w:spacing w:after="0"/>
              <w:rPr>
                <w:sz w:val="20"/>
                <w:szCs w:val="20"/>
                <w:color w:val="auto"/>
              </w:rPr>
            </w:pPr>
            <w:r>
              <w:rPr>
                <w:rFonts w:ascii="Arial" w:cs="Arial" w:eastAsia="Arial" w:hAnsi="Arial"/>
                <w:sz w:val="16"/>
                <w:szCs w:val="16"/>
                <w:color w:val="auto"/>
              </w:rPr>
              <w:t>2016</w:t>
            </w:r>
          </w:p>
        </w:tc>
      </w:tr>
      <w:tr>
        <w:trPr>
          <w:trHeight w:val="33"/>
        </w:trPr>
        <w:tc>
          <w:tcPr>
            <w:tcW w:w="6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240" w:type="dxa"/>
            <w:vAlign w:val="bottom"/>
            <w:shd w:val="clear" w:color="auto" w:fill="CEFFE7"/>
          </w:tcPr>
          <w:p>
            <w:pPr>
              <w:spacing w:after="0"/>
              <w:rPr>
                <w:sz w:val="19"/>
                <w:szCs w:val="19"/>
                <w:color w:val="auto"/>
              </w:rPr>
            </w:pP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Coal-fired</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2,368,506</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2,230,617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2,201,757</w:t>
            </w:r>
          </w:p>
        </w:tc>
      </w:tr>
      <w:tr>
        <w:trPr>
          <w:trHeight w:val="33"/>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6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and Oil</w:t>
            </w:r>
          </w:p>
        </w:tc>
        <w:tc>
          <w:tcPr>
            <w:tcW w:w="186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446,373</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307,815</w:t>
            </w:r>
          </w:p>
        </w:tc>
        <w:tc>
          <w:tcPr>
            <w:tcW w:w="1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343,001</w:t>
            </w: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Wind</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253,180</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239,472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80,582</w:t>
            </w:r>
          </w:p>
        </w:tc>
      </w:tr>
      <w:tr>
        <w:trPr>
          <w:trHeight w:val="33"/>
        </w:trPr>
        <w:tc>
          <w:tcPr>
            <w:tcW w:w="67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Generated</w:t>
            </w:r>
          </w:p>
        </w:tc>
        <w:tc>
          <w:tcPr>
            <w:tcW w:w="186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3,068,059</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2,777,904</w:t>
            </w:r>
          </w:p>
        </w:tc>
        <w:tc>
          <w:tcPr>
            <w:tcW w:w="1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2,625,340</w:t>
            </w: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4,305,528</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4,263,281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3,965,052</w:t>
            </w:r>
          </w:p>
        </w:tc>
      </w:tr>
      <w:tr>
        <w:trPr>
          <w:trHeight w:val="33"/>
        </w:trPr>
        <w:tc>
          <w:tcPr>
            <w:tcW w:w="670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186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7,373,587</w:t>
            </w:r>
          </w:p>
        </w:tc>
        <w:tc>
          <w:tcPr>
            <w:tcW w:w="15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7,041,185</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6,590,392</w:t>
            </w:r>
          </w:p>
        </w:tc>
      </w:tr>
      <w:tr>
        <w:trPr>
          <w:trHeight w:val="20"/>
        </w:trPr>
        <w:tc>
          <w:tcPr>
            <w:tcW w:w="67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4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80" w:type="dxa"/>
            <w:vAlign w:val="bottom"/>
          </w:tcPr>
          <w:p>
            <w:pPr>
              <w:jc w:val="right"/>
              <w:ind w:right="759"/>
              <w:spacing w:after="0"/>
              <w:rPr>
                <w:sz w:val="20"/>
                <w:szCs w:val="20"/>
                <w:color w:val="auto"/>
              </w:rPr>
            </w:pPr>
            <w:r>
              <w:rPr>
                <w:rFonts w:ascii="Arial" w:cs="Arial" w:eastAsia="Arial" w:hAnsi="Arial"/>
                <w:sz w:val="16"/>
                <w:szCs w:val="16"/>
                <w:color w:val="auto"/>
              </w:rPr>
              <w:t>2018</w:t>
            </w:r>
          </w:p>
        </w:tc>
        <w:tc>
          <w:tcPr>
            <w:tcW w:w="1560" w:type="dxa"/>
            <w:vAlign w:val="bottom"/>
          </w:tcPr>
          <w:p>
            <w:pPr>
              <w:jc w:val="right"/>
              <w:ind w:right="759"/>
              <w:spacing w:after="0"/>
              <w:rPr>
                <w:sz w:val="20"/>
                <w:szCs w:val="20"/>
                <w:color w:val="auto"/>
              </w:rPr>
            </w:pPr>
            <w:r>
              <w:rPr>
                <w:rFonts w:ascii="Arial" w:cs="Arial" w:eastAsia="Arial" w:hAnsi="Arial"/>
                <w:sz w:val="16"/>
                <w:szCs w:val="16"/>
                <w:color w:val="auto"/>
              </w:rPr>
              <w:t>2017</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2016</w:t>
            </w:r>
          </w:p>
        </w:tc>
      </w:tr>
      <w:tr>
        <w:trPr>
          <w:trHeight w:val="33"/>
        </w:trPr>
        <w:tc>
          <w:tcPr>
            <w:tcW w:w="34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Generated:</w:t>
            </w:r>
          </w:p>
        </w:tc>
        <w:tc>
          <w:tcPr>
            <w:tcW w:w="17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r>
      <w:tr>
        <w:trPr>
          <w:trHeight w:val="224"/>
        </w:trPr>
        <w:tc>
          <w:tcPr>
            <w:tcW w:w="340" w:type="dxa"/>
            <w:vAlign w:val="bottom"/>
          </w:tcPr>
          <w:p>
            <w:pPr>
              <w:spacing w:after="0"/>
              <w:rPr>
                <w:sz w:val="19"/>
                <w:szCs w:val="19"/>
                <w:color w:val="auto"/>
              </w:rPr>
            </w:pPr>
          </w:p>
        </w:tc>
        <w:tc>
          <w:tcPr>
            <w:tcW w:w="6440" w:type="dxa"/>
            <w:vAlign w:val="bottom"/>
            <w:gridSpan w:val="2"/>
          </w:tcPr>
          <w:p>
            <w:pPr>
              <w:ind w:left="260"/>
              <w:spacing w:after="0"/>
              <w:rPr>
                <w:sz w:val="20"/>
                <w:szCs w:val="20"/>
                <w:color w:val="auto"/>
              </w:rPr>
            </w:pPr>
            <w:r>
              <w:rPr>
                <w:rFonts w:ascii="Arial" w:cs="Arial" w:eastAsia="Arial" w:hAnsi="Arial"/>
                <w:sz w:val="16"/>
                <w:szCs w:val="16"/>
                <w:color w:val="auto"/>
              </w:rPr>
              <w:t>South Dakota Electric</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1,734,222</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1,581,915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1,585,870</w:t>
            </w:r>
          </w:p>
        </w:tc>
      </w:tr>
      <w:tr>
        <w:trPr>
          <w:trHeight w:val="33"/>
        </w:trPr>
        <w:tc>
          <w:tcPr>
            <w:tcW w:w="3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4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852,391</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798,024</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805,351</w:t>
            </w:r>
          </w:p>
        </w:tc>
      </w:tr>
      <w:tr>
        <w:trPr>
          <w:trHeight w:val="224"/>
        </w:trPr>
        <w:tc>
          <w:tcPr>
            <w:tcW w:w="340" w:type="dxa"/>
            <w:vAlign w:val="bottom"/>
          </w:tcPr>
          <w:p>
            <w:pPr>
              <w:spacing w:after="0"/>
              <w:rPr>
                <w:sz w:val="19"/>
                <w:szCs w:val="19"/>
                <w:color w:val="auto"/>
              </w:rPr>
            </w:pPr>
          </w:p>
        </w:tc>
        <w:tc>
          <w:tcPr>
            <w:tcW w:w="6440" w:type="dxa"/>
            <w:vAlign w:val="bottom"/>
            <w:gridSpan w:val="2"/>
          </w:tcPr>
          <w:p>
            <w:pPr>
              <w:ind w:left="260"/>
              <w:spacing w:after="0"/>
              <w:rPr>
                <w:sz w:val="20"/>
                <w:szCs w:val="20"/>
                <w:color w:val="auto"/>
              </w:rPr>
            </w:pPr>
            <w:r>
              <w:rPr>
                <w:rFonts w:ascii="Arial" w:cs="Arial" w:eastAsia="Arial" w:hAnsi="Arial"/>
                <w:sz w:val="16"/>
                <w:szCs w:val="16"/>
                <w:color w:val="auto"/>
              </w:rPr>
              <w:t>Colorado Electric</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481,446</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397,965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234,119</w:t>
            </w:r>
          </w:p>
        </w:tc>
      </w:tr>
      <w:tr>
        <w:trPr>
          <w:trHeight w:val="33"/>
        </w:trPr>
        <w:tc>
          <w:tcPr>
            <w:tcW w:w="340" w:type="dxa"/>
            <w:vAlign w:val="bottom"/>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44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1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3,068,059</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2,777,904</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2,625,340</w:t>
            </w:r>
          </w:p>
        </w:tc>
      </w:tr>
      <w:tr>
        <w:trPr>
          <w:trHeight w:val="217"/>
        </w:trPr>
        <w:tc>
          <w:tcPr>
            <w:tcW w:w="34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17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4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South Dakota Electric</w:t>
            </w:r>
          </w:p>
        </w:tc>
        <w:tc>
          <w:tcPr>
            <w:tcW w:w="1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1,626,174</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1,605,477</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1,181,445</w:t>
            </w:r>
          </w:p>
        </w:tc>
      </w:tr>
      <w:tr>
        <w:trPr>
          <w:trHeight w:val="224"/>
        </w:trPr>
        <w:tc>
          <w:tcPr>
            <w:tcW w:w="340" w:type="dxa"/>
            <w:vAlign w:val="bottom"/>
          </w:tcPr>
          <w:p>
            <w:pPr>
              <w:spacing w:after="0"/>
              <w:rPr>
                <w:sz w:val="19"/>
                <w:szCs w:val="19"/>
                <w:color w:val="auto"/>
              </w:rPr>
            </w:pPr>
          </w:p>
        </w:tc>
        <w:tc>
          <w:tcPr>
            <w:tcW w:w="6440" w:type="dxa"/>
            <w:vAlign w:val="bottom"/>
            <w:gridSpan w:val="2"/>
          </w:tcPr>
          <w:p>
            <w:pPr>
              <w:ind w:left="260"/>
              <w:spacing w:after="0"/>
              <w:rPr>
                <w:sz w:val="20"/>
                <w:szCs w:val="20"/>
                <w:color w:val="auto"/>
              </w:rPr>
            </w:pPr>
            <w:r>
              <w:rPr>
                <w:rFonts w:ascii="Arial" w:cs="Arial" w:eastAsia="Arial" w:hAnsi="Arial"/>
                <w:sz w:val="16"/>
                <w:szCs w:val="16"/>
                <w:color w:val="auto"/>
              </w:rPr>
              <w:t>Wyoming Electric</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1,008,882</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964,093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872,070</w:t>
            </w:r>
          </w:p>
        </w:tc>
      </w:tr>
      <w:tr>
        <w:trPr>
          <w:trHeight w:val="33"/>
        </w:trPr>
        <w:tc>
          <w:tcPr>
            <w:tcW w:w="3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64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1,670,472</w:t>
            </w:r>
          </w:p>
        </w:tc>
        <w:tc>
          <w:tcPr>
            <w:tcW w:w="15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1,693,711</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1,911,537</w:t>
            </w:r>
          </w:p>
        </w:tc>
      </w:tr>
      <w:tr>
        <w:trPr>
          <w:trHeight w:val="217"/>
        </w:trPr>
        <w:tc>
          <w:tcPr>
            <w:tcW w:w="34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Arial" w:cs="Arial" w:eastAsia="Arial" w:hAnsi="Arial"/>
                <w:sz w:val="16"/>
                <w:szCs w:val="16"/>
                <w:color w:val="auto"/>
              </w:rPr>
              <w:t>Total Purchased</w:t>
            </w:r>
          </w:p>
        </w:tc>
        <w:tc>
          <w:tcPr>
            <w:tcW w:w="1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4,305,528</w:t>
            </w:r>
          </w:p>
        </w:tc>
        <w:tc>
          <w:tcPr>
            <w:tcW w:w="15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4,263,281</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3,965,052</w:t>
            </w:r>
          </w:p>
        </w:tc>
      </w:tr>
      <w:tr>
        <w:trPr>
          <w:trHeight w:val="33"/>
        </w:trPr>
        <w:tc>
          <w:tcPr>
            <w:tcW w:w="340" w:type="dxa"/>
            <w:vAlign w:val="bottom"/>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30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1780" w:type="dxa"/>
            <w:vAlign w:val="bottom"/>
            <w:shd w:val="clear" w:color="auto" w:fill="CEFFE7"/>
          </w:tcPr>
          <w:p>
            <w:pPr>
              <w:spacing w:after="0"/>
              <w:rPr>
                <w:sz w:val="21"/>
                <w:szCs w:val="21"/>
                <w:color w:val="auto"/>
              </w:rPr>
            </w:pPr>
          </w:p>
        </w:tc>
        <w:tc>
          <w:tcPr>
            <w:tcW w:w="1560" w:type="dxa"/>
            <w:vAlign w:val="bottom"/>
            <w:shd w:val="clear" w:color="auto" w:fill="CEFFE7"/>
          </w:tcPr>
          <w:p>
            <w:pPr>
              <w:spacing w:after="0"/>
              <w:rPr>
                <w:sz w:val="21"/>
                <w:szCs w:val="21"/>
                <w:color w:val="auto"/>
              </w:rPr>
            </w:pPr>
          </w:p>
        </w:tc>
        <w:tc>
          <w:tcPr>
            <w:tcW w:w="1300" w:type="dxa"/>
            <w:vAlign w:val="bottom"/>
            <w:shd w:val="clear" w:color="auto" w:fill="CEFFE7"/>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6440" w:type="dxa"/>
            <w:vAlign w:val="bottom"/>
            <w:gridSpan w:val="2"/>
          </w:tcPr>
          <w:p>
            <w:pPr>
              <w:ind w:left="260"/>
              <w:spacing w:after="0"/>
              <w:rPr>
                <w:sz w:val="20"/>
                <w:szCs w:val="20"/>
                <w:color w:val="auto"/>
              </w:rPr>
            </w:pPr>
            <w:r>
              <w:rPr>
                <w:rFonts w:ascii="Arial" w:cs="Arial" w:eastAsia="Arial" w:hAnsi="Arial"/>
                <w:sz w:val="16"/>
                <w:szCs w:val="16"/>
                <w:color w:val="auto"/>
              </w:rPr>
              <w:t>Total Generated and Purchased</w:t>
            </w: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7,373,587</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7,041,185</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6,590,392</w:t>
            </w:r>
          </w:p>
        </w:tc>
      </w:tr>
      <w:tr>
        <w:trPr>
          <w:trHeight w:val="20"/>
        </w:trPr>
        <w:tc>
          <w:tcPr>
            <w:tcW w:w="6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46"/>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Customers at End of Year</w:t>
            </w:r>
          </w:p>
        </w:tc>
        <w:tc>
          <w:tcPr>
            <w:tcW w:w="1780" w:type="dxa"/>
            <w:vAlign w:val="bottom"/>
          </w:tcPr>
          <w:p>
            <w:pPr>
              <w:jc w:val="right"/>
              <w:ind w:right="879"/>
              <w:spacing w:after="0"/>
              <w:rPr>
                <w:sz w:val="20"/>
                <w:szCs w:val="20"/>
                <w:color w:val="auto"/>
              </w:rPr>
            </w:pPr>
            <w:r>
              <w:rPr>
                <w:rFonts w:ascii="Arial" w:cs="Arial" w:eastAsia="Arial" w:hAnsi="Arial"/>
                <w:sz w:val="16"/>
                <w:szCs w:val="16"/>
                <w:color w:val="auto"/>
              </w:rPr>
              <w:t>2018</w:t>
            </w:r>
          </w:p>
        </w:tc>
        <w:tc>
          <w:tcPr>
            <w:tcW w:w="1560" w:type="dxa"/>
            <w:vAlign w:val="bottom"/>
          </w:tcPr>
          <w:p>
            <w:pPr>
              <w:jc w:val="right"/>
              <w:ind w:right="839"/>
              <w:spacing w:after="0"/>
              <w:rPr>
                <w:sz w:val="20"/>
                <w:szCs w:val="20"/>
                <w:color w:val="auto"/>
              </w:rPr>
            </w:pPr>
            <w:r>
              <w:rPr>
                <w:rFonts w:ascii="Arial" w:cs="Arial" w:eastAsia="Arial" w:hAnsi="Arial"/>
                <w:sz w:val="16"/>
                <w:szCs w:val="16"/>
                <w:color w:val="auto"/>
              </w:rPr>
              <w:t>2017</w:t>
            </w: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2016</w:t>
            </w:r>
          </w:p>
        </w:tc>
      </w:tr>
      <w:tr>
        <w:trPr>
          <w:trHeight w:val="33"/>
        </w:trPr>
        <w:tc>
          <w:tcPr>
            <w:tcW w:w="6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7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181,459</w:t>
            </w:r>
          </w:p>
        </w:tc>
        <w:tc>
          <w:tcPr>
            <w:tcW w:w="15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179,911</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178,333</w:t>
            </w:r>
          </w:p>
        </w:tc>
      </w:tr>
      <w:tr>
        <w:trPr>
          <w:trHeight w:val="224"/>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Commercial</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29,299</w:t>
            </w:r>
          </w:p>
        </w:tc>
        <w:tc>
          <w:tcPr>
            <w:tcW w:w="1560" w:type="dxa"/>
            <w:vAlign w:val="bottom"/>
          </w:tcPr>
          <w:p>
            <w:pPr>
              <w:jc w:val="right"/>
              <w:ind w:right="299"/>
              <w:spacing w:after="0"/>
              <w:rPr>
                <w:sz w:val="20"/>
                <w:szCs w:val="20"/>
                <w:color w:val="auto"/>
              </w:rPr>
            </w:pPr>
            <w:r>
              <w:rPr>
                <w:rFonts w:ascii="Arial" w:cs="Arial" w:eastAsia="Arial" w:hAnsi="Arial"/>
                <w:sz w:val="16"/>
                <w:szCs w:val="16"/>
                <w:color w:val="auto"/>
              </w:rPr>
              <w:t>29,354</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29,086</w:t>
            </w:r>
          </w:p>
        </w:tc>
      </w:tr>
      <w:tr>
        <w:trPr>
          <w:trHeight w:val="33"/>
        </w:trPr>
        <w:tc>
          <w:tcPr>
            <w:tcW w:w="6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7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84</w:t>
            </w:r>
          </w:p>
        </w:tc>
        <w:tc>
          <w:tcPr>
            <w:tcW w:w="15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86</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88</w:t>
            </w:r>
          </w:p>
        </w:tc>
      </w:tr>
      <w:tr>
        <w:trPr>
          <w:trHeight w:val="224"/>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1,030</w:t>
            </w:r>
          </w:p>
        </w:tc>
        <w:tc>
          <w:tcPr>
            <w:tcW w:w="1560" w:type="dxa"/>
            <w:vAlign w:val="bottom"/>
          </w:tcPr>
          <w:p>
            <w:pPr>
              <w:jc w:val="right"/>
              <w:ind w:right="299"/>
              <w:spacing w:after="0"/>
              <w:rPr>
                <w:sz w:val="20"/>
                <w:szCs w:val="20"/>
                <w:color w:val="auto"/>
              </w:rPr>
            </w:pPr>
            <w:r>
              <w:rPr>
                <w:rFonts w:ascii="Arial" w:cs="Arial" w:eastAsia="Arial" w:hAnsi="Arial"/>
                <w:sz w:val="16"/>
                <w:szCs w:val="16"/>
                <w:color w:val="auto"/>
              </w:rPr>
              <w:t>914</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1,001</w:t>
            </w:r>
          </w:p>
        </w:tc>
      </w:tr>
      <w:tr>
        <w:trPr>
          <w:trHeight w:val="33"/>
        </w:trPr>
        <w:tc>
          <w:tcPr>
            <w:tcW w:w="6640" w:type="dxa"/>
            <w:vAlign w:val="bottom"/>
            <w:tcBorders>
              <w:bottom w:val="single" w:sz="8" w:color="CEFFE7"/>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Electric Customers at End of Year</w:t>
            </w:r>
          </w:p>
        </w:tc>
        <w:tc>
          <w:tcPr>
            <w:tcW w:w="140" w:type="dxa"/>
            <w:vAlign w:val="bottom"/>
            <w:tcBorders>
              <w:bottom w:val="single" w:sz="8" w:color="auto"/>
            </w:tcBorders>
            <w:shd w:val="clear" w:color="auto" w:fill="CEFFE7"/>
          </w:tcPr>
          <w:p>
            <w:pPr>
              <w:spacing w:after="0"/>
              <w:rPr>
                <w:sz w:val="21"/>
                <w:szCs w:val="21"/>
                <w:color w:val="auto"/>
              </w:rPr>
            </w:pPr>
          </w:p>
        </w:tc>
        <w:tc>
          <w:tcPr>
            <w:tcW w:w="1780" w:type="dxa"/>
            <w:vAlign w:val="bottom"/>
            <w:tcBorders>
              <w:bottom w:val="single" w:sz="8" w:color="auto"/>
            </w:tcBorders>
            <w:shd w:val="clear" w:color="auto" w:fill="CEFFE7"/>
          </w:tcPr>
          <w:p>
            <w:pPr>
              <w:jc w:val="right"/>
              <w:ind w:right="359"/>
              <w:spacing w:after="0"/>
              <w:rPr>
                <w:sz w:val="20"/>
                <w:szCs w:val="20"/>
                <w:color w:val="auto"/>
              </w:rPr>
            </w:pPr>
            <w:r>
              <w:rPr>
                <w:rFonts w:ascii="Arial" w:cs="Arial" w:eastAsia="Arial" w:hAnsi="Arial"/>
                <w:sz w:val="16"/>
                <w:szCs w:val="16"/>
                <w:color w:val="auto"/>
              </w:rPr>
              <w:t>211,872</w:t>
            </w:r>
          </w:p>
        </w:tc>
        <w:tc>
          <w:tcPr>
            <w:tcW w:w="15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210,265</w:t>
            </w:r>
          </w:p>
        </w:tc>
        <w:tc>
          <w:tcPr>
            <w:tcW w:w="1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208,508</w:t>
            </w:r>
          </w:p>
        </w:tc>
      </w:tr>
      <w:tr>
        <w:trPr>
          <w:trHeight w:val="20"/>
        </w:trPr>
        <w:tc>
          <w:tcPr>
            <w:tcW w:w="66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62"/>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Customers at End of Year</w:t>
            </w:r>
          </w:p>
        </w:tc>
        <w:tc>
          <w:tcPr>
            <w:tcW w:w="1780" w:type="dxa"/>
            <w:vAlign w:val="bottom"/>
          </w:tcPr>
          <w:p>
            <w:pPr>
              <w:jc w:val="right"/>
              <w:ind w:right="879"/>
              <w:spacing w:after="0"/>
              <w:rPr>
                <w:sz w:val="20"/>
                <w:szCs w:val="20"/>
                <w:color w:val="auto"/>
              </w:rPr>
            </w:pPr>
            <w:r>
              <w:rPr>
                <w:rFonts w:ascii="Arial" w:cs="Arial" w:eastAsia="Arial" w:hAnsi="Arial"/>
                <w:sz w:val="16"/>
                <w:szCs w:val="16"/>
                <w:color w:val="auto"/>
              </w:rPr>
              <w:t>2018</w:t>
            </w:r>
          </w:p>
        </w:tc>
        <w:tc>
          <w:tcPr>
            <w:tcW w:w="1560" w:type="dxa"/>
            <w:vAlign w:val="bottom"/>
          </w:tcPr>
          <w:p>
            <w:pPr>
              <w:jc w:val="right"/>
              <w:ind w:right="839"/>
              <w:spacing w:after="0"/>
              <w:rPr>
                <w:sz w:val="20"/>
                <w:szCs w:val="20"/>
                <w:color w:val="auto"/>
              </w:rPr>
            </w:pPr>
            <w:r>
              <w:rPr>
                <w:rFonts w:ascii="Arial" w:cs="Arial" w:eastAsia="Arial" w:hAnsi="Arial"/>
                <w:sz w:val="16"/>
                <w:szCs w:val="16"/>
                <w:color w:val="auto"/>
              </w:rPr>
              <w:t>2017</w:t>
            </w: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2016</w:t>
            </w:r>
          </w:p>
        </w:tc>
      </w:tr>
      <w:tr>
        <w:trPr>
          <w:trHeight w:val="33"/>
        </w:trPr>
        <w:tc>
          <w:tcPr>
            <w:tcW w:w="678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7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72,533</w:t>
            </w:r>
          </w:p>
        </w:tc>
        <w:tc>
          <w:tcPr>
            <w:tcW w:w="15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72,184</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71,353</w:t>
            </w:r>
          </w:p>
        </w:tc>
      </w:tr>
      <w:tr>
        <w:trPr>
          <w:trHeight w:val="224"/>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Wyoming Electric</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42,694</w:t>
            </w:r>
          </w:p>
        </w:tc>
        <w:tc>
          <w:tcPr>
            <w:tcW w:w="1560" w:type="dxa"/>
            <w:vAlign w:val="bottom"/>
          </w:tcPr>
          <w:p>
            <w:pPr>
              <w:jc w:val="right"/>
              <w:ind w:right="299"/>
              <w:spacing w:after="0"/>
              <w:rPr>
                <w:sz w:val="20"/>
                <w:szCs w:val="20"/>
                <w:color w:val="auto"/>
              </w:rPr>
            </w:pPr>
            <w:r>
              <w:rPr>
                <w:rFonts w:ascii="Arial" w:cs="Arial" w:eastAsia="Arial" w:hAnsi="Arial"/>
                <w:sz w:val="16"/>
                <w:szCs w:val="16"/>
                <w:color w:val="auto"/>
              </w:rPr>
              <w:t>42,130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41,531</w:t>
            </w:r>
          </w:p>
        </w:tc>
      </w:tr>
      <w:tr>
        <w:trPr>
          <w:trHeight w:val="33"/>
        </w:trPr>
        <w:tc>
          <w:tcPr>
            <w:tcW w:w="6780" w:type="dxa"/>
            <w:vAlign w:val="bottom"/>
            <w:gridSpan w:val="3"/>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Colorado Electric</w:t>
            </w:r>
          </w:p>
        </w:tc>
        <w:tc>
          <w:tcPr>
            <w:tcW w:w="140" w:type="dxa"/>
            <w:vAlign w:val="bottom"/>
            <w:tcBorders>
              <w:bottom w:val="single" w:sz="8" w:color="CEFFE7"/>
            </w:tcBorders>
            <w:shd w:val="clear" w:color="auto" w:fill="CEFFE7"/>
          </w:tcPr>
          <w:p>
            <w:pPr>
              <w:spacing w:after="0"/>
              <w:rPr>
                <w:sz w:val="22"/>
                <w:szCs w:val="22"/>
                <w:color w:val="auto"/>
              </w:rPr>
            </w:pPr>
          </w:p>
        </w:tc>
        <w:tc>
          <w:tcPr>
            <w:tcW w:w="17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96,645</w:t>
            </w:r>
          </w:p>
        </w:tc>
        <w:tc>
          <w:tcPr>
            <w:tcW w:w="15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95,951</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95,624</w:t>
            </w:r>
          </w:p>
        </w:tc>
      </w:tr>
      <w:tr>
        <w:trPr>
          <w:trHeight w:val="244"/>
        </w:trPr>
        <w:tc>
          <w:tcPr>
            <w:tcW w:w="6640" w:type="dxa"/>
            <w:vAlign w:val="bottom"/>
            <w:gridSpan w:val="2"/>
          </w:tcPr>
          <w:p>
            <w:pPr>
              <w:ind w:left="280"/>
              <w:spacing w:after="0"/>
              <w:rPr>
                <w:sz w:val="20"/>
                <w:szCs w:val="20"/>
                <w:color w:val="auto"/>
              </w:rPr>
            </w:pPr>
            <w:r>
              <w:rPr>
                <w:rFonts w:ascii="Arial" w:cs="Arial" w:eastAsia="Arial" w:hAnsi="Arial"/>
                <w:sz w:val="16"/>
                <w:szCs w:val="16"/>
                <w:color w:val="auto"/>
              </w:rPr>
              <w:t>Total Electric Customers at End of Year</w:t>
            </w:r>
          </w:p>
        </w:tc>
        <w:tc>
          <w:tcPr>
            <w:tcW w:w="14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211,872</w:t>
            </w:r>
          </w:p>
        </w:tc>
        <w:tc>
          <w:tcPr>
            <w:tcW w:w="1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210,265</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208,508</w:t>
            </w:r>
          </w:p>
        </w:tc>
      </w:tr>
      <w:tr>
        <w:trPr>
          <w:trHeight w:val="20"/>
        </w:trPr>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Gas Utilities Segment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conduct natural gas utility operations through our Arkansas, Colorado, Iowa, Kansas, Nebraska and Wyoming subsidiaries. Our Gas Utilities transport and distribute natural gas through our distribution network to approximately 1,054,000 customers. Additionally, we sell contractual pipeline capacity and gas commodities to other utilities and marketing companies, including our affiliates, on an as-available basis.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provide non-regulated services through Black Hills Energy Services. Black Hills Energy Services has approximately 47,000 retail distribution customers in Nebraska and Wyoming providing unbundled natural gas commodity offerings under the regulatory-approved Choice Gas Program. We also sell, install and service air, heating and water-heating equipment, and provide associated repair service and appliance protection plans under various trade names. Service Guard and CAPP provide appliance repair services to approximately 62,000 and 28,000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 with Colorado Interstate Gas Company, Enable Gas Transmission, Tallgrass Interstate Gas Transmission, Natural Gas Pipeline Company of America, Northern Natural Gas, Panhandle Eastern Pipeline Company, Southern Star Central Gas Pipeline, Black Hills Shoshone Pipeline, TransColorado Gas Transmission, WBI Energy Transmission, Rocky Mountain Natural Gas, Ozark Gas Transmission, Liberty Utilities, Texas Eastern Transmission Pipeline, WestGas InterState Pipeline, Public Service Company of Colorado and Red Cedar Gas Gathering.</w:t>
      </w:r>
    </w:p>
    <w:p>
      <w:pPr>
        <w:spacing w:after="0" w:line="18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addition to company-owned storage assets in Arkansas, Colorado and Wyoming, we also contract with many of the third-party transportation providers noted above for natural gas storage service to provide gas supply during the winter heating season and to meet peak day customer demand for natural gas.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our regulated underground gas storage facilities as of December 31, 2018:</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Working Capacity</w:t>
            </w: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w w:val="98"/>
              </w:rPr>
              <w:t>Maximum Daily Withdrawal</w:t>
            </w:r>
          </w:p>
        </w:tc>
      </w:tr>
      <w:tr>
        <w:trPr>
          <w:trHeight w:val="25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State</w:t>
            </w:r>
          </w:p>
        </w:tc>
        <w:tc>
          <w:tcPr>
            <w:tcW w:w="1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(Mcf)</w:t>
            </w:r>
          </w:p>
        </w:tc>
        <w:tc>
          <w:tcPr>
            <w:tcW w:w="182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94"/>
              </w:rPr>
              <w:t xml:space="preserve">Cushion Gas (Mcf) </w:t>
            </w:r>
            <w:r>
              <w:rPr>
                <w:rFonts w:ascii="Arial" w:cs="Arial" w:eastAsia="Arial" w:hAnsi="Arial"/>
                <w:sz w:val="25"/>
                <w:szCs w:val="25"/>
                <w:color w:val="auto"/>
                <w:w w:val="94"/>
                <w:vertAlign w:val="superscript"/>
              </w:rPr>
              <w:t>(a)</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 Capacity (Mcf)</w:t>
            </w: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Capability (Mcfd)</w:t>
            </w:r>
          </w:p>
        </w:tc>
      </w:tr>
      <w:tr>
        <w:trPr>
          <w:trHeight w:val="244"/>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8,442,700</w:t>
            </w:r>
          </w:p>
        </w:tc>
        <w:tc>
          <w:tcPr>
            <w:tcW w:w="1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12,950,000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21,392,700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196,000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Colorado</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2,360,895</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6,165,315</w:t>
            </w:r>
          </w:p>
        </w:tc>
        <w:tc>
          <w:tcPr>
            <w:tcW w:w="1740" w:type="dxa"/>
            <w:vAlign w:val="bottom"/>
          </w:tcPr>
          <w:p>
            <w:pPr>
              <w:jc w:val="right"/>
              <w:spacing w:after="0"/>
              <w:rPr>
                <w:sz w:val="20"/>
                <w:szCs w:val="20"/>
                <w:color w:val="auto"/>
              </w:rPr>
            </w:pPr>
            <w:r>
              <w:rPr>
                <w:rFonts w:ascii="Arial" w:cs="Arial" w:eastAsia="Arial" w:hAnsi="Arial"/>
                <w:sz w:val="18"/>
                <w:szCs w:val="18"/>
                <w:color w:val="auto"/>
              </w:rPr>
              <w:t>8,526,210</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
        </w:trPr>
        <w:tc>
          <w:tcPr>
            <w:tcW w:w="3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5,733,900</w:t>
            </w:r>
          </w:p>
        </w:tc>
        <w:tc>
          <w:tcPr>
            <w:tcW w:w="1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17,145,600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22,879,500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32,950</w:t>
            </w:r>
          </w:p>
        </w:tc>
      </w:tr>
      <w:tr>
        <w:trPr>
          <w:trHeight w:val="250"/>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16,537,495</w:t>
            </w:r>
          </w:p>
        </w:tc>
        <w:tc>
          <w:tcPr>
            <w:tcW w:w="1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36,260,915</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52,798,410</w:t>
            </w:r>
          </w:p>
        </w:tc>
        <w:tc>
          <w:tcPr>
            <w:tcW w:w="2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8890</wp:posOffset>
            </wp:positionV>
            <wp:extent cx="4810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4810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Cushion gas represents the volume of gas that must be retained in a facility to maintain reservoir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certain operating information for our Gas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System Infrastructure (in line miles) as of</w:t>
            </w:r>
          </w:p>
        </w:tc>
        <w:tc>
          <w:tcPr>
            <w:tcW w:w="2640" w:type="dxa"/>
            <w:vAlign w:val="bottom"/>
          </w:tcPr>
          <w:p>
            <w:pPr>
              <w:jc w:val="right"/>
              <w:ind w:right="850"/>
              <w:spacing w:after="0"/>
              <w:rPr>
                <w:sz w:val="20"/>
                <w:szCs w:val="20"/>
                <w:color w:val="auto"/>
              </w:rPr>
            </w:pPr>
            <w:r>
              <w:rPr>
                <w:rFonts w:ascii="Arial" w:cs="Arial" w:eastAsia="Arial" w:hAnsi="Arial"/>
                <w:sz w:val="18"/>
                <w:szCs w:val="18"/>
                <w:color w:val="auto"/>
              </w:rPr>
              <w:t>Intrastate Gas</w:t>
            </w:r>
          </w:p>
        </w:tc>
        <w:tc>
          <w:tcPr>
            <w:tcW w:w="2400" w:type="dxa"/>
            <w:vAlign w:val="bottom"/>
          </w:tcPr>
          <w:p>
            <w:pPr>
              <w:jc w:val="right"/>
              <w:ind w:right="750"/>
              <w:spacing w:after="0"/>
              <w:rPr>
                <w:sz w:val="20"/>
                <w:szCs w:val="20"/>
                <w:color w:val="auto"/>
              </w:rPr>
            </w:pPr>
            <w:r>
              <w:rPr>
                <w:rFonts w:ascii="Arial" w:cs="Arial" w:eastAsia="Arial" w:hAnsi="Arial"/>
                <w:sz w:val="18"/>
                <w:szCs w:val="18"/>
                <w:color w:val="auto"/>
              </w:rPr>
              <w:t>Gas Distribution</w:t>
            </w:r>
          </w:p>
        </w:tc>
        <w:tc>
          <w:tcPr>
            <w:tcW w:w="2140" w:type="dxa"/>
            <w:vAlign w:val="bottom"/>
          </w:tcPr>
          <w:p>
            <w:pPr>
              <w:jc w:val="right"/>
              <w:ind w:right="510"/>
              <w:spacing w:after="0"/>
              <w:rPr>
                <w:sz w:val="20"/>
                <w:szCs w:val="20"/>
                <w:color w:val="auto"/>
              </w:rPr>
            </w:pPr>
            <w:r>
              <w:rPr>
                <w:rFonts w:ascii="Arial" w:cs="Arial" w:eastAsia="Arial" w:hAnsi="Arial"/>
                <w:sz w:val="18"/>
                <w:szCs w:val="18"/>
                <w:color w:val="auto"/>
              </w:rPr>
              <w:t>Gas Distribution</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2640" w:type="dxa"/>
            <w:vAlign w:val="bottom"/>
          </w:tcPr>
          <w:p>
            <w:pPr>
              <w:jc w:val="right"/>
              <w:ind w:right="510"/>
              <w:spacing w:after="0"/>
              <w:rPr>
                <w:sz w:val="20"/>
                <w:szCs w:val="20"/>
                <w:color w:val="auto"/>
              </w:rPr>
            </w:pPr>
            <w:r>
              <w:rPr>
                <w:rFonts w:ascii="Arial" w:cs="Arial" w:eastAsia="Arial" w:hAnsi="Arial"/>
                <w:sz w:val="18"/>
                <w:szCs w:val="18"/>
                <w:color w:val="auto"/>
              </w:rPr>
              <w:t>Transmission Pipelines</w:t>
            </w:r>
          </w:p>
        </w:tc>
        <w:tc>
          <w:tcPr>
            <w:tcW w:w="2400" w:type="dxa"/>
            <w:vAlign w:val="bottom"/>
          </w:tcPr>
          <w:p>
            <w:pPr>
              <w:jc w:val="right"/>
              <w:ind w:right="1130"/>
              <w:spacing w:after="0"/>
              <w:rPr>
                <w:sz w:val="20"/>
                <w:szCs w:val="20"/>
                <w:color w:val="auto"/>
              </w:rPr>
            </w:pPr>
            <w:r>
              <w:rPr>
                <w:rFonts w:ascii="Arial" w:cs="Arial" w:eastAsia="Arial" w:hAnsi="Arial"/>
                <w:sz w:val="18"/>
                <w:szCs w:val="18"/>
                <w:color w:val="auto"/>
              </w:rPr>
              <w:t>Mains</w:t>
            </w:r>
          </w:p>
        </w:tc>
        <w:tc>
          <w:tcPr>
            <w:tcW w:w="2140" w:type="dxa"/>
            <w:vAlign w:val="bottom"/>
          </w:tcPr>
          <w:p>
            <w:pPr>
              <w:jc w:val="right"/>
              <w:ind w:right="610"/>
              <w:spacing w:after="0"/>
              <w:rPr>
                <w:sz w:val="20"/>
                <w:szCs w:val="20"/>
                <w:color w:val="auto"/>
              </w:rPr>
            </w:pPr>
            <w:r>
              <w:rPr>
                <w:rFonts w:ascii="Arial" w:cs="Arial" w:eastAsia="Arial" w:hAnsi="Arial"/>
                <w:sz w:val="18"/>
                <w:szCs w:val="18"/>
                <w:color w:val="auto"/>
              </w:rPr>
              <w:t>Service Lines</w:t>
            </w:r>
          </w:p>
        </w:tc>
      </w:tr>
      <w:tr>
        <w:trPr>
          <w:trHeight w:val="27"/>
        </w:trPr>
        <w:tc>
          <w:tcPr>
            <w:tcW w:w="4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932</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4,803</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Colorado</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689</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6,699</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2,457</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Nebraska</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1,263</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8,539</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3,203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Iowa</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164</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2,791</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2,667</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Kansas</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325</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2,868</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Wyoming</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1,327</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3,447</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1,215</w:t>
            </w:r>
          </w:p>
        </w:tc>
      </w:tr>
      <w:tr>
        <w:trPr>
          <w:trHeight w:val="27"/>
        </w:trPr>
        <w:tc>
          <w:tcPr>
            <w:tcW w:w="4240" w:type="dxa"/>
            <w:vAlign w:val="bottom"/>
            <w:tcBorders>
              <w:bottom w:val="single" w:sz="8" w:color="CEFFE7"/>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4,700</w:t>
            </w:r>
          </w:p>
        </w:tc>
        <w:tc>
          <w:tcPr>
            <w:tcW w:w="240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29,147</w:t>
            </w:r>
          </w:p>
        </w:tc>
        <w:tc>
          <w:tcPr>
            <w:tcW w:w="2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12,011</w:t>
            </w:r>
          </w:p>
        </w:tc>
      </w:tr>
      <w:tr>
        <w:trPr>
          <w:trHeight w:val="20"/>
        </w:trPr>
        <w:tc>
          <w:tcPr>
            <w:tcW w:w="4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2640" w:type="dxa"/>
            <w:vAlign w:val="bottom"/>
          </w:tcPr>
          <w:p>
            <w:pPr>
              <w:jc w:val="right"/>
              <w:ind w:right="990"/>
              <w:spacing w:after="0"/>
              <w:rPr>
                <w:sz w:val="20"/>
                <w:szCs w:val="20"/>
                <w:color w:val="auto"/>
              </w:rPr>
            </w:pPr>
            <w:r>
              <w:rPr>
                <w:rFonts w:ascii="Arial" w:cs="Arial" w:eastAsia="Arial" w:hAnsi="Arial"/>
                <w:sz w:val="18"/>
                <w:szCs w:val="18"/>
                <w:color w:val="auto"/>
              </w:rPr>
              <w:t>19</w:t>
            </w:r>
          </w:p>
        </w:tc>
        <w:tc>
          <w:tcPr>
            <w:tcW w:w="24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760" w:type="dxa"/>
            <w:vAlign w:val="bottom"/>
            <w:gridSpan w:val="2"/>
          </w:tcPr>
          <w:p>
            <w:pPr>
              <w:jc w:val="right"/>
              <w:ind w:right="1210"/>
              <w:spacing w:after="0"/>
              <w:rPr>
                <w:sz w:val="20"/>
                <w:szCs w:val="20"/>
                <w:color w:val="auto"/>
              </w:rPr>
            </w:pPr>
            <w:r>
              <w:rPr>
                <w:rFonts w:ascii="Arial" w:cs="Arial" w:eastAsia="Arial" w:hAnsi="Arial"/>
                <w:sz w:val="18"/>
                <w:szCs w:val="18"/>
                <w:color w:val="auto"/>
              </w:rPr>
              <w:t>2018</w:t>
            </w:r>
          </w:p>
        </w:tc>
        <w:tc>
          <w:tcPr>
            <w:tcW w:w="2720" w:type="dxa"/>
            <w:vAlign w:val="bottom"/>
            <w:gridSpan w:val="2"/>
          </w:tcPr>
          <w:p>
            <w:pPr>
              <w:jc w:val="right"/>
              <w:ind w:right="1230"/>
              <w:spacing w:after="0"/>
              <w:rPr>
                <w:sz w:val="20"/>
                <w:szCs w:val="20"/>
                <w:color w:val="auto"/>
              </w:rPr>
            </w:pPr>
            <w:r>
              <w:rPr>
                <w:rFonts w:ascii="Arial" w:cs="Arial" w:eastAsia="Arial" w:hAnsi="Arial"/>
                <w:sz w:val="18"/>
                <w:szCs w:val="18"/>
                <w:color w:val="auto"/>
              </w:rPr>
              <w:t>2017</w:t>
            </w:r>
          </w:p>
        </w:tc>
        <w:tc>
          <w:tcPr>
            <w:tcW w:w="2400" w:type="dxa"/>
            <w:vAlign w:val="bottom"/>
            <w:gridSpan w:val="2"/>
          </w:tcPr>
          <w:p>
            <w:pPr>
              <w:jc w:val="right"/>
              <w:ind w:right="950"/>
              <w:spacing w:after="0"/>
              <w:rPr>
                <w:sz w:val="20"/>
                <w:szCs w:val="20"/>
                <w:color w:val="auto"/>
              </w:rPr>
            </w:pPr>
            <w:r>
              <w:rPr>
                <w:rFonts w:ascii="Arial" w:cs="Arial" w:eastAsia="Arial" w:hAnsi="Arial"/>
                <w:sz w:val="18"/>
                <w:szCs w:val="18"/>
                <w:color w:val="auto"/>
              </w:rPr>
              <w:t>2016</w:t>
            </w:r>
          </w:p>
        </w:tc>
      </w:tr>
      <w:tr>
        <w:trPr>
          <w:trHeight w:val="27"/>
        </w:trPr>
        <w:tc>
          <w:tcPr>
            <w:tcW w:w="3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9"/>
              </w:rPr>
              <w:t>Variance From</w:t>
            </w:r>
          </w:p>
        </w:tc>
        <w:tc>
          <w:tcPr>
            <w:tcW w:w="12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Variance From</w:t>
            </w:r>
          </w:p>
        </w:tc>
        <w:tc>
          <w:tcPr>
            <w:tcW w:w="1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r>
      <w:tr>
        <w:trPr>
          <w:trHeight w:val="216"/>
        </w:trPr>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7"/>
              </w:rPr>
              <w:t>30-Year</w:t>
            </w:r>
          </w:p>
        </w:tc>
        <w:tc>
          <w:tcPr>
            <w:tcW w:w="126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87"/>
              </w:rPr>
              <w:t>30-Year</w:t>
            </w:r>
          </w:p>
        </w:tc>
        <w:tc>
          <w:tcPr>
            <w:tcW w:w="1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30-Year</w:t>
            </w:r>
          </w:p>
        </w:tc>
      </w:tr>
      <w:tr>
        <w:trPr>
          <w:trHeight w:val="257"/>
        </w:trPr>
        <w:tc>
          <w:tcPr>
            <w:tcW w:w="3540" w:type="dxa"/>
            <w:vAlign w:val="bottom"/>
          </w:tcPr>
          <w:p>
            <w:pPr>
              <w:spacing w:after="0"/>
              <w:rPr>
                <w:sz w:val="22"/>
                <w:szCs w:val="22"/>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Actual</w:t>
            </w:r>
          </w:p>
        </w:tc>
        <w:tc>
          <w:tcPr>
            <w:tcW w:w="150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5"/>
              </w:rPr>
              <w:t xml:space="preserve">Average </w:t>
            </w:r>
            <w:r>
              <w:rPr>
                <w:rFonts w:ascii="Arial" w:cs="Arial" w:eastAsia="Arial" w:hAnsi="Arial"/>
                <w:sz w:val="25"/>
                <w:szCs w:val="25"/>
                <w:color w:val="auto"/>
                <w:w w:val="85"/>
                <w:vertAlign w:val="superscript"/>
              </w:rPr>
              <w:t>(c)</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Actual</w:t>
            </w:r>
          </w:p>
        </w:tc>
        <w:tc>
          <w:tcPr>
            <w:tcW w:w="146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5"/>
              </w:rPr>
              <w:t xml:space="preserve">Average </w:t>
            </w:r>
            <w:r>
              <w:rPr>
                <w:rFonts w:ascii="Arial" w:cs="Arial" w:eastAsia="Arial" w:hAnsi="Arial"/>
                <w:sz w:val="25"/>
                <w:szCs w:val="25"/>
                <w:color w:val="auto"/>
                <w:w w:val="85"/>
                <w:vertAlign w:val="superscript"/>
              </w:rPr>
              <w:t>(c)</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Actual</w:t>
            </w:r>
          </w:p>
        </w:tc>
        <w:tc>
          <w:tcPr>
            <w:tcW w:w="12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 xml:space="preserve">Average </w:t>
            </w:r>
            <w:r>
              <w:rPr>
                <w:rFonts w:ascii="Arial" w:cs="Arial" w:eastAsia="Arial" w:hAnsi="Arial"/>
                <w:sz w:val="25"/>
                <w:szCs w:val="25"/>
                <w:color w:val="auto"/>
                <w:w w:val="85"/>
                <w:vertAlign w:val="superscript"/>
              </w:rPr>
              <w:t>(c)</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4,169</w:t>
            </w:r>
          </w:p>
        </w:tc>
        <w:tc>
          <w:tcPr>
            <w:tcW w:w="1500" w:type="dxa"/>
            <w:vAlign w:val="bottom"/>
            <w:shd w:val="clear" w:color="auto" w:fill="CEFFE7"/>
          </w:tcPr>
          <w:p>
            <w:pPr>
              <w:jc w:val="right"/>
              <w:ind w:right="650"/>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3,295</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1"/>
              </w:rPr>
              <w:t>(19)%</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2,397</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(41)%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Colorado</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6,136</w:t>
            </w: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5,728</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(14)%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5,762</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(13)%</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Nebraska</w:t>
            </w:r>
          </w:p>
        </w:tc>
        <w:tc>
          <w:tcPr>
            <w:tcW w:w="1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6,563</w:t>
            </w:r>
          </w:p>
        </w:tc>
        <w:tc>
          <w:tcPr>
            <w:tcW w:w="1500" w:type="dxa"/>
            <w:vAlign w:val="bottom"/>
            <w:tcBorders>
              <w:bottom w:val="single" w:sz="8" w:color="CEFFE7"/>
            </w:tcBorders>
            <w:shd w:val="clear" w:color="auto" w:fill="CEFFE7"/>
          </w:tcPr>
          <w:p>
            <w:pPr>
              <w:jc w:val="right"/>
              <w:ind w:right="65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5,554</w:t>
            </w:r>
          </w:p>
        </w:tc>
        <w:tc>
          <w:tcPr>
            <w:tcW w:w="1460" w:type="dxa"/>
            <w:vAlign w:val="bottom"/>
            <w:tcBorders>
              <w:bottom w:val="single" w:sz="8" w:color="CEFFE7"/>
            </w:tcBorders>
            <w:shd w:val="clear" w:color="auto" w:fill="CEFFE7"/>
          </w:tcPr>
          <w:p>
            <w:pPr>
              <w:jc w:val="center"/>
              <w:ind w:right="90"/>
              <w:spacing w:after="0"/>
              <w:rPr>
                <w:sz w:val="20"/>
                <w:szCs w:val="20"/>
                <w:color w:val="auto"/>
              </w:rPr>
            </w:pPr>
            <w:r>
              <w:rPr>
                <w:rFonts w:ascii="Arial" w:cs="Arial" w:eastAsia="Arial" w:hAnsi="Arial"/>
                <w:sz w:val="18"/>
                <w:szCs w:val="18"/>
                <w:color w:val="auto"/>
                <w:w w:val="91"/>
              </w:rPr>
              <w:t>(10)%</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5,457</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Iowa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7,192</w:t>
            </w: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6,149</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4"/>
              </w:rPr>
              <w:t>(9)%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5,997</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(11)%</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5,242</w:t>
            </w:r>
          </w:p>
        </w:tc>
        <w:tc>
          <w:tcPr>
            <w:tcW w:w="1500" w:type="dxa"/>
            <w:vAlign w:val="bottom"/>
            <w:shd w:val="clear" w:color="auto" w:fill="CEFFE7"/>
          </w:tcPr>
          <w:p>
            <w:pPr>
              <w:jc w:val="right"/>
              <w:ind w:right="650"/>
              <w:spacing w:after="0"/>
              <w:rPr>
                <w:sz w:val="20"/>
                <w:szCs w:val="20"/>
                <w:color w:val="auto"/>
              </w:rPr>
            </w:pPr>
            <w:r>
              <w:rPr>
                <w:rFonts w:ascii="Arial" w:cs="Arial" w:eastAsia="Arial" w:hAnsi="Arial"/>
                <w:sz w:val="18"/>
                <w:szCs w:val="18"/>
                <w:color w:val="auto"/>
              </w:rPr>
              <w:t>7%</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4,452</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4"/>
              </w:rPr>
              <w:t>(9)%</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4,307</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Wyoming</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7,425</w:t>
            </w: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7,123</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4"/>
              </w:rPr>
              <w:t>(5)%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6,628</w:t>
            </w:r>
          </w:p>
        </w:tc>
        <w:tc>
          <w:tcPr>
            <w:tcW w:w="1500" w:type="dxa"/>
            <w:vAlign w:val="bottom"/>
            <w:shd w:val="clear" w:color="auto" w:fill="CEFFE7"/>
          </w:tcPr>
          <w:p>
            <w:pPr>
              <w:jc w:val="right"/>
              <w:ind w:right="65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5,862</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1"/>
              </w:rPr>
              <w:t>(10)%</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5,823</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(11)%</w:t>
            </w:r>
          </w:p>
        </w:tc>
      </w:t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________________</w:t>
            </w: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340" w:right="8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Arkansas Gas has a weather normalization mechanism in effect during the months of November through April for customers with residential and certain business rate schedules. Kansas Gas has a weather normalization mechanism within its residential and business rate structure. The weather normalization mechanism in Arkansas differs from that in Kansas in that it only uses one location to calculate the weather, while Kansas uses multiple locations. The weather normalization mechanisms in both Arkansas and Kansas minimize weather impact on gross margins (a non-GAAP measure).</w:t>
      </w:r>
    </w:p>
    <w:p>
      <w:pPr>
        <w:spacing w:after="0" w:line="1" w:lineRule="exact"/>
        <w:rPr>
          <w:rFonts w:ascii="Arial" w:cs="Arial" w:eastAsia="Arial" w:hAnsi="Arial"/>
          <w:sz w:val="16"/>
          <w:szCs w:val="16"/>
          <w:color w:val="auto"/>
        </w:rPr>
      </w:pPr>
    </w:p>
    <w:p>
      <w:pPr>
        <w:ind w:left="340" w:right="640" w:hanging="332"/>
        <w:spacing w:after="0" w:line="263"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30-Year Average is from NOAA climate normals.</w:t>
      </w:r>
    </w:p>
    <w:p>
      <w:pPr>
        <w:spacing w:after="0" w:line="2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Seasonal Variations of Business. </w:t>
      </w:r>
      <w:r>
        <w:rPr>
          <w:rFonts w:ascii="Arial" w:cs="Arial" w:eastAsia="Arial" w:hAnsi="Arial"/>
          <w:sz w:val="17"/>
          <w:szCs w:val="17"/>
          <w:color w:val="auto"/>
        </w:rPr>
        <w:t>Our Gas Utilities are seasonal businesses and weather patterns may impact their operating performance. Demand for natural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is sensitive to seasonal heating and industrial load requirements, as well as market price. In particular, demand is often greater in the winter months for heating. Natural gas is used primarily for residential and commercial heating, so the demand for this product depends heavily upon weather throughout our service territories, and as a result, a significant amount of natural gas revenue is normally recognized in the heating season consisting of the first and fourth quarters. Demand for natural gas can also be impacted by summer weather patterns that are cooler than normal and/or provide higher than normal precipitation; both of which can reduce natural gas demand for irrigation.</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We generally have limited competition for the retail distribution of natural gas in our service areas. Various restructuring and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have been discussed in several of the states in which our utilities operate. These initiatives are aimed at increasing competition.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a distribution charge for transporting the gas through our distribution network.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Rates and Regulation. </w:t>
      </w:r>
      <w:r>
        <w:rPr>
          <w:rFonts w:ascii="Arial" w:cs="Arial" w:eastAsia="Arial" w:hAnsi="Arial"/>
          <w:sz w:val="18"/>
          <w:szCs w:val="18"/>
          <w:color w:val="auto"/>
        </w:rPr>
        <w:t>Our Gas Utilities are subject to the jurisdiction of the public utilities commissions in the states where they operate. The commissions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the rates of other utilities, general economic conditions and the political environment. Certain commissions also have jurisdiction over the issuance of debt or securities, and the creation of liens on property located in their states to secure bonds or other securities.</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Gas Utilities are authorized to use natural gas cost recovery mechanisms that allow them to adjust their rates to reflect changes in the wholesale cost of natural gas and to ensure that they recover all the costs prudently incurred in purchasing gas for their customers. In addition to natural gas recovery mechanisms, we have other cost recovery mechanisms, such as regulatory riders, which vary by utility but allow us to recover certain costs, such as those related to energy efficiency plans and system safety and integrity investments. The following table provides regulatory information for each of our natural gas utilities: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Authorized Rate</w:t>
            </w:r>
          </w:p>
        </w:tc>
        <w:tc>
          <w:tcPr>
            <w:tcW w:w="7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200"/>
              <w:spacing w:after="0"/>
              <w:rPr>
                <w:sz w:val="20"/>
                <w:szCs w:val="20"/>
                <w:color w:val="auto"/>
              </w:rPr>
            </w:pPr>
            <w:r>
              <w:rPr>
                <w:rFonts w:ascii="Arial" w:cs="Arial" w:eastAsia="Arial" w:hAnsi="Arial"/>
                <w:sz w:val="16"/>
                <w:szCs w:val="16"/>
                <w:color w:val="auto"/>
              </w:rPr>
              <w:t>Jurisdic-</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Rate of Return</w:t>
            </w: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Return on</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Base (in</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Effective</w:t>
            </w:r>
          </w:p>
        </w:tc>
        <w:tc>
          <w:tcPr>
            <w:tcW w:w="41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Subsidiary</w:t>
            </w:r>
          </w:p>
        </w:tc>
        <w:tc>
          <w:tcPr>
            <w:tcW w:w="840" w:type="dxa"/>
            <w:vAlign w:val="bottom"/>
          </w:tcPr>
          <w:p>
            <w:pPr>
              <w:ind w:left="360"/>
              <w:spacing w:after="0"/>
              <w:rPr>
                <w:sz w:val="20"/>
                <w:szCs w:val="20"/>
                <w:color w:val="auto"/>
              </w:rPr>
            </w:pPr>
            <w:r>
              <w:rPr>
                <w:rFonts w:ascii="Arial" w:cs="Arial" w:eastAsia="Arial" w:hAnsi="Arial"/>
                <w:sz w:val="16"/>
                <w:szCs w:val="16"/>
                <w:color w:val="auto"/>
              </w:rPr>
              <w:t>tion</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on Equity</w:t>
            </w:r>
          </w:p>
        </w:tc>
        <w:tc>
          <w:tcPr>
            <w:tcW w:w="920" w:type="dxa"/>
            <w:vAlign w:val="bottom"/>
          </w:tcPr>
          <w:p>
            <w:pPr>
              <w:jc w:val="center"/>
              <w:spacing w:after="0"/>
              <w:rPr>
                <w:sz w:val="20"/>
                <w:szCs w:val="20"/>
                <w:color w:val="auto"/>
              </w:rPr>
            </w:pPr>
            <w:r>
              <w:rPr>
                <w:rFonts w:ascii="Arial" w:cs="Arial" w:eastAsia="Arial" w:hAnsi="Arial"/>
                <w:sz w:val="16"/>
                <w:szCs w:val="16"/>
                <w:color w:val="auto"/>
                <w:w w:val="85"/>
              </w:rPr>
              <w:t>Rate Base</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tcPr>
          <w:p>
            <w:pPr>
              <w:jc w:val="center"/>
              <w:spacing w:after="0"/>
              <w:rPr>
                <w:sz w:val="20"/>
                <w:szCs w:val="20"/>
                <w:color w:val="auto"/>
              </w:rPr>
            </w:pPr>
            <w:r>
              <w:rPr>
                <w:rFonts w:ascii="Arial" w:cs="Arial" w:eastAsia="Arial" w:hAnsi="Arial"/>
                <w:sz w:val="16"/>
                <w:szCs w:val="16"/>
                <w:color w:val="auto"/>
              </w:rPr>
              <w:t>millions)</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Date</w:t>
            </w:r>
          </w:p>
        </w:tc>
        <w:tc>
          <w:tcPr>
            <w:tcW w:w="4180" w:type="dxa"/>
            <w:vAlign w:val="bottom"/>
          </w:tcPr>
          <w:p>
            <w:pPr>
              <w:ind w:left="1080"/>
              <w:spacing w:after="0"/>
              <w:rPr>
                <w:sz w:val="20"/>
                <w:szCs w:val="20"/>
                <w:color w:val="auto"/>
              </w:rPr>
            </w:pPr>
            <w:r>
              <w:rPr>
                <w:rFonts w:ascii="Arial" w:cs="Arial" w:eastAsia="Arial" w:hAnsi="Arial"/>
                <w:sz w:val="16"/>
                <w:szCs w:val="16"/>
                <w:color w:val="auto"/>
              </w:rPr>
              <w:t>Additional Tariffed Mechanisms</w:t>
            </w:r>
          </w:p>
        </w:tc>
      </w:tr>
      <w:tr>
        <w:trPr>
          <w:trHeight w:val="33"/>
        </w:trPr>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83"/>
        </w:trPr>
        <w:tc>
          <w:tcPr>
            <w:tcW w:w="1080" w:type="dxa"/>
            <w:vAlign w:val="bottom"/>
            <w:gridSpan w:val="3"/>
          </w:tcPr>
          <w:p>
            <w:pPr>
              <w:ind w:left="40"/>
              <w:spacing w:after="0" w:line="183" w:lineRule="exact"/>
              <w:rPr>
                <w:sz w:val="20"/>
                <w:szCs w:val="20"/>
                <w:color w:val="auto"/>
              </w:rPr>
            </w:pPr>
            <w:r>
              <w:rPr>
                <w:rFonts w:ascii="Arial" w:cs="Arial" w:eastAsia="Arial" w:hAnsi="Arial"/>
                <w:sz w:val="16"/>
                <w:szCs w:val="16"/>
                <w:b w:val="1"/>
                <w:bCs w:val="1"/>
                <w:i w:val="1"/>
                <w:iCs w:val="1"/>
                <w:color w:val="auto"/>
              </w:rPr>
              <w:t>Gas Utilities: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80" w:type="dxa"/>
            <w:vAlign w:val="bottom"/>
          </w:tcPr>
          <w:p>
            <w:pPr>
              <w:spacing w:after="0"/>
              <w:rPr>
                <w:sz w:val="5"/>
                <w:szCs w:val="5"/>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Arkansas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AR</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9.61%</w:t>
            </w:r>
          </w:p>
        </w:tc>
        <w:tc>
          <w:tcPr>
            <w:tcW w:w="92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6"/>
              </w:rPr>
              <w:t xml:space="preserve">6.82% </w:t>
            </w:r>
            <w:r>
              <w:rPr>
                <w:rFonts w:ascii="Arial" w:cs="Arial" w:eastAsia="Arial" w:hAnsi="Arial"/>
                <w:sz w:val="21"/>
                <w:szCs w:val="21"/>
                <w:color w:val="auto"/>
                <w:w w:val="86"/>
                <w:vertAlign w:val="superscript"/>
              </w:rPr>
              <w:t>(a)</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50.9%/49.1%</w:t>
            </w:r>
          </w:p>
        </w:tc>
        <w:tc>
          <w:tcPr>
            <w:tcW w:w="120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5"/>
              </w:rPr>
              <w:t xml:space="preserve">$451.5 </w:t>
            </w:r>
            <w:r>
              <w:rPr>
                <w:rFonts w:ascii="Arial" w:cs="Arial" w:eastAsia="Arial" w:hAnsi="Arial"/>
                <w:sz w:val="21"/>
                <w:szCs w:val="21"/>
                <w:color w:val="auto"/>
                <w:w w:val="85"/>
                <w:vertAlign w:val="superscript"/>
              </w:rPr>
              <w:t>(b)</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10/2018</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4"/>
              </w:rPr>
              <w:t>GCA, Main Replacement Program, At-Risk Meter Relocation</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8"/>
              </w:rPr>
              <w:t>Program, Legislative/Regulatory Mandate and Relocations</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4"/>
              </w:rPr>
              <w:t>Rider, Energy Efficiency, Weather Normalization Adjustment,</w:t>
            </w:r>
          </w:p>
        </w:tc>
      </w:tr>
      <w:tr>
        <w:trPr>
          <w:trHeight w:val="206"/>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Billing Determinant Adjustment</w:t>
            </w:r>
          </w:p>
        </w:tc>
      </w:tr>
      <w:tr>
        <w:trPr>
          <w:trHeight w:val="236"/>
        </w:trPr>
        <w:tc>
          <w:tcPr>
            <w:tcW w:w="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8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760" w:type="dxa"/>
            <w:vAlign w:val="bottom"/>
            <w:shd w:val="clear" w:color="auto" w:fill="CEFFE7"/>
          </w:tcPr>
          <w:p>
            <w:pPr>
              <w:spacing w:after="0"/>
              <w:rPr>
                <w:sz w:val="20"/>
                <w:szCs w:val="20"/>
                <w:color w:val="auto"/>
              </w:rPr>
            </w:pPr>
          </w:p>
        </w:tc>
        <w:tc>
          <w:tcPr>
            <w:tcW w:w="4180" w:type="dxa"/>
            <w:vAlign w:val="bottom"/>
            <w:shd w:val="clear" w:color="auto" w:fill="CEFFE7"/>
          </w:tcPr>
          <w:p>
            <w:pPr>
              <w:spacing w:after="0"/>
              <w:rPr>
                <w:sz w:val="20"/>
                <w:szCs w:val="20"/>
                <w:color w:val="auto"/>
              </w:rPr>
            </w:pPr>
          </w:p>
        </w:tc>
      </w:tr>
      <w:tr>
        <w:trPr>
          <w:trHeight w:val="224"/>
        </w:trPr>
        <w:tc>
          <w:tcPr>
            <w:tcW w:w="1080" w:type="dxa"/>
            <w:vAlign w:val="bottom"/>
            <w:gridSpan w:val="3"/>
          </w:tcPr>
          <w:p>
            <w:pPr>
              <w:ind w:left="40"/>
              <w:spacing w:after="0"/>
              <w:rPr>
                <w:sz w:val="20"/>
                <w:szCs w:val="20"/>
                <w:color w:val="auto"/>
              </w:rPr>
            </w:pPr>
            <w:r>
              <w:rPr>
                <w:rFonts w:ascii="Arial" w:cs="Arial" w:eastAsia="Arial" w:hAnsi="Arial"/>
                <w:sz w:val="16"/>
                <w:szCs w:val="16"/>
                <w:color w:val="auto"/>
              </w:rPr>
              <w:t>Colorado Gas</w:t>
            </w:r>
          </w:p>
        </w:tc>
        <w:tc>
          <w:tcPr>
            <w:tcW w:w="840" w:type="dxa"/>
            <w:vAlign w:val="bottom"/>
          </w:tcPr>
          <w:p>
            <w:pPr>
              <w:ind w:left="10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8.41%</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50%/50%</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$57.5</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12/2012</w:t>
            </w:r>
          </w:p>
        </w:tc>
        <w:tc>
          <w:tcPr>
            <w:tcW w:w="4180" w:type="dxa"/>
            <w:vAlign w:val="bottom"/>
          </w:tcPr>
          <w:p>
            <w:pPr>
              <w:ind w:left="100"/>
              <w:spacing w:after="0"/>
              <w:rPr>
                <w:sz w:val="20"/>
                <w:szCs w:val="20"/>
                <w:color w:val="auto"/>
              </w:rPr>
            </w:pPr>
            <w:r>
              <w:rPr>
                <w:rFonts w:ascii="Arial" w:cs="Arial" w:eastAsia="Arial" w:hAnsi="Arial"/>
                <w:sz w:val="16"/>
                <w:szCs w:val="16"/>
                <w:color w:val="auto"/>
              </w:rPr>
              <w:t>GCA, Energy Efficiency Cost Recovery/DSM</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Colorado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10.0%</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8.02%</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49.52%/ 50.48%</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$127.1</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DSM</w:t>
            </w:r>
          </w:p>
        </w:tc>
      </w:tr>
      <w:tr>
        <w:trPr>
          <w:trHeight w:val="219"/>
        </w:trPr>
        <w:tc>
          <w:tcPr>
            <w:tcW w:w="10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Dist.</w:t>
            </w: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spacing w:after="0"/>
              <w:rPr>
                <w:sz w:val="19"/>
                <w:szCs w:val="19"/>
                <w:color w:val="auto"/>
              </w:rPr>
            </w:pPr>
          </w:p>
        </w:tc>
      </w:tr>
      <w:tr>
        <w:trPr>
          <w:trHeight w:val="220"/>
        </w:trPr>
        <w:tc>
          <w:tcPr>
            <w:tcW w:w="1080" w:type="dxa"/>
            <w:vAlign w:val="bottom"/>
            <w:gridSpan w:val="3"/>
          </w:tcPr>
          <w:p>
            <w:pPr>
              <w:ind w:left="40"/>
              <w:spacing w:after="0"/>
              <w:rPr>
                <w:sz w:val="20"/>
                <w:szCs w:val="20"/>
                <w:color w:val="auto"/>
              </w:rPr>
            </w:pPr>
            <w:r>
              <w:rPr>
                <w:rFonts w:ascii="Arial" w:cs="Arial" w:eastAsia="Arial" w:hAnsi="Arial"/>
                <w:sz w:val="16"/>
                <w:szCs w:val="16"/>
                <w:color w:val="auto"/>
              </w:rPr>
              <w:t>RMNG</w:t>
            </w:r>
          </w:p>
        </w:tc>
        <w:tc>
          <w:tcPr>
            <w:tcW w:w="840" w:type="dxa"/>
            <w:vAlign w:val="bottom"/>
          </w:tcPr>
          <w:p>
            <w:pPr>
              <w:ind w:left="10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6.71%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53.37%/ 46.63%</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$118.7</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6/2018</w:t>
            </w:r>
          </w:p>
        </w:tc>
        <w:tc>
          <w:tcPr>
            <w:tcW w:w="4180" w:type="dxa"/>
            <w:vAlign w:val="bottom"/>
          </w:tcPr>
          <w:p>
            <w:pPr>
              <w:ind w:left="100"/>
              <w:spacing w:after="0"/>
              <w:rPr>
                <w:sz w:val="20"/>
                <w:szCs w:val="20"/>
                <w:color w:val="auto"/>
              </w:rPr>
            </w:pPr>
            <w:r>
              <w:rPr>
                <w:rFonts w:ascii="Arial" w:cs="Arial" w:eastAsia="Arial" w:hAnsi="Arial"/>
                <w:sz w:val="16"/>
                <w:szCs w:val="16"/>
                <w:color w:val="auto"/>
              </w:rPr>
              <w:t>System Safety Integrity Rider, Liquids/Off-system/Market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Center Services Revenue Sharing</w:t>
            </w:r>
          </w:p>
        </w:tc>
      </w:tr>
      <w:tr>
        <w:trPr>
          <w:trHeight w:val="236"/>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Iowa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IA</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$109.2</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2/2011</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Energy Efficiency Cost Recovery/DSM/Capital</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3"/>
              </w:rPr>
              <w:t>Infrastructure Automatic Adjustment Mechanism, Gas Supply</w:t>
            </w:r>
          </w:p>
        </w:tc>
      </w:tr>
      <w:tr>
        <w:trPr>
          <w:trHeight w:val="219"/>
        </w:trPr>
        <w:tc>
          <w:tcPr>
            <w:tcW w:w="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Optimization revenue sharing</w:t>
            </w:r>
          </w:p>
        </w:tc>
      </w:tr>
      <w:tr>
        <w:trPr>
          <w:trHeight w:val="220"/>
        </w:trPr>
        <w:tc>
          <w:tcPr>
            <w:tcW w:w="1080" w:type="dxa"/>
            <w:vAlign w:val="bottom"/>
            <w:gridSpan w:val="3"/>
          </w:tcPr>
          <w:p>
            <w:pPr>
              <w:ind w:left="40"/>
              <w:spacing w:after="0"/>
              <w:rPr>
                <w:sz w:val="20"/>
                <w:szCs w:val="20"/>
                <w:color w:val="auto"/>
              </w:rPr>
            </w:pPr>
            <w:r>
              <w:rPr>
                <w:rFonts w:ascii="Arial" w:cs="Arial" w:eastAsia="Arial" w:hAnsi="Arial"/>
                <w:sz w:val="16"/>
                <w:szCs w:val="16"/>
                <w:color w:val="auto"/>
              </w:rPr>
              <w:t>Kansas Gas</w:t>
            </w:r>
          </w:p>
        </w:tc>
        <w:tc>
          <w:tcPr>
            <w:tcW w:w="840" w:type="dxa"/>
            <w:vAlign w:val="bottom"/>
          </w:tcPr>
          <w:p>
            <w:pPr>
              <w:ind w:left="100"/>
              <w:spacing w:after="0"/>
              <w:rPr>
                <w:sz w:val="20"/>
                <w:szCs w:val="20"/>
                <w:color w:val="auto"/>
              </w:rPr>
            </w:pPr>
            <w:r>
              <w:rPr>
                <w:rFonts w:ascii="Arial" w:cs="Arial" w:eastAsia="Arial" w:hAnsi="Arial"/>
                <w:sz w:val="16"/>
                <w:szCs w:val="16"/>
                <w:color w:val="auto"/>
              </w:rPr>
              <w:t>KS</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$127.9</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1/2015</w:t>
            </w:r>
          </w:p>
        </w:tc>
        <w:tc>
          <w:tcPr>
            <w:tcW w:w="4180" w:type="dxa"/>
            <w:vAlign w:val="bottom"/>
          </w:tcPr>
          <w:p>
            <w:pPr>
              <w:ind w:left="100"/>
              <w:spacing w:after="0"/>
              <w:rPr>
                <w:sz w:val="20"/>
                <w:szCs w:val="20"/>
                <w:color w:val="auto"/>
              </w:rPr>
            </w:pPr>
            <w:r>
              <w:rPr>
                <w:rFonts w:ascii="Arial" w:cs="Arial" w:eastAsia="Arial" w:hAnsi="Arial"/>
                <w:sz w:val="16"/>
                <w:szCs w:val="16"/>
                <w:color w:val="auto"/>
                <w:w w:val="97"/>
              </w:rPr>
              <w:t>GCA, Weather Normalization Tariff, Gas System Reliability</w:t>
            </w: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w w:val="99"/>
              </w:rPr>
              <w:t>Surcharge, Ad Valorem Tax Surcharge, Cost of Bad Debt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Collected through GCA, Pension Levelized Adjustment</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w w:val="99"/>
              </w:rPr>
              <w:t>Nebraska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NE</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10.1%</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9.11%</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48%/52%</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$161.0</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Cost of Bad Debt Collected through GCA,</w:t>
            </w:r>
          </w:p>
        </w:tc>
      </w:tr>
      <w:tr>
        <w:trPr>
          <w:trHeight w:val="219"/>
        </w:trPr>
        <w:tc>
          <w:tcPr>
            <w:tcW w:w="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w w:val="92"/>
              </w:rPr>
              <w:t>Infrastructure System Replacement Cost Recovery Surcharge</w:t>
            </w:r>
          </w:p>
        </w:tc>
      </w:tr>
      <w:tr>
        <w:trPr>
          <w:trHeight w:val="220"/>
        </w:trPr>
        <w:tc>
          <w:tcPr>
            <w:tcW w:w="1080" w:type="dxa"/>
            <w:vAlign w:val="bottom"/>
            <w:gridSpan w:val="3"/>
          </w:tcPr>
          <w:p>
            <w:pPr>
              <w:ind w:left="40"/>
              <w:spacing w:after="0"/>
              <w:rPr>
                <w:sz w:val="20"/>
                <w:szCs w:val="20"/>
                <w:color w:val="auto"/>
              </w:rPr>
            </w:pPr>
            <w:r>
              <w:rPr>
                <w:rFonts w:ascii="Arial" w:cs="Arial" w:eastAsia="Arial" w:hAnsi="Arial"/>
                <w:sz w:val="16"/>
                <w:szCs w:val="16"/>
                <w:color w:val="auto"/>
                <w:w w:val="99"/>
              </w:rPr>
              <w:t>Nebraska Gas</w:t>
            </w:r>
          </w:p>
        </w:tc>
        <w:tc>
          <w:tcPr>
            <w:tcW w:w="840" w:type="dxa"/>
            <w:vAlign w:val="bottom"/>
          </w:tcPr>
          <w:p>
            <w:pPr>
              <w:ind w:left="100"/>
              <w:spacing w:after="0"/>
              <w:rPr>
                <w:sz w:val="20"/>
                <w:szCs w:val="20"/>
                <w:color w:val="auto"/>
              </w:rPr>
            </w:pPr>
            <w:r>
              <w:rPr>
                <w:rFonts w:ascii="Arial" w:cs="Arial" w:eastAsia="Arial" w:hAnsi="Arial"/>
                <w:sz w:val="16"/>
                <w:szCs w:val="16"/>
                <w:color w:val="auto"/>
              </w:rPr>
              <w:t>NE</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7.67%</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48.84%/</w:t>
            </w:r>
          </w:p>
        </w:tc>
        <w:tc>
          <w:tcPr>
            <w:tcW w:w="1200" w:type="dxa"/>
            <w:vAlign w:val="bottom"/>
          </w:tcPr>
          <w:p>
            <w:pPr>
              <w:jc w:val="center"/>
              <w:spacing w:after="0" w:line="220" w:lineRule="exact"/>
              <w:rPr>
                <w:sz w:val="20"/>
                <w:szCs w:val="20"/>
                <w:color w:val="auto"/>
              </w:rPr>
            </w:pPr>
            <w:r>
              <w:rPr>
                <w:rFonts w:ascii="Arial" w:cs="Arial" w:eastAsia="Arial" w:hAnsi="Arial"/>
                <w:sz w:val="16"/>
                <w:szCs w:val="16"/>
                <w:color w:val="auto"/>
                <w:w w:val="87"/>
              </w:rPr>
              <w:t xml:space="preserve">$87.6/ $69.8 </w:t>
            </w:r>
            <w:r>
              <w:rPr>
                <w:rFonts w:ascii="Arial" w:cs="Arial" w:eastAsia="Arial" w:hAnsi="Arial"/>
                <w:sz w:val="21"/>
                <w:szCs w:val="21"/>
                <w:color w:val="auto"/>
                <w:w w:val="87"/>
                <w:vertAlign w:val="superscript"/>
              </w:rPr>
              <w:t>(c)</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6/2012</w:t>
            </w:r>
          </w:p>
        </w:tc>
        <w:tc>
          <w:tcPr>
            <w:tcW w:w="4180" w:type="dxa"/>
            <w:vAlign w:val="bottom"/>
          </w:tcPr>
          <w:p>
            <w:pPr>
              <w:ind w:left="100"/>
              <w:spacing w:after="0"/>
              <w:rPr>
                <w:sz w:val="20"/>
                <w:szCs w:val="20"/>
                <w:color w:val="auto"/>
              </w:rPr>
            </w:pPr>
            <w:r>
              <w:rPr>
                <w:rFonts w:ascii="Arial" w:cs="Arial" w:eastAsia="Arial" w:hAnsi="Arial"/>
                <w:sz w:val="16"/>
                <w:szCs w:val="16"/>
                <w:color w:val="auto"/>
                <w:w w:val="93"/>
              </w:rPr>
              <w:t>Choice Gas Program, System Safety and Integrity Rider, Bad</w:t>
            </w:r>
          </w:p>
        </w:tc>
      </w:tr>
      <w:tr>
        <w:trPr>
          <w:trHeight w:val="206"/>
        </w:trPr>
        <w:tc>
          <w:tcPr>
            <w:tcW w:w="1080" w:type="dxa"/>
            <w:vAlign w:val="bottom"/>
            <w:gridSpan w:val="3"/>
          </w:tcPr>
          <w:p>
            <w:pPr>
              <w:ind w:left="40"/>
              <w:spacing w:after="0"/>
              <w:rPr>
                <w:sz w:val="20"/>
                <w:szCs w:val="20"/>
                <w:color w:val="auto"/>
              </w:rPr>
            </w:pPr>
            <w:r>
              <w:rPr>
                <w:rFonts w:ascii="Arial" w:cs="Arial" w:eastAsia="Arial" w:hAnsi="Arial"/>
                <w:sz w:val="16"/>
                <w:szCs w:val="16"/>
                <w:color w:val="auto"/>
              </w:rPr>
              <w:t>Dist.</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51.16%</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Debt expense recovered through Choice Supplier Fee</w:t>
            </w:r>
          </w:p>
        </w:tc>
      </w:tr>
      <w:tr>
        <w:trPr>
          <w:trHeight w:val="236"/>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Wyoming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7.75%</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$12.9</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9/2018</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w:t>
            </w:r>
          </w:p>
        </w:tc>
      </w:tr>
      <w:tr>
        <w:trPr>
          <w:trHeight w:val="203"/>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(Northwest</w:t>
            </w: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spacing w:after="0"/>
              <w:rPr>
                <w:sz w:val="17"/>
                <w:szCs w:val="17"/>
                <w:color w:val="auto"/>
              </w:rPr>
            </w:pPr>
          </w:p>
        </w:tc>
      </w:tr>
      <w:tr>
        <w:trPr>
          <w:trHeight w:val="219"/>
        </w:trPr>
        <w:tc>
          <w:tcPr>
            <w:tcW w:w="10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Wyoming)</w:t>
            </w: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spacing w:after="0"/>
              <w:rPr>
                <w:sz w:val="19"/>
                <w:szCs w:val="19"/>
                <w:color w:val="auto"/>
              </w:rPr>
            </w:pPr>
          </w:p>
        </w:tc>
      </w:tr>
      <w:tr>
        <w:trPr>
          <w:trHeight w:val="220"/>
        </w:trPr>
        <w:tc>
          <w:tcPr>
            <w:tcW w:w="1080" w:type="dxa"/>
            <w:vAlign w:val="bottom"/>
            <w:gridSpan w:val="3"/>
          </w:tcPr>
          <w:p>
            <w:pPr>
              <w:ind w:left="40"/>
              <w:spacing w:after="0"/>
              <w:rPr>
                <w:sz w:val="20"/>
                <w:szCs w:val="20"/>
                <w:color w:val="auto"/>
              </w:rPr>
            </w:pPr>
            <w:r>
              <w:rPr>
                <w:rFonts w:ascii="Arial" w:cs="Arial" w:eastAsia="Arial" w:hAnsi="Arial"/>
                <w:sz w:val="16"/>
                <w:szCs w:val="16"/>
                <w:color w:val="auto"/>
              </w:rPr>
              <w:t>Wyoming Gas</w:t>
            </w:r>
          </w:p>
        </w:tc>
        <w:tc>
          <w:tcPr>
            <w:tcW w:w="840" w:type="dxa"/>
            <w:vAlign w:val="bottom"/>
          </w:tcPr>
          <w:p>
            <w:pPr>
              <w:ind w:left="100"/>
              <w:spacing w:after="0"/>
              <w:rPr>
                <w:sz w:val="20"/>
                <w:szCs w:val="20"/>
                <w:color w:val="auto"/>
              </w:rPr>
            </w:pPr>
            <w:r>
              <w:rPr>
                <w:rFonts w:ascii="Arial" w:cs="Arial" w:eastAsia="Arial" w:hAnsi="Arial"/>
                <w:sz w:val="16"/>
                <w:szCs w:val="16"/>
                <w:color w:val="auto"/>
              </w:rPr>
              <w:t>WY</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7.98%</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$59.6</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10/2014</w:t>
            </w:r>
          </w:p>
        </w:tc>
        <w:tc>
          <w:tcPr>
            <w:tcW w:w="4180" w:type="dxa"/>
            <w:vAlign w:val="bottom"/>
          </w:tcPr>
          <w:p>
            <w:pPr>
              <w:ind w:left="100"/>
              <w:spacing w:after="0"/>
              <w:rPr>
                <w:sz w:val="20"/>
                <w:szCs w:val="20"/>
                <w:color w:val="auto"/>
              </w:rPr>
            </w:pPr>
            <w:r>
              <w:rPr>
                <w:rFonts w:ascii="Arial" w:cs="Arial" w:eastAsia="Arial" w:hAnsi="Arial"/>
                <w:sz w:val="16"/>
                <w:szCs w:val="16"/>
                <w:color w:val="auto"/>
              </w:rPr>
              <w:t>GCA, Energy Efficiency Cost Recovery/DSM, Rate Base</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Recovery on Acquisition Adjustment</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Wyoming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9.92%</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7.98%</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49.66%/</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$100.5</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1/2011</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3"/>
              </w:rPr>
              <w:t>Choice Gas Program, Purchased GCA, Usage Per Customer</w:t>
            </w:r>
          </w:p>
        </w:tc>
      </w:tr>
      <w:tr>
        <w:trPr>
          <w:trHeight w:val="206"/>
        </w:trPr>
        <w:tc>
          <w:tcPr>
            <w:tcW w:w="108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Dist.</w:t>
            </w: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50.34%</w:t>
            </w: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Adjustment</w:t>
            </w:r>
          </w:p>
        </w:tc>
      </w:tr>
      <w:tr>
        <w:trPr>
          <w:trHeight w:val="236"/>
        </w:trPr>
        <w:tc>
          <w:tcPr>
            <w:tcW w:w="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8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760" w:type="dxa"/>
            <w:vAlign w:val="bottom"/>
            <w:shd w:val="clear" w:color="auto" w:fill="CEFFE7"/>
          </w:tcPr>
          <w:p>
            <w:pPr>
              <w:spacing w:after="0"/>
              <w:rPr>
                <w:sz w:val="20"/>
                <w:szCs w:val="20"/>
                <w:color w:val="auto"/>
              </w:rPr>
            </w:pPr>
          </w:p>
        </w:tc>
        <w:tc>
          <w:tcPr>
            <w:tcW w:w="4180" w:type="dxa"/>
            <w:vAlign w:val="bottom"/>
            <w:shd w:val="clear" w:color="auto" w:fill="CEFFE7"/>
          </w:tcPr>
          <w:p>
            <w:pPr>
              <w:spacing w:after="0"/>
              <w:rPr>
                <w:sz w:val="20"/>
                <w:szCs w:val="20"/>
                <w:color w:val="auto"/>
              </w:rPr>
            </w:pPr>
          </w:p>
        </w:tc>
      </w:tr>
    </w:tbl>
    <w:p>
      <w:pPr>
        <w:spacing w:after="0" w:line="237" w:lineRule="auto"/>
        <w:rPr>
          <w:sz w:val="20"/>
          <w:szCs w:val="20"/>
          <w:color w:val="auto"/>
        </w:rPr>
      </w:pPr>
      <w:r>
        <w:rPr>
          <w:rFonts w:ascii="Arial" w:cs="Arial" w:eastAsia="Arial" w:hAnsi="Arial"/>
          <w:sz w:val="16"/>
          <w:szCs w:val="16"/>
          <w:color w:val="auto"/>
        </w:rPr>
        <w:t>__________</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Arkansas Gas return on rate base adjusted to remove current liabilities from rate case capital structure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Arkansas Gas rate base is adjusted to include current liabilities for comparison with other subsidiaries.</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Nebraska Gas Distribution rate base of $87.6 million includes amounts allocated to serve non-jurisdictional and agricultural customers. Jurisdictional Nebraska rate base of $69.8 million excludes those amounts allocated to serve non-jurisdictional and agricultural customers and is used for calculation of jurisdictional base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All of our Gas Utilities, except where Choice Gas is the only option, have GCAs that allow us to pass the prudently-incurred cost of gas and certain services through to the customer between rate reviews. Some of the mechanisms we have in place include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w w:val="95"/>
              </w:rPr>
              <w:t>Cost Recovery Mechanisms</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Gas Utility Jurisdiction</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Billing</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180" w:type="dxa"/>
            <w:vAlign w:val="bottom"/>
            <w:vMerge w:val="continue"/>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DSM/Energy</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Integrity</w:t>
            </w:r>
          </w:p>
        </w:tc>
        <w:tc>
          <w:tcPr>
            <w:tcW w:w="112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Weather</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6"/>
              </w:rPr>
              <w:t>Pension</w:t>
            </w:r>
          </w:p>
        </w:tc>
        <w:tc>
          <w:tcPr>
            <w:tcW w:w="96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Determinant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Revenue</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Efficiency</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Additions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Bad Debt</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Normal</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Recovery</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Gas Cost</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Adjustment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Decoupling</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Arkansas Gas</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2"/>
                <w:szCs w:val="22"/>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shd w:val="clear" w:color="auto" w:fill="CEFFE7"/>
          </w:tcPr>
          <w:p>
            <w:pPr>
              <w:spacing w:after="0"/>
              <w:rPr>
                <w:sz w:val="22"/>
                <w:szCs w:val="22"/>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Colorado Gas</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Colorado Gas Dist.</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RMNG</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10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Pr>
          <w:p>
            <w:pPr>
              <w:jc w:val="center"/>
              <w:spacing w:after="0"/>
              <w:rPr>
                <w:sz w:val="20"/>
                <w:szCs w:val="20"/>
                <w:color w:val="auto"/>
              </w:rPr>
            </w:pPr>
            <w:r>
              <w:rPr>
                <w:rFonts w:ascii="Arial" w:cs="Arial" w:eastAsia="Arial" w:hAnsi="Arial"/>
                <w:sz w:val="18"/>
                <w:szCs w:val="18"/>
                <w:color w:val="auto"/>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280" w:type="dxa"/>
            <w:vAlign w:val="bottom"/>
          </w:tcPr>
          <w:p>
            <w:pPr>
              <w:jc w:val="center"/>
              <w:spacing w:after="0"/>
              <w:rPr>
                <w:sz w:val="20"/>
                <w:szCs w:val="20"/>
                <w:color w:val="auto"/>
              </w:rPr>
            </w:pPr>
            <w:r>
              <w:rPr>
                <w:rFonts w:ascii="Arial" w:cs="Arial" w:eastAsia="Arial" w:hAnsi="Arial"/>
                <w:sz w:val="18"/>
                <w:szCs w:val="18"/>
                <w:color w:val="auto"/>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Iowa Gas</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Kansas Gas</w:t>
            </w:r>
          </w:p>
        </w:tc>
        <w:tc>
          <w:tcPr>
            <w:tcW w:w="1220" w:type="dxa"/>
            <w:vAlign w:val="bottom"/>
          </w:tcPr>
          <w:p>
            <w:pPr>
              <w:spacing w:after="0"/>
              <w:rPr>
                <w:sz w:val="23"/>
                <w:szCs w:val="23"/>
                <w:color w:val="auto"/>
              </w:rPr>
            </w:pPr>
          </w:p>
        </w:tc>
        <w:tc>
          <w:tcPr>
            <w:tcW w:w="10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Nebraska Gas</w:t>
            </w:r>
          </w:p>
        </w:tc>
        <w:tc>
          <w:tcPr>
            <w:tcW w:w="1220" w:type="dxa"/>
            <w:vAlign w:val="bottom"/>
            <w:shd w:val="clear" w:color="auto" w:fill="CEFFE7"/>
          </w:tcPr>
          <w:p>
            <w:pPr>
              <w:spacing w:after="0"/>
              <w:rPr>
                <w:sz w:val="23"/>
                <w:szCs w:val="23"/>
                <w:color w:val="auto"/>
              </w:rPr>
            </w:pP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Nebraska Gas Dist.</w:t>
            </w:r>
          </w:p>
        </w:tc>
        <w:tc>
          <w:tcPr>
            <w:tcW w:w="1220" w:type="dxa"/>
            <w:vAlign w:val="bottom"/>
          </w:tcPr>
          <w:p>
            <w:pPr>
              <w:spacing w:after="0"/>
              <w:rPr>
                <w:sz w:val="23"/>
                <w:szCs w:val="23"/>
                <w:color w:val="auto"/>
              </w:rPr>
            </w:pPr>
          </w:p>
        </w:tc>
        <w:tc>
          <w:tcPr>
            <w:tcW w:w="10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(a)</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8"/>
                <w:szCs w:val="18"/>
                <w:color w:val="auto"/>
              </w:rPr>
              <w:t>Wyoming Gas Dist.</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2"/>
                <w:szCs w:val="22"/>
                <w:color w:val="auto"/>
              </w:rPr>
            </w:pP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20"/>
                <w:szCs w:val="20"/>
                <w:color w:val="auto"/>
              </w:rPr>
            </w:pPr>
            <w:r>
              <w:rPr>
                <w:rFonts w:ascii="Arial" w:cs="Arial" w:eastAsia="Arial" w:hAnsi="Arial"/>
                <w:sz w:val="16"/>
                <w:szCs w:val="16"/>
                <w:color w:val="auto"/>
              </w:rPr>
              <w:t>__________</w:t>
            </w: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(a) DSM/Energy Efficiency is only applicable to Cheyenne Light.</w:t>
      </w:r>
    </w:p>
    <w:p>
      <w:pPr>
        <w:spacing w:after="0" w:line="1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13 in the Notes to the Consolidated Financial Statements in this Annual Report on Form 10-K for information regarding current natural gas rate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2016 includes results from the acquired SourceGas utilities starting February 12,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Revenue (in thousands)</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(in thousands)</w:t>
            </w:r>
          </w:p>
        </w:tc>
        <w:tc>
          <w:tcPr>
            <w:tcW w:w="34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color w:val="auto"/>
              </w:rPr>
              <w:t>Quantities Sold and Transported (Dth)</w:t>
            </w: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2017</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567,785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499,852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433,106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276,858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255,626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228,512</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65,352,164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54,645,598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49,390,451</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214,718</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197,054</w:t>
            </w:r>
          </w:p>
        </w:tc>
        <w:tc>
          <w:tcPr>
            <w:tcW w:w="3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162,547</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82,529</w:t>
            </w: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78,249</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67,375</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30,753,361</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27,315,871</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24,037,861</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26,466</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24,454</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7,056</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6,226</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5,601</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6,309,211</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5,855,053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5,737,430</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200" w:type="dxa"/>
            <w:vAlign w:val="bottom"/>
            <w:tcBorders>
              <w:bottom w:val="single" w:sz="8" w:color="auto"/>
            </w:tcBorders>
            <w:shd w:val="clear" w:color="auto" w:fill="CEFFE7"/>
          </w:tcPr>
          <w:p>
            <w:pPr>
              <w:spacing w:after="0"/>
              <w:rPr>
                <w:sz w:val="23"/>
                <w:szCs w:val="23"/>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(7,899)</w:t>
            </w:r>
          </w:p>
        </w:tc>
        <w:tc>
          <w:tcPr>
            <w:tcW w:w="260" w:type="dxa"/>
            <w:vAlign w:val="bottom"/>
            <w:tcBorders>
              <w:bottom w:val="single" w:sz="8" w:color="auto"/>
            </w:tcBorders>
            <w:shd w:val="clear" w:color="auto" w:fill="CEFFE7"/>
          </w:tcPr>
          <w:p>
            <w:pPr>
              <w:spacing w:after="0"/>
              <w:rPr>
                <w:sz w:val="23"/>
                <w:szCs w:val="23"/>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8,647</w:t>
            </w:r>
          </w:p>
        </w:tc>
        <w:tc>
          <w:tcPr>
            <w:tcW w:w="340" w:type="dxa"/>
            <w:vAlign w:val="bottom"/>
            <w:tcBorders>
              <w:bottom w:val="single" w:sz="8" w:color="auto"/>
            </w:tcBorders>
            <w:shd w:val="clear" w:color="auto" w:fill="CEFFE7"/>
          </w:tcPr>
          <w:p>
            <w:pPr>
              <w:spacing w:after="0"/>
              <w:rPr>
                <w:sz w:val="23"/>
                <w:szCs w:val="23"/>
                <w:color w:val="auto"/>
              </w:rPr>
            </w:pPr>
          </w:p>
        </w:tc>
        <w:tc>
          <w:tcPr>
            <w:tcW w:w="7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12,694</w:t>
            </w:r>
          </w:p>
        </w:tc>
        <w:tc>
          <w:tcPr>
            <w:tcW w:w="100" w:type="dxa"/>
            <w:vAlign w:val="bottom"/>
            <w:shd w:val="clear" w:color="auto" w:fill="CEFFE7"/>
          </w:tcPr>
          <w:p>
            <w:pPr>
              <w:spacing w:after="0"/>
              <w:rPr>
                <w:sz w:val="23"/>
                <w:szCs w:val="23"/>
                <w:color w:val="auto"/>
              </w:rPr>
            </w:pPr>
          </w:p>
        </w:tc>
        <w:tc>
          <w:tcPr>
            <w:tcW w:w="240" w:type="dxa"/>
            <w:vAlign w:val="bottom"/>
            <w:tcBorders>
              <w:bottom w:val="single" w:sz="8" w:color="auto"/>
            </w:tcBorders>
            <w:shd w:val="clear" w:color="auto" w:fill="CEFFE7"/>
          </w:tcPr>
          <w:p>
            <w:pPr>
              <w:spacing w:after="0"/>
              <w:rPr>
                <w:sz w:val="23"/>
                <w:szCs w:val="23"/>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(7,899)</w:t>
            </w:r>
          </w:p>
        </w:tc>
        <w:tc>
          <w:tcPr>
            <w:tcW w:w="240" w:type="dxa"/>
            <w:vAlign w:val="bottom"/>
            <w:tcBorders>
              <w:bottom w:val="single" w:sz="8" w:color="auto"/>
            </w:tcBorders>
            <w:shd w:val="clear" w:color="auto" w:fill="CEFFE7"/>
          </w:tcPr>
          <w:p>
            <w:pPr>
              <w:spacing w:after="0"/>
              <w:rPr>
                <w:sz w:val="23"/>
                <w:szCs w:val="23"/>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8,647</w:t>
            </w:r>
          </w:p>
        </w:tc>
        <w:tc>
          <w:tcPr>
            <w:tcW w:w="260" w:type="dxa"/>
            <w:vAlign w:val="bottom"/>
            <w:tcBorders>
              <w:bottom w:val="single" w:sz="8" w:color="auto"/>
            </w:tcBorders>
            <w:shd w:val="clear" w:color="auto" w:fill="CEFFE7"/>
          </w:tcPr>
          <w:p>
            <w:pPr>
              <w:spacing w:after="0"/>
              <w:rPr>
                <w:sz w:val="23"/>
                <w:szCs w:val="23"/>
                <w:color w:val="auto"/>
              </w:rPr>
            </w:pP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12,694</w:t>
            </w:r>
          </w:p>
        </w:tc>
        <w:tc>
          <w:tcPr>
            <w:tcW w:w="120" w:type="dxa"/>
            <w:vAlign w:val="bottom"/>
            <w:shd w:val="clear" w:color="auto" w:fill="CEFFE7"/>
          </w:tcPr>
          <w:p>
            <w:pPr>
              <w:spacing w:after="0"/>
              <w:rPr>
                <w:sz w:val="23"/>
                <w:szCs w:val="23"/>
                <w:color w:val="auto"/>
              </w:rPr>
            </w:pPr>
          </w:p>
        </w:tc>
        <w:tc>
          <w:tcPr>
            <w:tcW w:w="11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Total Distribution</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801,070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730,007</w:t>
            </w:r>
          </w:p>
        </w:tc>
        <w:tc>
          <w:tcPr>
            <w:tcW w:w="34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629,592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358,544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348,748</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314,182</w:t>
            </w:r>
          </w:p>
        </w:tc>
        <w:tc>
          <w:tcPr>
            <w:tcW w:w="12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102,414,736</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87,816,522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79,165,742</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Transportation and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Transmission</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141,854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135,824</w:t>
            </w:r>
          </w:p>
        </w:tc>
        <w:tc>
          <w:tcPr>
            <w:tcW w:w="3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139,490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141,850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135,824</w:t>
            </w: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139,282</w:t>
            </w:r>
          </w:p>
        </w:tc>
        <w:tc>
          <w:tcPr>
            <w:tcW w:w="12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148,299,003</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141,600,080</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126,927,565</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Total Regulated</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942,924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865,831</w:t>
            </w:r>
          </w:p>
        </w:tc>
        <w:tc>
          <w:tcPr>
            <w:tcW w:w="34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769,082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500,394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484,572</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453,464</w:t>
            </w:r>
          </w:p>
        </w:tc>
        <w:tc>
          <w:tcPr>
            <w:tcW w:w="12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250,713,739</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229,416,602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206,093,307</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Non-regulated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Services</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82,383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81,799</w:t>
            </w:r>
          </w:p>
        </w:tc>
        <w:tc>
          <w:tcPr>
            <w:tcW w:w="3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62,760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53,455</w:t>
            </w: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32,714</w:t>
            </w:r>
          </w:p>
        </w:tc>
        <w:tc>
          <w:tcPr>
            <w:tcW w:w="12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Total Revenue, Gross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Margin and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1,025,307</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947,630</w:t>
            </w: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838,343</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563,154</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538,027</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486,178</w:t>
            </w:r>
          </w:p>
        </w:tc>
        <w:tc>
          <w:tcPr>
            <w:tcW w:w="120" w:type="dxa"/>
            <w:vAlign w:val="bottom"/>
          </w:tcPr>
          <w:p>
            <w:pPr>
              <w:spacing w:after="0"/>
              <w:rPr>
                <w:sz w:val="17"/>
                <w:szCs w:val="17"/>
                <w:color w:val="auto"/>
              </w:rPr>
            </w:pPr>
          </w:p>
        </w:tc>
        <w:tc>
          <w:tcPr>
            <w:tcW w:w="1180" w:type="dxa"/>
            <w:vAlign w:val="bottom"/>
            <w:vMerge w:val="restart"/>
          </w:tcPr>
          <w:p>
            <w:pPr>
              <w:jc w:val="right"/>
              <w:ind w:right="79"/>
              <w:spacing w:after="0"/>
              <w:rPr>
                <w:sz w:val="20"/>
                <w:szCs w:val="20"/>
                <w:color w:val="auto"/>
              </w:rPr>
            </w:pPr>
            <w:r>
              <w:rPr>
                <w:rFonts w:ascii="Arial" w:cs="Arial" w:eastAsia="Arial" w:hAnsi="Arial"/>
                <w:sz w:val="16"/>
                <w:szCs w:val="16"/>
                <w:color w:val="auto"/>
              </w:rPr>
              <w:t>250,713,739</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229,416,602</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206,093,307</w:t>
            </w:r>
          </w:p>
        </w:tc>
        <w:tc>
          <w:tcPr>
            <w:tcW w:w="0" w:type="dxa"/>
            <w:vAlign w:val="bottom"/>
          </w:tcPr>
          <w:p>
            <w:pPr>
              <w:spacing w:after="0"/>
              <w:rPr>
                <w:sz w:val="1"/>
                <w:szCs w:val="1"/>
                <w:color w:val="auto"/>
              </w:rPr>
            </w:pPr>
          </w:p>
        </w:tc>
      </w:tr>
      <w:tr>
        <w:trPr>
          <w:trHeight w:val="206"/>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Quantities Sold</w:t>
            </w: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12700</wp:posOffset>
            </wp:positionV>
            <wp:extent cx="622617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Non-GAAP measure.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revenue and Gross Margin in 2018 reflects the impact of revenue reserved in accordance with the TCJA.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1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Revenue (in thousands)</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(in thousands)</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Quantities Sold &amp; Transported (Dth)</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2017</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Arkansas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176,660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153,691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106,958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100,917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94,007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69,840</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30,931,390</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26,491,537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19,177,438</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Colorado</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188,002</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180,852</w:t>
            </w:r>
          </w:p>
        </w:tc>
        <w:tc>
          <w:tcPr>
            <w:tcW w:w="3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153,003</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99,851</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100,718</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86,016</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29,857,063</w:t>
            </w:r>
          </w:p>
        </w:tc>
        <w:tc>
          <w:tcPr>
            <w:tcW w:w="126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28,436,744</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23,656,891</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Nebraska</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278,969</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252,631</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244,992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164,513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154,259</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146,831</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81,658,938</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73,890,509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67,796,021</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Iowa</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161,843</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143,446</w:t>
            </w:r>
          </w:p>
        </w:tc>
        <w:tc>
          <w:tcPr>
            <w:tcW w:w="3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130,776</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68,384</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66,619</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64,170</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40,668,682</w:t>
            </w:r>
          </w:p>
        </w:tc>
        <w:tc>
          <w:tcPr>
            <w:tcW w:w="126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37,013,645</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35,383,990</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Kansas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112,306</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105,576</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100,670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55,226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53,841</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54,247</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31,387,672</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28,251,947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26,463,314</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w:t>
            </w:r>
          </w:p>
        </w:tc>
        <w:tc>
          <w:tcPr>
            <w:tcW w:w="20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107,527</w:t>
            </w:r>
          </w:p>
        </w:tc>
        <w:tc>
          <w:tcPr>
            <w:tcW w:w="28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111,434</w:t>
            </w:r>
          </w:p>
        </w:tc>
        <w:tc>
          <w:tcPr>
            <w:tcW w:w="34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101,944</w:t>
            </w:r>
          </w:p>
        </w:tc>
        <w:tc>
          <w:tcPr>
            <w:tcW w:w="10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74,263</w:t>
            </w:r>
          </w:p>
        </w:tc>
        <w:tc>
          <w:tcPr>
            <w:tcW w:w="26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68,583</w:t>
            </w:r>
          </w:p>
        </w:tc>
        <w:tc>
          <w:tcPr>
            <w:tcW w:w="26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65,074</w:t>
            </w:r>
          </w:p>
        </w:tc>
        <w:tc>
          <w:tcPr>
            <w:tcW w:w="1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36,209,994</w:t>
            </w:r>
          </w:p>
        </w:tc>
        <w:tc>
          <w:tcPr>
            <w:tcW w:w="126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35,332,220</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33,615,653</w:t>
            </w:r>
          </w:p>
        </w:tc>
        <w:tc>
          <w:tcPr>
            <w:tcW w:w="0" w:type="dxa"/>
            <w:vAlign w:val="bottom"/>
          </w:tcPr>
          <w:p>
            <w:pPr>
              <w:spacing w:after="0"/>
              <w:rPr>
                <w:sz w:val="1"/>
                <w:szCs w:val="1"/>
                <w:color w:val="auto"/>
              </w:rPr>
            </w:pPr>
          </w:p>
        </w:tc>
      </w:tr>
      <w:tr>
        <w:trPr>
          <w:trHeight w:val="20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Total Revenue, Gross</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Margin and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1,025,307</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947,630</w:t>
            </w: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838,343</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563,154</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538,027</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486,178</w:t>
            </w:r>
          </w:p>
        </w:tc>
        <w:tc>
          <w:tcPr>
            <w:tcW w:w="120" w:type="dxa"/>
            <w:vAlign w:val="bottom"/>
          </w:tcPr>
          <w:p>
            <w:pPr>
              <w:spacing w:after="0"/>
              <w:rPr>
                <w:sz w:val="17"/>
                <w:szCs w:val="17"/>
                <w:color w:val="auto"/>
              </w:rPr>
            </w:pPr>
          </w:p>
        </w:tc>
        <w:tc>
          <w:tcPr>
            <w:tcW w:w="1180" w:type="dxa"/>
            <w:vAlign w:val="bottom"/>
            <w:vMerge w:val="restart"/>
          </w:tcPr>
          <w:p>
            <w:pPr>
              <w:jc w:val="right"/>
              <w:ind w:right="79"/>
              <w:spacing w:after="0"/>
              <w:rPr>
                <w:sz w:val="20"/>
                <w:szCs w:val="20"/>
                <w:color w:val="auto"/>
              </w:rPr>
            </w:pPr>
            <w:r>
              <w:rPr>
                <w:rFonts w:ascii="Arial" w:cs="Arial" w:eastAsia="Arial" w:hAnsi="Arial"/>
                <w:sz w:val="16"/>
                <w:szCs w:val="16"/>
                <w:color w:val="auto"/>
              </w:rPr>
              <w:t>250,713,739</w:t>
            </w:r>
          </w:p>
        </w:tc>
        <w:tc>
          <w:tcPr>
            <w:tcW w:w="1260" w:type="dxa"/>
            <w:vAlign w:val="bottom"/>
            <w:vMerge w:val="restart"/>
          </w:tcPr>
          <w:p>
            <w:pPr>
              <w:jc w:val="right"/>
              <w:ind w:right="199"/>
              <w:spacing w:after="0"/>
              <w:rPr>
                <w:sz w:val="20"/>
                <w:szCs w:val="20"/>
                <w:color w:val="auto"/>
              </w:rPr>
            </w:pPr>
            <w:r>
              <w:rPr>
                <w:rFonts w:ascii="Arial" w:cs="Arial" w:eastAsia="Arial" w:hAnsi="Arial"/>
                <w:sz w:val="16"/>
                <w:szCs w:val="16"/>
                <w:color w:val="auto"/>
              </w:rPr>
              <w:t>229,416,602</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4"/>
              </w:rPr>
              <w:t>206,093,307</w:t>
            </w:r>
          </w:p>
        </w:tc>
        <w:tc>
          <w:tcPr>
            <w:tcW w:w="0" w:type="dxa"/>
            <w:vAlign w:val="bottom"/>
          </w:tcPr>
          <w:p>
            <w:pPr>
              <w:spacing w:after="0"/>
              <w:rPr>
                <w:sz w:val="1"/>
                <w:szCs w:val="1"/>
                <w:color w:val="auto"/>
              </w:rPr>
            </w:pPr>
          </w:p>
        </w:tc>
      </w:tr>
      <w:tr>
        <w:trPr>
          <w:trHeight w:val="206"/>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Quantities Sold</w:t>
            </w: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12700</wp:posOffset>
            </wp:positionV>
            <wp:extent cx="622617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Non-GAAP measure.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ind w:left="40"/>
              <w:spacing w:after="0"/>
              <w:rPr>
                <w:sz w:val="20"/>
                <w:szCs w:val="20"/>
                <w:color w:val="auto"/>
              </w:rPr>
            </w:pPr>
            <w:r>
              <w:rPr>
                <w:rFonts w:ascii="Arial" w:cs="Arial" w:eastAsia="Arial" w:hAnsi="Arial"/>
                <w:sz w:val="16"/>
                <w:szCs w:val="16"/>
                <w:color w:val="auto"/>
              </w:rPr>
              <w:t>Customers at End of Year</w:t>
            </w:r>
          </w:p>
        </w:tc>
        <w:tc>
          <w:tcPr>
            <w:tcW w:w="1720" w:type="dxa"/>
            <w:vAlign w:val="bottom"/>
          </w:tcPr>
          <w:p>
            <w:pPr>
              <w:jc w:val="right"/>
              <w:ind w:right="739"/>
              <w:spacing w:after="0"/>
              <w:rPr>
                <w:sz w:val="20"/>
                <w:szCs w:val="20"/>
                <w:color w:val="auto"/>
              </w:rPr>
            </w:pPr>
            <w:r>
              <w:rPr>
                <w:rFonts w:ascii="Arial" w:cs="Arial" w:eastAsia="Arial" w:hAnsi="Arial"/>
                <w:sz w:val="16"/>
                <w:szCs w:val="16"/>
                <w:color w:val="auto"/>
              </w:rPr>
              <w:t>2018</w:t>
            </w:r>
          </w:p>
        </w:tc>
        <w:tc>
          <w:tcPr>
            <w:tcW w:w="1480" w:type="dxa"/>
            <w:vAlign w:val="bottom"/>
          </w:tcPr>
          <w:p>
            <w:pPr>
              <w:jc w:val="right"/>
              <w:ind w:right="719"/>
              <w:spacing w:after="0"/>
              <w:rPr>
                <w:sz w:val="20"/>
                <w:szCs w:val="20"/>
                <w:color w:val="auto"/>
              </w:rPr>
            </w:pPr>
            <w:r>
              <w:rPr>
                <w:rFonts w:ascii="Arial" w:cs="Arial" w:eastAsia="Arial" w:hAnsi="Arial"/>
                <w:sz w:val="16"/>
                <w:szCs w:val="16"/>
                <w:color w:val="auto"/>
              </w:rPr>
              <w:t>2017</w:t>
            </w:r>
          </w:p>
        </w:tc>
        <w:tc>
          <w:tcPr>
            <w:tcW w:w="1240" w:type="dxa"/>
            <w:vAlign w:val="bottom"/>
          </w:tcPr>
          <w:p>
            <w:pPr>
              <w:jc w:val="right"/>
              <w:ind w:right="49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7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821,624</w:t>
            </w:r>
          </w:p>
        </w:tc>
        <w:tc>
          <w:tcPr>
            <w:tcW w:w="14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806,744</w:t>
            </w: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800,980</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 xml:space="preserve">Commercial </w:t>
            </w:r>
            <w:r>
              <w:rPr>
                <w:rFonts w:ascii="Arial" w:cs="Arial" w:eastAsia="Arial" w:hAnsi="Arial"/>
                <w:sz w:val="21"/>
                <w:szCs w:val="21"/>
                <w:color w:val="auto"/>
                <w:vertAlign w:val="superscript"/>
              </w:rPr>
              <w:t>(a)</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82,498</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86,461</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84,049</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7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2,221</w:t>
            </w:r>
          </w:p>
        </w:tc>
        <w:tc>
          <w:tcPr>
            <w:tcW w:w="14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2,214</w:t>
            </w: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Transportation/Other</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147,550</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146,839</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143,673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EFFE7"/>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Customers at End of Year</w:t>
            </w:r>
          </w:p>
        </w:tc>
        <w:tc>
          <w:tcPr>
            <w:tcW w:w="172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1,053,893</w:t>
            </w:r>
          </w:p>
        </w:tc>
        <w:tc>
          <w:tcPr>
            <w:tcW w:w="14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1,042,258</w:t>
            </w:r>
          </w:p>
        </w:tc>
        <w:tc>
          <w:tcPr>
            <w:tcW w:w="1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1,030,752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decrease is 2018 is due to customer class reclassification to residential at our Colorado Gas utilities.</w:t>
      </w: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6760" w:type="dxa"/>
            <w:vAlign w:val="bottom"/>
          </w:tcPr>
          <w:p>
            <w:pPr>
              <w:ind w:left="20"/>
              <w:spacing w:after="0"/>
              <w:rPr>
                <w:sz w:val="20"/>
                <w:szCs w:val="20"/>
                <w:color w:val="auto"/>
              </w:rPr>
            </w:pPr>
            <w:r>
              <w:rPr>
                <w:rFonts w:ascii="Arial" w:cs="Arial" w:eastAsia="Arial" w:hAnsi="Arial"/>
                <w:sz w:val="16"/>
                <w:szCs w:val="16"/>
                <w:color w:val="auto"/>
              </w:rPr>
              <w:t>Customers at End of Year</w:t>
            </w:r>
          </w:p>
        </w:tc>
        <w:tc>
          <w:tcPr>
            <w:tcW w:w="1680" w:type="dxa"/>
            <w:vAlign w:val="bottom"/>
          </w:tcPr>
          <w:p>
            <w:pPr>
              <w:jc w:val="right"/>
              <w:ind w:right="719"/>
              <w:spacing w:after="0"/>
              <w:rPr>
                <w:sz w:val="20"/>
                <w:szCs w:val="20"/>
                <w:color w:val="auto"/>
              </w:rPr>
            </w:pPr>
            <w:r>
              <w:rPr>
                <w:rFonts w:ascii="Arial" w:cs="Arial" w:eastAsia="Arial" w:hAnsi="Arial"/>
                <w:sz w:val="16"/>
                <w:szCs w:val="16"/>
                <w:color w:val="auto"/>
              </w:rPr>
              <w:t>2018</w:t>
            </w:r>
          </w:p>
        </w:tc>
        <w:tc>
          <w:tcPr>
            <w:tcW w:w="1440" w:type="dxa"/>
            <w:vAlign w:val="bottom"/>
          </w:tcPr>
          <w:p>
            <w:pPr>
              <w:jc w:val="right"/>
              <w:ind w:right="699"/>
              <w:spacing w:after="0"/>
              <w:rPr>
                <w:sz w:val="20"/>
                <w:szCs w:val="20"/>
                <w:color w:val="auto"/>
              </w:rPr>
            </w:pPr>
            <w:r>
              <w:rPr>
                <w:rFonts w:ascii="Arial" w:cs="Arial" w:eastAsia="Arial" w:hAnsi="Arial"/>
                <w:sz w:val="16"/>
                <w:szCs w:val="16"/>
                <w:color w:val="auto"/>
              </w:rPr>
              <w:t>2017</w:t>
            </w:r>
          </w:p>
        </w:tc>
        <w:tc>
          <w:tcPr>
            <w:tcW w:w="1200" w:type="dxa"/>
            <w:vAlign w:val="bottom"/>
          </w:tcPr>
          <w:p>
            <w:pPr>
              <w:jc w:val="right"/>
              <w:ind w:right="479"/>
              <w:spacing w:after="0"/>
              <w:rPr>
                <w:sz w:val="20"/>
                <w:szCs w:val="20"/>
                <w:color w:val="auto"/>
              </w:rPr>
            </w:pPr>
            <w:r>
              <w:rPr>
                <w:rFonts w:ascii="Arial" w:cs="Arial" w:eastAsia="Arial" w:hAnsi="Arial"/>
                <w:sz w:val="16"/>
                <w:szCs w:val="16"/>
                <w:color w:val="auto"/>
              </w:rPr>
              <w:t>2016</w:t>
            </w:r>
          </w:p>
        </w:tc>
      </w:tr>
      <w:tr>
        <w:trPr>
          <w:trHeight w:val="33"/>
        </w:trPr>
        <w:tc>
          <w:tcPr>
            <w:tcW w:w="6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6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6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171,978</w:t>
            </w:r>
          </w:p>
        </w:tc>
        <w:tc>
          <w:tcPr>
            <w:tcW w:w="144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169,303</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166,512</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Colorado</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186,759</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181,876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177,394</w:t>
            </w:r>
          </w:p>
        </w:tc>
      </w:tr>
      <w:tr>
        <w:trPr>
          <w:trHeight w:val="33"/>
        </w:trPr>
        <w:tc>
          <w:tcPr>
            <w:tcW w:w="6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16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291,723</w:t>
            </w:r>
          </w:p>
        </w:tc>
        <w:tc>
          <w:tcPr>
            <w:tcW w:w="144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290,264</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289,653</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Iowa</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158,485</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157,444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156,014</w:t>
            </w:r>
          </w:p>
        </w:tc>
      </w:tr>
      <w:tr>
        <w:trPr>
          <w:trHeight w:val="33"/>
        </w:trPr>
        <w:tc>
          <w:tcPr>
            <w:tcW w:w="6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Kansas</w:t>
            </w:r>
          </w:p>
        </w:tc>
        <w:tc>
          <w:tcPr>
            <w:tcW w:w="16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114,840</w:t>
            </w:r>
          </w:p>
        </w:tc>
        <w:tc>
          <w:tcPr>
            <w:tcW w:w="144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114,082</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112,957</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Wyoming</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130,108</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129,289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128,222</w:t>
            </w:r>
          </w:p>
        </w:tc>
      </w:tr>
      <w:tr>
        <w:trPr>
          <w:trHeight w:val="33"/>
        </w:trPr>
        <w:tc>
          <w:tcPr>
            <w:tcW w:w="6760" w:type="dxa"/>
            <w:vAlign w:val="bottom"/>
            <w:tcBorders>
              <w:bottom w:val="single" w:sz="8" w:color="CEFFE7"/>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Customers at End of Year</w:t>
            </w:r>
          </w:p>
        </w:tc>
        <w:tc>
          <w:tcPr>
            <w:tcW w:w="16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1,053,893</w:t>
            </w:r>
          </w:p>
        </w:tc>
        <w:tc>
          <w:tcPr>
            <w:tcW w:w="14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1,042,258</w:t>
            </w:r>
          </w:p>
        </w:tc>
        <w:tc>
          <w:tcPr>
            <w:tcW w:w="1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1,030,752</w:t>
            </w:r>
          </w:p>
        </w:tc>
      </w:tr>
      <w:tr>
        <w:trPr>
          <w:trHeight w:val="20"/>
        </w:trPr>
        <w:tc>
          <w:tcPr>
            <w:tcW w:w="6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Utility Regulation Characteristics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Regulations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Certain states where we conduct electric utility operations have adopted renewable energy portfolio standards that require or encourage our Electric Utilities to source, by a certain future date, a minimum percentage of the electricity delivered to customers from renewable energy generation facilities. As of December 31, 2018, we were subject to the following renewable energy portfolio standards or objectives:</w:t>
      </w:r>
    </w:p>
    <w:p>
      <w:pPr>
        <w:spacing w:after="0" w:line="181" w:lineRule="exact"/>
        <w:rPr>
          <w:sz w:val="20"/>
          <w:szCs w:val="20"/>
          <w:color w:val="auto"/>
        </w:rPr>
      </w:pPr>
    </w:p>
    <w:p>
      <w:pPr>
        <w:ind w:left="660" w:right="18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Colorado</w:t>
      </w:r>
      <w:r>
        <w:rPr>
          <w:rFonts w:ascii="Arial" w:cs="Arial" w:eastAsia="Arial" w:hAnsi="Arial"/>
          <w:sz w:val="16"/>
          <w:szCs w:val="16"/>
          <w:color w:val="auto"/>
        </w:rPr>
        <w:t>. Colorado adopted a renewable energy standard that has two components: (i) electric resource standards and (ii) a 2% maximum annual retail rate impact for compliance with the electric resource standards. The electric resource standards require our Colorado Electric subsidiary to generate, or cause to be generated, electricity from renewable energy sources equaling: (i) 20% of retail sales from 2015 to 2019; and (ii) 30% of retail sales by 2020. Of these amounts, 3% must be generated from distributed generation sources with one-half of these resources being located at customer facilities. The net annual incremental retail rate impact from these renewable resource acquisitions (as compared to non-renewable resources) is limited to 2%. The standard encourages the CPUC to consider earlier and timely cost recovery for utility investment in renewable resources, including the use of a forward rider mechanism. We are currently in compliance with these standards.</w:t>
      </w:r>
    </w:p>
    <w:p>
      <w:pPr>
        <w:spacing w:after="0" w:line="167" w:lineRule="exact"/>
        <w:rPr>
          <w:sz w:val="20"/>
          <w:szCs w:val="20"/>
          <w:color w:val="auto"/>
        </w:rPr>
      </w:pPr>
    </w:p>
    <w:p>
      <w:pPr>
        <w:ind w:left="660" w:right="40" w:firstLine="648"/>
        <w:spacing w:after="0" w:line="276" w:lineRule="auto"/>
        <w:rPr>
          <w:sz w:val="20"/>
          <w:szCs w:val="20"/>
          <w:color w:val="auto"/>
        </w:rPr>
      </w:pPr>
      <w:r>
        <w:rPr>
          <w:rFonts w:ascii="Arial" w:cs="Arial" w:eastAsia="Arial" w:hAnsi="Arial"/>
          <w:sz w:val="17"/>
          <w:szCs w:val="17"/>
          <w:color w:val="auto"/>
        </w:rPr>
        <w:t>On April 25, 2018, Colorado Electric received approval from the CPUC to contract with Black Hills Electric Generation to purchase 60 MW of wind energy through a 25-year PPA. The Busch Ranch II wind project is currently under construction and is expected to be in service by the end of 2019. This renewable energy will enable Colorado Electric to comply with Colorado's Renewable Energy Standard. This renewable energy project was originally submitted in response to Colorado Electric’s electric resource plan filed June 3, 2016, which also provides for additional small solar and community solar gardens as part of the compliance plan.</w:t>
      </w:r>
    </w:p>
    <w:p>
      <w:pPr>
        <w:spacing w:after="0" w:line="173"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On November 7, 2016, Colorado Electric took ownership of Peak View, a $109 million, 60 MW wind project located near Colorado Electric's Busch Ranch I Wind Farm. Peak View achieved commercial operation on November 7, 2016. This renewable energy project was originally submitted in response to Colorado Electric’s all-source generation request on May 5, 2014. The CPUC’s settlement agreement provides for recovery of the costs of the project through Colorado Electric’s Energy Cost Adjustments and Renewable Energy Standard Surcharge for 10 years, after which, Colorado Electric can propose base rate recovery. Colorado Electric will be required to make an annual comparison of the cost of the renewable energy generated by the facility against the bid cost of a PPA from the same facility.</w:t>
      </w:r>
    </w:p>
    <w:p>
      <w:pPr>
        <w:spacing w:after="0" w:line="178" w:lineRule="exact"/>
        <w:rPr>
          <w:sz w:val="20"/>
          <w:szCs w:val="20"/>
          <w:color w:val="auto"/>
        </w:rPr>
      </w:pPr>
    </w:p>
    <w:p>
      <w:pPr>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Montana</w:t>
      </w:r>
      <w:r>
        <w:rPr>
          <w:rFonts w:ascii="Arial" w:cs="Arial" w:eastAsia="Arial" w:hAnsi="Arial"/>
          <w:sz w:val="18"/>
          <w:szCs w:val="18"/>
          <w:color w:val="auto"/>
        </w:rPr>
        <w:t>. In 2005, Montana established a renewable portfolio standard that requires public utilities to obtain a percentage of their retail electricity sales from eligible renewable resources. In March 2013, South Dakota Electric filed a petition with the MTPSC requesting a waiver of the renewable portfolio standards primarily due to exceeding the applicable “cost cap” included in the standards. In March 2013, the Montana Legislature adopted legislation that had the effect of excluding South Dakota Electric from all renewable portfolio standard requirements under State Senate Bill 164, primarily due to the very low number of customers South Dakota Electric has in Montana and the relatively high cost of meeting the renewable requirements.</w:t>
      </w:r>
    </w:p>
    <w:p>
      <w:pPr>
        <w:spacing w:after="0" w:line="19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South Dakota</w:t>
      </w:r>
      <w:r>
        <w:rPr>
          <w:rFonts w:ascii="Arial" w:cs="Arial" w:eastAsia="Arial" w:hAnsi="Arial"/>
          <w:sz w:val="18"/>
          <w:szCs w:val="18"/>
          <w:color w:val="auto"/>
        </w:rPr>
        <w:t>. South Dakota has adopted a renewable portfolio objective that encourages, but does not mandate utilities to generate, or cause to be generated, at least 10% of their retail electricity supply from renewable energy sources by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Wyoming</w:t>
      </w:r>
      <w:r>
        <w:rPr>
          <w:rFonts w:ascii="Arial" w:cs="Arial" w:eastAsia="Arial" w:hAnsi="Arial"/>
          <w:sz w:val="18"/>
          <w:szCs w:val="18"/>
          <w:color w:val="auto"/>
        </w:rPr>
        <w:t>. Wyoming currently has no renewable energy portfolio standard.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Absent a specific renewable energy mandate in the territories we serve, our current strategy is to prudently incorporate renewable energy into our resource supply. Mandatory portfolio standards have increased and would likely continue to increase the power supply costs of our Electric Utilities’ operations. Although we will seek to recover these higher costs in rates, we can provide no assurance that we will be able to secure full recovery of the costs we pay to be in compliance with standards or objectives. We cannot at this time reasonably forecast the potential costs associated with any new renewable energy standards that have been or may be proposed at the federal or state level.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53"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Federal Regulation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Energy Policy Act. </w:t>
      </w:r>
      <w:r>
        <w:rPr>
          <w:rFonts w:ascii="Arial" w:cs="Arial" w:eastAsia="Arial" w:hAnsi="Arial"/>
          <w:sz w:val="18"/>
          <w:szCs w:val="18"/>
          <w:color w:val="auto"/>
        </w:rPr>
        <w:t>Black Hills Corporation is a holding company whose assets consist primarily of investments in our subsidiaries, including subsidiaries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public utilities and holding companies regulated by FERC under the Federal Power Act and PUHCA 2005.</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Federal Power Act</w:t>
      </w:r>
      <w:r>
        <w:rPr>
          <w:rFonts w:ascii="Arial" w:cs="Arial" w:eastAsia="Arial" w:hAnsi="Arial"/>
          <w:sz w:val="18"/>
          <w:szCs w:val="18"/>
          <w:color w:val="auto"/>
        </w:rPr>
        <w:t>. The Federal Power Act gives FERC exclusive rate-making jurisdiction over wholesale sales of electricity and the 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Utilities’ subsidiaries provide FERC-jurisdictional services subject to FERC’s oversight.</w:t>
      </w:r>
    </w:p>
    <w:p>
      <w:pPr>
        <w:spacing w:after="0" w:line="193"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Electric Utilities, Black Hills Colorado IPP and Black Hills Wyoming are authorized by FERC to make wholesale sales of electric capacity and energy at market-based rates under tariffs on file with FERC. As a condition of their market-based rate authority, each files Electric Quarterly Reports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Federal Power Act authorizes FERC to certify and oversee a national electric reliability organization with authority to promulgate and enforce mandatory reliability standards applicable to all users, owners and operators of the bulk-power system. FERC has certified NERC as the electric reliability organization. NERC has promulgated mandatory reliability standards and NERC, in conjunction with regional reliability organizations that operate under FERC’s and NERC’s authority and oversight, enforces those mandatory reliability standards.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PUHCA 2005</w:t>
      </w:r>
      <w:r>
        <w:rPr>
          <w:rFonts w:ascii="Arial" w:cs="Arial" w:eastAsia="Arial" w:hAnsi="Arial"/>
          <w:sz w:val="18"/>
          <w:szCs w:val="18"/>
          <w:color w:val="auto"/>
        </w:rPr>
        <w:t>. PUHCA 2005 gives FERC authority with respect to the books and records of a utility holding company. As a utility holding company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centralized service company subsidiary, BHSC, we are subject to FERC’s authority under PUHCA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Generation Segment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Power Generation segment, which operates through Black Hills Electric Generation and its subsidiaries, acquires, develops and operates our non-regulated power plants. As of December 31, 2018, we held varying interests in independent power plants operating in Wyoming and Colorado with a total net ownership of approximately 283 MW.</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produce electric power from our generating plants and sell the electric capacity and energy, primarily to affiliates under a combination of mid- to long-term contracts, which mitigates the impact of a potential downturn in future power prices. We currently sell a substantial majority of our non-regulated generating capacity under contracts having terms greater than one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power plant ownership interests held by our Power Generation segment include: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00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Fuel</w:t>
            </w:r>
          </w:p>
        </w:tc>
        <w:tc>
          <w:tcPr>
            <w:tcW w:w="1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Owned Capacity</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Power Plants</w:t>
            </w:r>
          </w:p>
        </w:tc>
        <w:tc>
          <w:tcPr>
            <w:tcW w:w="2000" w:type="dxa"/>
            <w:vAlign w:val="bottom"/>
          </w:tcPr>
          <w:p>
            <w:pPr>
              <w:jc w:val="center"/>
              <w:ind w:left="1070"/>
              <w:spacing w:after="0"/>
              <w:rPr>
                <w:sz w:val="20"/>
                <w:szCs w:val="20"/>
                <w:color w:val="auto"/>
              </w:rPr>
            </w:pPr>
            <w:r>
              <w:rPr>
                <w:rFonts w:ascii="Arial" w:cs="Arial" w:eastAsia="Arial" w:hAnsi="Arial"/>
                <w:sz w:val="18"/>
                <w:szCs w:val="18"/>
                <w:b w:val="1"/>
                <w:bCs w:val="1"/>
                <w:color w:val="auto"/>
                <w:w w:val="85"/>
              </w:rPr>
              <w:t>Type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(MW)</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In Service Date</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Wygen I</w:t>
            </w:r>
          </w:p>
        </w:tc>
        <w:tc>
          <w:tcPr>
            <w:tcW w:w="2000" w:type="dxa"/>
            <w:vAlign w:val="bottom"/>
            <w:tcBorders>
              <w:bottom w:val="single" w:sz="8" w:color="CEFFE7"/>
            </w:tcBorders>
            <w:shd w:val="clear" w:color="auto" w:fill="CEFFE7"/>
          </w:tcPr>
          <w:p>
            <w:pPr>
              <w:jc w:val="center"/>
              <w:ind w:left="1050"/>
              <w:spacing w:after="0"/>
              <w:rPr>
                <w:sz w:val="20"/>
                <w:szCs w:val="20"/>
                <w:color w:val="auto"/>
              </w:rPr>
            </w:pPr>
            <w:r>
              <w:rPr>
                <w:rFonts w:ascii="Arial" w:cs="Arial" w:eastAsia="Arial" w:hAnsi="Arial"/>
                <w:sz w:val="18"/>
                <w:szCs w:val="18"/>
                <w:color w:val="auto"/>
                <w:w w:val="91"/>
              </w:rPr>
              <w:t>Coal</w:t>
            </w:r>
          </w:p>
        </w:tc>
        <w:tc>
          <w:tcPr>
            <w:tcW w:w="18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Gillette, Wyoming</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76.5%</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68.9</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Pueblo Airport Generation </w:t>
            </w:r>
            <w:r>
              <w:rPr>
                <w:rFonts w:ascii="Arial" w:cs="Arial" w:eastAsia="Arial" w:hAnsi="Arial"/>
                <w:sz w:val="25"/>
                <w:szCs w:val="25"/>
                <w:color w:val="auto"/>
                <w:vertAlign w:val="superscript"/>
              </w:rPr>
              <w:t>(a)</w:t>
            </w:r>
          </w:p>
        </w:tc>
        <w:tc>
          <w:tcPr>
            <w:tcW w:w="2000" w:type="dxa"/>
            <w:vAlign w:val="bottom"/>
          </w:tcPr>
          <w:p>
            <w:pPr>
              <w:jc w:val="center"/>
              <w:ind w:left="1070"/>
              <w:spacing w:after="0"/>
              <w:rPr>
                <w:sz w:val="20"/>
                <w:szCs w:val="20"/>
                <w:color w:val="auto"/>
              </w:rPr>
            </w:pPr>
            <w:r>
              <w:rPr>
                <w:rFonts w:ascii="Arial" w:cs="Arial" w:eastAsia="Arial" w:hAnsi="Arial"/>
                <w:sz w:val="18"/>
                <w:szCs w:val="18"/>
                <w:color w:val="auto"/>
                <w:w w:val="84"/>
              </w:rPr>
              <w:t>Gas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50.1%</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Busch Ranch I</w:t>
            </w:r>
          </w:p>
        </w:tc>
        <w:tc>
          <w:tcPr>
            <w:tcW w:w="2000" w:type="dxa"/>
            <w:vAlign w:val="bottom"/>
            <w:tcBorders>
              <w:bottom w:val="single" w:sz="8" w:color="CEFFE7"/>
            </w:tcBorders>
            <w:shd w:val="clear" w:color="auto" w:fill="CEFFE7"/>
          </w:tcPr>
          <w:p>
            <w:pPr>
              <w:jc w:val="center"/>
              <w:ind w:left="1070"/>
              <w:spacing w:after="0"/>
              <w:rPr>
                <w:sz w:val="20"/>
                <w:szCs w:val="20"/>
                <w:color w:val="auto"/>
              </w:rPr>
            </w:pPr>
            <w:r>
              <w:rPr>
                <w:rFonts w:ascii="Arial" w:cs="Arial" w:eastAsia="Arial" w:hAnsi="Arial"/>
                <w:sz w:val="18"/>
                <w:szCs w:val="18"/>
                <w:color w:val="auto"/>
                <w:w w:val="97"/>
              </w:rPr>
              <w:t>Wind</w:t>
            </w:r>
          </w:p>
        </w:tc>
        <w:tc>
          <w:tcPr>
            <w:tcW w:w="18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Pueblo, Colorado</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50.0%</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14.5</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6"/>
                <w:szCs w:val="16"/>
                <w:color w:val="auto"/>
              </w:rPr>
              <w:t>_________________________</w:t>
            </w:r>
          </w:p>
        </w:tc>
        <w:tc>
          <w:tcPr>
            <w:tcW w:w="2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vMerge w:val="continu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Black Hills Colorado IPP owns and operates this facility. This facility provides capacity and energy to Colorado Electric under a 20-year PPA with Colorado Electric. This PPA is accounted for as a capital lease on the accompanying Consolidated Financial Statements.</w:t>
      </w:r>
    </w:p>
    <w:p>
      <w:pPr>
        <w:spacing w:after="0" w:line="15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Black Hills Wyoming - Wygen I. </w:t>
      </w:r>
      <w:r>
        <w:rPr>
          <w:rFonts w:ascii="Arial" w:cs="Arial" w:eastAsia="Arial" w:hAnsi="Arial"/>
          <w:sz w:val="16"/>
          <w:szCs w:val="16"/>
          <w:color w:val="auto"/>
        </w:rPr>
        <w:t>The Wygen I generation facility is a mine-mouth, coal-fired power plant with a total capacity of 90 MW located at our</w:t>
      </w:r>
      <w:r>
        <w:rPr>
          <w:rFonts w:ascii="Arial" w:cs="Arial" w:eastAsia="Arial" w:hAnsi="Arial"/>
          <w:sz w:val="16"/>
          <w:szCs w:val="16"/>
          <w:i w:val="1"/>
          <w:iCs w:val="1"/>
          <w:color w:val="auto"/>
        </w:rPr>
        <w:t xml:space="preserve"> </w:t>
      </w:r>
      <w:r>
        <w:rPr>
          <w:rFonts w:ascii="Arial" w:cs="Arial" w:eastAsia="Arial" w:hAnsi="Arial"/>
          <w:sz w:val="16"/>
          <w:szCs w:val="16"/>
          <w:color w:val="auto"/>
        </w:rPr>
        <w:t>Gillette, Wyoming energy complex. We own 76.5% of the plant and MEAN owns the remaining 23.5%. We sell 60 MW of unit-contingent capacity and energy from this plant to Wyoming Electric under a PPA that expires on December 31, 2022. We sell excess power from our generating capacity into the wholesale power markets when it is available and economical to do so. The PPA includes an option for Wyoming Electric to purchase Black Hills Wyoming’s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ind w:right="420"/>
        <w:spacing w:after="0" w:line="277" w:lineRule="auto"/>
        <w:rPr>
          <w:sz w:val="20"/>
          <w:szCs w:val="20"/>
          <w:color w:val="auto"/>
        </w:rPr>
      </w:pPr>
      <w:r>
        <w:rPr>
          <w:rFonts w:ascii="Arial" w:cs="Arial" w:eastAsia="Arial" w:hAnsi="Arial"/>
          <w:sz w:val="18"/>
          <w:szCs w:val="18"/>
          <w:color w:val="auto"/>
        </w:rPr>
        <w:t>ownership interest in the Wygen I facility through 2019. See the purchased power discussion within the Electric Utilities segment above about Wyoming Electric’s 2018 integrated resource plan which included a recommendation to the WPSC to acquire Wygen I.</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Black Hills Colorado IPP - Pueblo Airport Generation</w:t>
      </w:r>
      <w:r>
        <w:rPr>
          <w:rFonts w:ascii="Arial" w:cs="Arial" w:eastAsia="Arial" w:hAnsi="Arial"/>
          <w:sz w:val="18"/>
          <w:szCs w:val="18"/>
          <w:color w:val="auto"/>
        </w:rPr>
        <w:t>. The Pueblo Airport Generating Station consists of two 100 MW combined-cycle gas-fired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plants located at a site shared with Colorado Electric. The plants commenced operation on January 1, 2012 and the assets are accounted for as a capital lease under a 20-year PPA with Colorado Electric, which expires on December 31, 2031. Under the PPA with Colorado Electric, any excess capacity and energy shall be for the benefit of Colorado Electric.</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Black Hills Electric Generation (BHEG) - Busch Ranch I. </w:t>
      </w:r>
      <w:r>
        <w:rPr>
          <w:rFonts w:ascii="Arial" w:cs="Arial" w:eastAsia="Arial" w:hAnsi="Arial"/>
          <w:sz w:val="16"/>
          <w:szCs w:val="16"/>
          <w:color w:val="auto"/>
        </w:rPr>
        <w:t>On December 11, 2018, Black Hills Electric Generation purchased a 50% ownership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29 MW Busch Ranch I Wind Farm, previously owned by AltaGas. Black Hills Electric Generation will provide its share of energy from the wind farm to Colorado Electric through a new PPA which has the same terms as the PPA it replaces that Colorado Electric had with AltaGas, expiring in October 2037.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Party Noncontrolling Interest in Subsidiary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2016, Black Hills Electric Generation sold a 49.9%, noncontrolling interest in Black Hills Colorado IPP for $216 million to a third party buyer. Black Hills Electric Generation is the operator of the facility, which is contracted to provide capacity and energy through 2031 to Colorado Electric. Proceeds from the sale were used to pay down short-term debt and for other general corporate purposes. The operating results for Black Hills Colorado IPP remain consolidated with Black Hills Electric Generation, as Black Hills Colorado IPP has been determined to be a variable interest entity (VIE) in which the Company has a variable interest.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following table summarizes MWh for our Power Generation segment:</w:t>
            </w:r>
          </w:p>
        </w:tc>
        <w:tc>
          <w:tcPr>
            <w:tcW w:w="1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xml:space="preserve">Quantities Sold, Generated and Purchased (MWh) </w:t>
            </w:r>
            <w:r>
              <w:rPr>
                <w:rFonts w:ascii="Arial" w:cs="Arial" w:eastAsia="Arial" w:hAnsi="Arial"/>
                <w:sz w:val="25"/>
                <w:szCs w:val="25"/>
                <w:color w:val="auto"/>
                <w:vertAlign w:val="superscript"/>
              </w:rPr>
              <w:t>(a)</w:t>
            </w: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2017</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Sold</w:t>
            </w:r>
          </w:p>
        </w:tc>
        <w:tc>
          <w:tcPr>
            <w:tcW w:w="1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1,000,577</w:t>
            </w:r>
          </w:p>
        </w:tc>
        <w:tc>
          <w:tcPr>
            <w:tcW w:w="160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943,618</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1,223,949</w:t>
            </w:r>
          </w:p>
        </w:tc>
        <w:tc>
          <w:tcPr>
            <w:tcW w:w="0" w:type="dxa"/>
            <w:vAlign w:val="bottom"/>
          </w:tcPr>
          <w:p>
            <w:pPr>
              <w:spacing w:after="0"/>
              <w:rPr>
                <w:sz w:val="1"/>
                <w:szCs w:val="1"/>
                <w:color w:val="auto"/>
              </w:rPr>
            </w:pPr>
          </w:p>
        </w:tc>
      </w:tr>
      <w:tr>
        <w:trPr>
          <w:trHeight w:val="270"/>
        </w:trPr>
        <w:tc>
          <w:tcPr>
            <w:tcW w:w="66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582,938</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645,810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644,564</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Electric Generation</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5,873</w:t>
            </w:r>
          </w:p>
        </w:tc>
        <w:tc>
          <w:tcPr>
            <w:tcW w:w="16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1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1,589,388</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1,589,428</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1,868,513</w:t>
            </w:r>
          </w:p>
        </w:tc>
        <w:tc>
          <w:tcPr>
            <w:tcW w:w="0" w:type="dxa"/>
            <w:vAlign w:val="bottom"/>
          </w:tcPr>
          <w:p>
            <w:pPr>
              <w:spacing w:after="0"/>
              <w:rPr>
                <w:sz w:val="1"/>
                <w:szCs w:val="1"/>
                <w:color w:val="auto"/>
              </w:rPr>
            </w:pPr>
          </w:p>
        </w:tc>
      </w:tr>
      <w:tr>
        <w:trPr>
          <w:trHeight w:val="311"/>
        </w:trPr>
        <w:tc>
          <w:tcPr>
            <w:tcW w:w="664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Generated</w:t>
            </w:r>
          </w:p>
        </w:tc>
        <w:tc>
          <w:tcPr>
            <w:tcW w:w="1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1,000,577</w:t>
            </w:r>
          </w:p>
        </w:tc>
        <w:tc>
          <w:tcPr>
            <w:tcW w:w="160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943,618</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1,223,949</w:t>
            </w:r>
          </w:p>
        </w:tc>
        <w:tc>
          <w:tcPr>
            <w:tcW w:w="0" w:type="dxa"/>
            <w:vAlign w:val="bottom"/>
          </w:tcPr>
          <w:p>
            <w:pPr>
              <w:spacing w:after="0"/>
              <w:rPr>
                <w:sz w:val="1"/>
                <w:szCs w:val="1"/>
                <w:color w:val="auto"/>
              </w:rPr>
            </w:pPr>
          </w:p>
        </w:tc>
      </w:tr>
      <w:tr>
        <w:trPr>
          <w:trHeight w:val="270"/>
        </w:trPr>
        <w:tc>
          <w:tcPr>
            <w:tcW w:w="66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501,945</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577,124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543,546</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Electric Generation</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5,873</w:t>
            </w:r>
          </w:p>
        </w:tc>
        <w:tc>
          <w:tcPr>
            <w:tcW w:w="16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Generated</w:t>
            </w:r>
          </w:p>
        </w:tc>
        <w:tc>
          <w:tcPr>
            <w:tcW w:w="1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1,508,395</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1,520,742</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1,767,495</w:t>
            </w:r>
          </w:p>
        </w:tc>
        <w:tc>
          <w:tcPr>
            <w:tcW w:w="0" w:type="dxa"/>
            <w:vAlign w:val="bottom"/>
          </w:tcPr>
          <w:p>
            <w:pPr>
              <w:spacing w:after="0"/>
              <w:rPr>
                <w:sz w:val="1"/>
                <w:szCs w:val="1"/>
                <w:color w:val="auto"/>
              </w:rPr>
            </w:pPr>
          </w:p>
        </w:tc>
      </w:tr>
      <w:tr>
        <w:trPr>
          <w:trHeight w:val="311"/>
        </w:trPr>
        <w:tc>
          <w:tcPr>
            <w:tcW w:w="664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Purchased</w:t>
            </w:r>
          </w:p>
        </w:tc>
        <w:tc>
          <w:tcPr>
            <w:tcW w:w="1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Wyoming</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83,213</w:t>
            </w:r>
          </w:p>
        </w:tc>
        <w:tc>
          <w:tcPr>
            <w:tcW w:w="16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69,377</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85,993</w:t>
            </w:r>
          </w:p>
        </w:tc>
        <w:tc>
          <w:tcPr>
            <w:tcW w:w="0" w:type="dxa"/>
            <w:vAlign w:val="bottom"/>
          </w:tcPr>
          <w:p>
            <w:pPr>
              <w:spacing w:after="0"/>
              <w:rPr>
                <w:sz w:val="1"/>
                <w:szCs w:val="1"/>
                <w:color w:val="auto"/>
              </w:rPr>
            </w:pPr>
          </w:p>
        </w:tc>
      </w:tr>
      <w:tr>
        <w:trPr>
          <w:trHeight w:val="257"/>
        </w:trPr>
        <w:tc>
          <w:tcPr>
            <w:tcW w:w="664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1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83,213</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69,377</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85,993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Company use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decrease in 2017 was driven by the joint dispatch agreement Colorado Electric joined in 2017. See details of this agreement above in the Electric Utilities segment.</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decrease in 2018 was driven by a planned outage at Wygen 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Power Generation segment has the following material operating agreements: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Economy Energy PPA and other ancillary agreements</w:t>
      </w:r>
    </w:p>
    <w:p>
      <w:pPr>
        <w:spacing w:after="0" w:line="225" w:lineRule="exact"/>
        <w:rPr>
          <w:rFonts w:ascii="Arial" w:cs="Arial" w:eastAsia="Arial" w:hAnsi="Arial"/>
          <w:sz w:val="18"/>
          <w:szCs w:val="18"/>
          <w:color w:val="auto"/>
        </w:rPr>
      </w:pPr>
    </w:p>
    <w:p>
      <w:pPr>
        <w:ind w:left="980" w:right="60" w:hanging="324"/>
        <w:spacing w:after="0" w:line="259"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Black Hills Wyoming has ancillary agreements with the City of Gillette, Wyoming to operate CTII, and provide use of shared facilities including a ground lease and dispatch generation services. In addition, the agreements include a 20-year economy energy PPA that contains a sharing arrangement in which the parties share the savings of wholesale power purchases made when market power prices are less than the cost of operating the generating unit.</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Maintenance Services Agreement</w:t>
      </w:r>
    </w:p>
    <w:p>
      <w:pPr>
        <w:spacing w:after="0" w:line="225" w:lineRule="exact"/>
        <w:rPr>
          <w:rFonts w:ascii="Arial" w:cs="Arial" w:eastAsia="Arial" w:hAnsi="Arial"/>
          <w:sz w:val="18"/>
          <w:szCs w:val="18"/>
          <w:color w:val="auto"/>
        </w:rPr>
      </w:pPr>
    </w:p>
    <w:p>
      <w:pPr>
        <w:ind w:left="980" w:right="20" w:hanging="324"/>
        <w:spacing w:after="0" w:line="297"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conjunction with the sale of the noncontrolling interest on April 14, 2016, an operating and maintenance services agreement was entered into between Black Hills Electric Generation and Black Hills Colorado IPP. This agreement sets forth the obligations and responsibilities of Black Hills Electric Generation as the operator of the generating facility owned by Black Hills Colorado IPP. This agreement is in effect from the date of the noncontrolling interest purchase and remains effective as long as the operator or one of its affiliates is responsible for managing the generating facilities in accordance with the noncontrolling interest agreement, or until termination by owner or operator.</w:t>
      </w:r>
    </w:p>
    <w:p>
      <w:pPr>
        <w:spacing w:after="0" w:line="15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Services Agreements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charges for the use of assets by the affiliate entity.</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parties to a facility fee agreement, whereby Colorado Electric charges Black Hills Colorado IPP for the use of Colorado Electric’s assets.</w:t>
      </w:r>
    </w:p>
    <w:p>
      <w:pPr>
        <w:spacing w:after="0" w:line="170" w:lineRule="exact"/>
        <w:rPr>
          <w:rFonts w:ascii="Arial" w:cs="Arial" w:eastAsia="Arial" w:hAnsi="Arial"/>
          <w:sz w:val="18"/>
          <w:szCs w:val="18"/>
          <w:color w:val="auto"/>
        </w:rPr>
      </w:pPr>
    </w:p>
    <w:p>
      <w:pPr>
        <w:ind w:left="980" w:right="6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Black Hills Colorado IPP, Wyoming Electric and South Dakota Electric are parties to a Spare Turbine Use Agreement, whereby Black Hills Colorado IPP charges South Dakota Electric and Wyoming Electric a monthly fee for the availability of a spare turbine to support the operation of Cheyenne Prairie Generating Station.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Black Hills Colorado IPP and Black Hills Wyoming receive certain staffing and management services from BHSC.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Jointly Owned Facilities</w:t>
      </w:r>
    </w:p>
    <w:p>
      <w:pPr>
        <w:spacing w:after="0" w:line="225" w:lineRule="exact"/>
        <w:rPr>
          <w:rFonts w:ascii="Arial" w:cs="Arial" w:eastAsia="Arial" w:hAnsi="Arial"/>
          <w:sz w:val="18"/>
          <w:szCs w:val="18"/>
          <w:color w:val="auto"/>
        </w:rPr>
      </w:pPr>
    </w:p>
    <w:p>
      <w:pPr>
        <w:ind w:left="980" w:right="62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Black Hills Wyoming and MEAN are parties to a shared joint ownership agreement, whereby Black Hills Wyoming charges MEAN for administrative services, plant operations and maintenance on its share of the Wygen I generating facility over the life of the plant.</w:t>
      </w:r>
    </w:p>
    <w:p>
      <w:pPr>
        <w:spacing w:after="0" w:line="123" w:lineRule="exact"/>
        <w:rPr>
          <w:rFonts w:ascii="Arial" w:cs="Arial" w:eastAsia="Arial" w:hAnsi="Arial"/>
          <w:sz w:val="16"/>
          <w:szCs w:val="16"/>
          <w:color w:val="auto"/>
        </w:rPr>
      </w:pPr>
    </w:p>
    <w:p>
      <w:pPr>
        <w:ind w:left="980" w:right="34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Black Hills Electric Generation and Colorado Electric both own 50% of the Busch Ranch I Wind Farm. Black Hills Electric Generation purchased its 50% share in Busch Ranch I from AltaGas on December 11, 2018. See details of the PPA and ownership agreement discussed previously in the Electric Utilities segment.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The independent power industry consists of many strong and capable competitors, some of which may have more extensive operations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financial resources than we possess.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merchant power sector, FERC has taken steps to increase access to the national transmission grid by utility and non-utility purchasers and sellers of electricity and foster competition within the wholesale electricity markets. Our Power Generation business could face greater competition if utilities are permitted to robustly invest in power generation assets. Conversely, state regulatory rules requiring utilities to competitively bid generation resources may provide opportunity for independent power producers in some regions.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The Energy Policy Act of 1992. </w:t>
      </w:r>
      <w:r>
        <w:rPr>
          <w:rFonts w:ascii="Arial" w:cs="Arial" w:eastAsia="Arial" w:hAnsi="Arial"/>
          <w:sz w:val="18"/>
          <w:szCs w:val="18"/>
          <w:color w:val="auto"/>
        </w:rPr>
        <w:t>The passage of the Energy Policy Act of 1992 encouraged independent power production by providing certain exemptions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regulation for EWGs. EWGs are exclusively in the business of owning or operating, or both owning and operating, eligible power facilities and selling electric energy at wholesale. EWGs are subject to FERC regulation, including rate regulation. We own three EWGs: Wygen I, 200 MW (two 100 MW combined-cycle gas-fired units) at the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773" w:right="279" w:bottom="1440" w:gutter="0" w:footer="0" w:header="0"/>
        </w:sectPr>
      </w:pPr>
    </w:p>
    <w:bookmarkStart w:id="27" w:name="page28"/>
    <w:bookmarkEnd w:id="27"/>
    <w:p>
      <w:pPr>
        <w:ind w:right="360"/>
        <w:spacing w:after="0" w:line="342" w:lineRule="auto"/>
        <w:rPr>
          <w:sz w:val="20"/>
          <w:szCs w:val="20"/>
          <w:color w:val="auto"/>
        </w:rPr>
      </w:pPr>
      <w:r>
        <w:rPr>
          <w:rFonts w:ascii="Arial" w:cs="Arial" w:eastAsia="Arial" w:hAnsi="Arial"/>
          <w:sz w:val="16"/>
          <w:szCs w:val="16"/>
          <w:color w:val="auto"/>
        </w:rPr>
        <w:t>Pueblo Airport Generating Station, and Black Hills Electric Generation’s interest in Busch Ranch I. Our EWGs were granted market-based rate authority, which allows FERC to waive certain accounting, record-keeping and reporting requirements imposed on public utilities with cost-based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Segment</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Our Mining segment operates through our WRDC subsidiary. We surface mine, process and sell primarily low-sulfur sub-bituminous coal at our mine near Gillette, Wyoming. The WRDC coal mine, which we acquired in 1956 from Homestake Gold Mining Company, is located in the Powder River Basin. The Powder River Basin contains one of the largest coal reserves in the United States. We produced approximately 4.1 million tons of coal in 2018.</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our surface mining operations, we strip and store the topsoil. We then remove the overburden (earth and rock covering the coal) with heavy equipment. Removal of the overburden typically requires drilling and blasting. Once the coal is exposed, we drill, fracture and systematically remove it, using front-end loaders and conveyors to transport the coal to the mine-mouth generating facilities. We reclaim disturbed areas as part of our normal mining activities by back-filling the pit with overburden removed during the mining process. Once we have replaced the overburden and topsoil, we reestablish vegetation and plant life in accordance with our approved post-mining topography plan.</w:t>
      </w:r>
    </w:p>
    <w:p>
      <w:pPr>
        <w:spacing w:after="0" w:line="1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 basin characterized by thick coal seams, our overburden ratio, a comparison of the cubic yards of dirt removed to a ton of coal uncovered, has in recent years trended upwards. The overburden ratio at December 31, 2018 was 2.20 which increased from the prior year as we continued mining in areas with higher overburden. We expect our stripping ratio to be approximately 2.26 by the end of 2019 as we mine in areas with comparable overburden.</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Mining rights to the coal are based on four federal leases and one state lease. The federal leases expire between April 30, 2019 and September 30, 2025 and the state lease expires on August 1, 2023. The duration of the leases varies; however, the lease terms generally are extended to the exhaustion of economically recoverable reserves, as long as active mining continues. We pay federal and state royalties of 12.5% of the selling price of all coal. As of December 31, 2018, we estimated our recoverable coal reserves to be approximately 189 million tons, based on a life-of-mine engineering study utilizing currently available drilling data and geological information prepared by internal engineering studies. The recoverable coal reserve life is equal to approximately 46 years at the current production levels. Our recoverable coal reserve estimates are periodically updated to reflect past coal production and other geological and mining data. Changes in mining methods or the utilization of new technologies may increase or decrease the recovery basis for a coal seam. Our recoverable coal reserves include reserves that can be economically and legally extracted at the time of their determination. We use various assumptions in preparing our estimate of recoverable coal reserves. See Risk Factors under Mining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coal production is currently sold under contracts to:</w:t>
      </w:r>
    </w:p>
    <w:p>
      <w:pPr>
        <w:spacing w:after="0" w:line="225" w:lineRule="exact"/>
        <w:rPr>
          <w:sz w:val="20"/>
          <w:szCs w:val="20"/>
          <w:color w:val="auto"/>
        </w:rPr>
      </w:pPr>
    </w:p>
    <w:p>
      <w:pPr>
        <w:ind w:left="620" w:right="20" w:hanging="31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South Dakota Electric for use at the 90 MW Neil Simpson II plant to which we sell approximately 500,000 tons of coal each year. This contract is for the life of the plant;</w:t>
      </w:r>
    </w:p>
    <w:p>
      <w:pPr>
        <w:spacing w:after="0" w:line="170" w:lineRule="exact"/>
        <w:rPr>
          <w:rFonts w:ascii="Arial" w:cs="Arial" w:eastAsia="Arial" w:hAnsi="Arial"/>
          <w:sz w:val="18"/>
          <w:szCs w:val="18"/>
          <w:color w:val="auto"/>
        </w:rPr>
      </w:pPr>
    </w:p>
    <w:p>
      <w:pPr>
        <w:ind w:left="620" w:right="40" w:hanging="31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Wyoming Electric for use at the 95 MW Wygen II plant to which we sell approximately 550,000 tons of coal each year. This contract is for the life of the plant;</w:t>
      </w:r>
    </w:p>
    <w:p>
      <w:pPr>
        <w:spacing w:after="0" w:line="170" w:lineRule="exact"/>
        <w:rPr>
          <w:rFonts w:ascii="Arial" w:cs="Arial" w:eastAsia="Arial" w:hAnsi="Arial"/>
          <w:sz w:val="18"/>
          <w:szCs w:val="18"/>
          <w:color w:val="auto"/>
        </w:rPr>
      </w:pPr>
    </w:p>
    <w:p>
      <w:pPr>
        <w:ind w:left="620" w:hanging="315"/>
        <w:spacing w:after="0" w:line="259"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362 MW Wyodak power plant owned 80% by PacifiCorp and 20% by South Dakota Electric. PacifiCorp is obligated to purchase a minimum of 1.5 million tons of coal each year of the contract term, subject to adjustments for planned outages. South Dakota Electric is also obligated to purchase a minimum of 0.375 million tons of coal per year for its 20% share of the power plant, subject to adjustments for planned outages. This contract expires December 31, 2022;</w:t>
      </w:r>
    </w:p>
    <w:p>
      <w:pPr>
        <w:spacing w:after="0" w:line="186" w:lineRule="exact"/>
        <w:rPr>
          <w:rFonts w:ascii="Arial" w:cs="Arial" w:eastAsia="Arial" w:hAnsi="Arial"/>
          <w:sz w:val="18"/>
          <w:szCs w:val="18"/>
          <w:color w:val="auto"/>
        </w:rPr>
      </w:pPr>
    </w:p>
    <w:p>
      <w:pPr>
        <w:ind w:left="660" w:right="72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110 MW Wygen III power plant owned 52% by South Dakota Electric, 25% by MDU and 23% by the City of Gillette to which we sell approximately 600,000 tons of coal each year. This contract expires June 1, 2060;</w:t>
      </w:r>
    </w:p>
    <w:p>
      <w:pPr>
        <w:spacing w:after="0" w:line="170" w:lineRule="exact"/>
        <w:rPr>
          <w:rFonts w:ascii="Arial" w:cs="Arial" w:eastAsia="Arial" w:hAnsi="Arial"/>
          <w:sz w:val="18"/>
          <w:szCs w:val="18"/>
          <w:color w:val="auto"/>
        </w:rPr>
      </w:pPr>
    </w:p>
    <w:p>
      <w:pPr>
        <w:ind w:left="620" w:right="40" w:hanging="31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90 MW Wygen I power plant owned 76.5% by Black Hills Wyoming and 23.5% by MEAN to which we sell approximately 500,000 tons of coal each year. This contract expires June 30, 2038; and</w:t>
      </w:r>
    </w:p>
    <w:p>
      <w:pPr>
        <w:spacing w:after="0" w:line="170" w:lineRule="exact"/>
        <w:rPr>
          <w:rFonts w:ascii="Arial" w:cs="Arial" w:eastAsia="Arial" w:hAnsi="Arial"/>
          <w:sz w:val="18"/>
          <w:szCs w:val="18"/>
          <w:color w:val="auto"/>
        </w:rPr>
      </w:pPr>
    </w:p>
    <w:p>
      <w:pPr>
        <w:ind w:left="620" w:right="140" w:hanging="31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regional industrial customers served by truck to which we sell a total of approximately 150,000 tons of coal each year. These contracts have terms of one to five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40"/>
        <w:spacing w:after="0" w:line="276" w:lineRule="auto"/>
        <w:rPr>
          <w:sz w:val="20"/>
          <w:szCs w:val="20"/>
          <w:color w:val="auto"/>
        </w:rPr>
      </w:pPr>
      <w:r>
        <w:rPr>
          <w:rFonts w:ascii="Arial" w:cs="Arial" w:eastAsia="Arial" w:hAnsi="Arial"/>
          <w:sz w:val="17"/>
          <w:szCs w:val="17"/>
          <w:color w:val="auto"/>
        </w:rPr>
        <w:t>Our Mining segment sells coal to South Dakota Electric and Wyoming Electric for all of their requirements under cost-based agreements that regulate earnings from these affiliate coal sales to a specified return on our coal mine’s cost-depreciated investment base. The return calculated annually is 400 basis points above A-rated utility bonds applied to our Mining investment base. South Dakota Electric made a commitment to the SDPUC, the WPSC and the City of Gillette that coal for South Dakota Electric’s operating plants would be furnished and priced as provided by that agreement for the life of the Neil Simpson II plant and through June 1, 2060, for Wygen III. The agreement with Wyoming Electric provides coal for the life of the Wygen II plant.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price of unprocessed coal sold to PacifiCorp for the Wyodak plant is determined by the coal supply agreement described above. The agreement includes a price adjustment in 2019. The price adjustment essentially allows us to retain the full economic advantage of the mine’s location adjacent to the plant. The price adjustment is based on the market price of coal plus considerations for the avoided costs of rail transportation and a coal unloading facility, which PacifiCorp would have to incur if it purchased coal from another mine. In addition, the agreement also provides for the monthly escalation of coal price based on an escalation factor.</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current contract price ($19.08 per ton as of December 2018) is comprised of three components: 1) avoided transportation costs (approximately 20% of current price); 2) avoided costs of a coal unloading facility (approximately 30% of current price); and 3) a rolling 12-month average of the Coal Daily spot market price of 8,400 Btu Powder River Basin coal (approximately 50% of current price). With respect to the 2019 coal price re-opener, we expect the transportation and unloading costs to escalate slightly. The current trailing 12-month spot price of 8,400 Btu Powder River Basin coal, ending March 2019, is approximately one dollar less than the price used for the 2014 price re-opener.</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WRDC supplies coal to Black Hills Wyoming for the Wygen I generating facility for requirements under an agreement using a base price that includes price escalators and quality adjustments through June 30, 2038 and includes actual cost per ton plus a margin equal to the yield for Moody’s A-Rated 10-Year Corporate Bond Index plus 400 basis points with the base price being adjusted on a 5-year interval. The agreement stipulates that WRDC will supply coal to the 90 MW Wygen I plant through June 30, 2038.</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Our primary strategy is to sell the majority of our coal production to on-site, mine-mouth generation facilities under long-term supply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Historically, off-site sales have been to consumers within a close proximity to the mine. Rail transport market opportunities for WRDC coal are limited due to the lower heating value (Btu) of the coal, combined with the fact that the WRDC coal mine is served by only one railroad, resulting in less competitive transportation rates. Management continues to explore the limited market opportunities for our product through truck transport.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coal competes with other energy sources, such as natural gas, wind, solar and hydropower. Costs and other factors relating to these alternative fuels, such as safety, environmental considerations and availability affect the overall demand for coal as a fuel.</w:t>
      </w:r>
    </w:p>
    <w:p>
      <w:pPr>
        <w:spacing w:after="0" w:line="17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We are subject to federal, state and local laws and regulations providing for air, water and solid waste pollution control;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facility-siting regulations; zoning and planning regulations of certain state and local authorities; federal health and safety regulations; and state hazard communication standards. See Environmental Matters section for further information.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Mine Reclamation. </w:t>
      </w:r>
      <w:r>
        <w:rPr>
          <w:rFonts w:ascii="Arial" w:cs="Arial" w:eastAsia="Arial" w:hAnsi="Arial"/>
          <w:sz w:val="18"/>
          <w:szCs w:val="18"/>
          <w:color w:val="auto"/>
        </w:rPr>
        <w:t>Reclamation is required during production and after mining has been completed. Under applicable law, we must submit applications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receive approval from, the WDEQ for any mining and reclamation plan that provides for orderly mining, reclamation and restoration of the WRDC mine. We have approved mining permits and are in compliance with other permitting programs administered by various regulatory agencies. The WRDC coal mine is permitted to operate under a five-year mining permit issued by the State of Wyoming. In 2016, that five-year permit was re-issued. Based on extensive reclamation studies, we have accrued approximately $16 million for reclamation costs as of December 31, 2018. Mining regulatory requirements continue to increase, which impose additional cost on the mining process.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South Dakota and Wyoming Power Generation. </w:t>
      </w:r>
      <w:r>
        <w:rPr>
          <w:rFonts w:ascii="Arial" w:cs="Arial" w:eastAsia="Arial" w:hAnsi="Arial"/>
          <w:sz w:val="18"/>
          <w:szCs w:val="18"/>
          <w:color w:val="auto"/>
        </w:rPr>
        <w:t>Based on current regulations, technology and plans, the following table contains our current estimates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expected to be incurred over the next three years to comply with current environmental laws and regulations as described below, including regulations that cover water, air, soil and other pollutants, but excluding plant closures and the cost of new generation. The ultimate cost could be significantly different from the amounts estimated.</w:t>
      </w:r>
    </w:p>
    <w:p>
      <w:pPr>
        <w:spacing w:after="0" w:line="346"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4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Environmental Expenditure Estimates</w:t>
            </w:r>
          </w:p>
        </w:tc>
        <w:tc>
          <w:tcPr>
            <w:tcW w:w="320" w:type="dxa"/>
            <w:vAlign w:val="bottom"/>
          </w:tcPr>
          <w:p>
            <w:pPr>
              <w:spacing w:after="0"/>
              <w:rPr>
                <w:sz w:val="18"/>
                <w:szCs w:val="18"/>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222222"/>
        </w:rPr>
        <w:t>Methane Rules (Greenhouse Gas Emissions)</w:t>
      </w:r>
      <w:r>
        <w:rPr>
          <w:rFonts w:ascii="Arial" w:cs="Arial" w:eastAsia="Arial" w:hAnsi="Arial"/>
          <w:sz w:val="18"/>
          <w:szCs w:val="18"/>
          <w:color w:val="222222"/>
        </w:rPr>
        <w:t>. The EPA and the State of Colorado have implemented strict regulatory requirements on hydrocarbon and</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methane emissions associated with natural gas gathering and transmission systems. The BLM repealed similar hydrocarbon and methane emissions reductions it previously established under the Methane Rule (Venting and Flaring rule). </w:t>
      </w:r>
      <w:r>
        <w:rPr>
          <w:rFonts w:ascii="Arial" w:cs="Arial" w:eastAsia="Arial" w:hAnsi="Arial"/>
          <w:sz w:val="18"/>
          <w:szCs w:val="18"/>
          <w:color w:val="000000"/>
        </w:rPr>
        <w:t>Presently, we have four facilities in our Colorado natural gas transmission</w:t>
      </w:r>
      <w:r>
        <w:rPr>
          <w:rFonts w:ascii="Arial" w:cs="Arial" w:eastAsia="Arial" w:hAnsi="Arial"/>
          <w:sz w:val="18"/>
          <w:szCs w:val="18"/>
          <w:color w:val="222222"/>
        </w:rPr>
        <w:t xml:space="preserve"> </w:t>
      </w:r>
      <w:r>
        <w:rPr>
          <w:rFonts w:ascii="Arial" w:cs="Arial" w:eastAsia="Arial" w:hAnsi="Arial"/>
          <w:sz w:val="18"/>
          <w:szCs w:val="18"/>
          <w:color w:val="000000"/>
        </w:rPr>
        <w:t>operations affected by the hydrocarbon and methane reduction rules.</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Our operations are currently in compliance with both EPA and State of Colorado rules. Future modifications to our gathering and transmissions systems are anticipated to trigger EPA methane rules. </w:t>
      </w:r>
      <w:r>
        <w:rPr>
          <w:rFonts w:ascii="Arial" w:cs="Arial" w:eastAsia="Arial" w:hAnsi="Arial"/>
          <w:sz w:val="18"/>
          <w:szCs w:val="18"/>
          <w:color w:val="222222"/>
        </w:rPr>
        <w:t>We plan to develop a corporate-wide</w:t>
      </w:r>
      <w:r>
        <w:rPr>
          <w:rFonts w:ascii="Arial" w:cs="Arial" w:eastAsia="Arial" w:hAnsi="Arial"/>
          <w:sz w:val="18"/>
          <w:szCs w:val="18"/>
          <w:color w:val="auto"/>
        </w:rPr>
        <w:t xml:space="preserve"> methane control strategy to address GHG emissions from our natural gas operations as we anticipate this will be a requirement in future rule-making efforts.</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Water Issues. </w:t>
      </w:r>
      <w:r>
        <w:rPr>
          <w:rFonts w:ascii="Arial" w:cs="Arial" w:eastAsia="Arial" w:hAnsi="Arial"/>
          <w:sz w:val="18"/>
          <w:szCs w:val="18"/>
          <w:color w:val="auto"/>
        </w:rPr>
        <w:t>Our facilities are subject to a variety of state and federal regulations governing existing and potential water/ wastewater discharges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of surface waters from oil pollution. Generally, such regulations are promulgated under the Clean Water Act and govern overall water/wastewater discharges through EPA’s surface water discharge and storm water permits. All of our facilities that are required to have such permits have those permits in place and are in compliance with discharge limitations and plan implementation requirements. The EPA proposed effluent limitation guidelines and standards on June 7, 2013 and published the final rule on November 3, 2015. In 2017, the EPA postponed the implementation of the rule and set a timeline in 2018 to revise the rule. To date, the rule has not been sent for publication. This rule will have an impact on the Wyodak Plant. Until the EPA issues the rule for publication, we can not quantify what the potential impact may be on the Wyodak Plant. The terms of this new regulation may impact the next permit renewal, which will be in 2020.</w:t>
      </w:r>
    </w:p>
    <w:p>
      <w:pPr>
        <w:spacing w:after="0" w:line="18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222222"/>
        </w:rPr>
        <w:t xml:space="preserve">Short-term Emission Limits. </w:t>
      </w:r>
      <w:r>
        <w:rPr>
          <w:rFonts w:ascii="Arial" w:cs="Arial" w:eastAsia="Arial" w:hAnsi="Arial"/>
          <w:sz w:val="18"/>
          <w:szCs w:val="18"/>
          <w:color w:val="222222"/>
        </w:rPr>
        <w:t>The EPA and State Air Quality Programs implemented short-term emission limits for coal and natural gas-fired generating</w:t>
      </w:r>
      <w:r>
        <w:rPr>
          <w:rFonts w:ascii="Arial" w:cs="Arial" w:eastAsia="Arial" w:hAnsi="Arial"/>
          <w:sz w:val="18"/>
          <w:szCs w:val="18"/>
          <w:b w:val="1"/>
          <w:bCs w:val="1"/>
          <w:color w:val="222222"/>
        </w:rPr>
        <w:t xml:space="preserve"> </w:t>
      </w:r>
      <w:r>
        <w:rPr>
          <w:rFonts w:ascii="Arial" w:cs="Arial" w:eastAsia="Arial" w:hAnsi="Arial"/>
          <w:sz w:val="18"/>
          <w:szCs w:val="18"/>
          <w:color w:val="222222"/>
        </w:rPr>
        <w:t>units during normal and start-up operating scenarios for SO</w:t>
      </w:r>
      <w:r>
        <w:rPr>
          <w:rFonts w:ascii="Arial" w:cs="Arial" w:eastAsia="Arial" w:hAnsi="Arial"/>
          <w:sz w:val="10"/>
          <w:szCs w:val="10"/>
          <w:color w:val="222222"/>
        </w:rPr>
        <w:t>2</w:t>
      </w:r>
      <w:r>
        <w:rPr>
          <w:rFonts w:ascii="Arial" w:cs="Arial" w:eastAsia="Arial" w:hAnsi="Arial"/>
          <w:sz w:val="18"/>
          <w:szCs w:val="18"/>
          <w:color w:val="222222"/>
        </w:rPr>
        <w:t>, NO</w:t>
      </w:r>
      <w:r>
        <w:rPr>
          <w:rFonts w:ascii="Arial" w:cs="Arial" w:eastAsia="Arial" w:hAnsi="Arial"/>
          <w:sz w:val="10"/>
          <w:szCs w:val="10"/>
          <w:color w:val="222222"/>
        </w:rPr>
        <w:t>x</w:t>
      </w:r>
      <w:r>
        <w:rPr>
          <w:rFonts w:ascii="Arial" w:cs="Arial" w:eastAsia="Arial" w:hAnsi="Arial"/>
          <w:sz w:val="18"/>
          <w:szCs w:val="18"/>
          <w:color w:val="222222"/>
        </w:rPr>
        <w:t xml:space="preserve"> and Opacity. The limits pertain to emissions during start-up periods and upset conditions such as mechanical malfunctions. State and federal regulatory agencies typically excuse short-term emissions exceedances if they are reported and corrected immediately or if it occurs during start-up.</w:t>
      </w:r>
    </w:p>
    <w:p>
      <w:pPr>
        <w:spacing w:after="0" w:line="177"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222222"/>
        </w:rPr>
        <w:t>We proactively manage this requirement through maintenance efforts and installing additional pollution control systems to control SO</w:t>
      </w:r>
      <w:r>
        <w:rPr>
          <w:rFonts w:ascii="Arial" w:cs="Arial" w:eastAsia="Arial" w:hAnsi="Arial"/>
          <w:sz w:val="10"/>
          <w:szCs w:val="10"/>
          <w:color w:val="222222"/>
        </w:rPr>
        <w:t>2</w:t>
      </w:r>
      <w:r>
        <w:rPr>
          <w:rFonts w:ascii="Arial" w:cs="Arial" w:eastAsia="Arial" w:hAnsi="Arial"/>
          <w:sz w:val="18"/>
          <w:szCs w:val="18"/>
          <w:color w:val="222222"/>
        </w:rPr>
        <w:t xml:space="preserve"> emission short-term excursions during start-up. These actions have nearly eliminated our short-term emission limit compliance risk while plant availability remained above 90% for all four of our coal-fired plants. To eliminate the remaining potential for exceedances, an innovative trip logic mechanism was implemented to shut the power plant down if a predicted emission limit is to be exceeded. Similar efforts have been taken and similar results achieved with our natural gas fired combustion turbine sites as well.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18" w:right="239" w:bottom="1440" w:gutter="0" w:footer="0" w:header="0"/>
        </w:sectPr>
      </w:pPr>
    </w:p>
    <w:bookmarkStart w:id="30" w:name="page31"/>
    <w:bookmarkEnd w:id="30"/>
    <w:p>
      <w:pPr>
        <w:ind w:right="200"/>
        <w:spacing w:after="0" w:line="295" w:lineRule="auto"/>
        <w:rPr>
          <w:sz w:val="20"/>
          <w:szCs w:val="20"/>
          <w:color w:val="auto"/>
        </w:rPr>
      </w:pPr>
      <w:r>
        <w:rPr>
          <w:rFonts w:ascii="Arial" w:cs="Arial" w:eastAsia="Arial" w:hAnsi="Arial"/>
          <w:sz w:val="16"/>
          <w:szCs w:val="16"/>
          <w:b w:val="1"/>
          <w:bCs w:val="1"/>
          <w:color w:val="222222"/>
        </w:rPr>
        <w:t xml:space="preserve">Regional Haze (Impacts to the Wyodak Power Plant). </w:t>
      </w:r>
      <w:r>
        <w:rPr>
          <w:rFonts w:ascii="Arial" w:cs="Arial" w:eastAsia="Arial" w:hAnsi="Arial"/>
          <w:sz w:val="16"/>
          <w:szCs w:val="16"/>
          <w:color w:val="222222"/>
        </w:rPr>
        <w:t>The EPA Regional Haze rule was promulgated to improve visibility in our National Parks and</w:t>
      </w:r>
      <w:r>
        <w:rPr>
          <w:rFonts w:ascii="Arial" w:cs="Arial" w:eastAsia="Arial" w:hAnsi="Arial"/>
          <w:sz w:val="16"/>
          <w:szCs w:val="16"/>
          <w:b w:val="1"/>
          <w:bCs w:val="1"/>
          <w:color w:val="222222"/>
        </w:rPr>
        <w:t xml:space="preserve"> </w:t>
      </w:r>
      <w:r>
        <w:rPr>
          <w:rFonts w:ascii="Arial" w:cs="Arial" w:eastAsia="Arial" w:hAnsi="Arial"/>
          <w:sz w:val="16"/>
          <w:szCs w:val="16"/>
          <w:color w:val="222222"/>
        </w:rPr>
        <w:t xml:space="preserve">Wilderness Areas. The State of Wyoming proposed controls in its Regional Haze State Implementation Plan (SIP) which </w:t>
      </w:r>
      <w:r>
        <w:rPr>
          <w:rFonts w:ascii="Arial" w:cs="Arial" w:eastAsia="Arial" w:hAnsi="Arial"/>
          <w:sz w:val="16"/>
          <w:szCs w:val="16"/>
          <w:color w:val="000000"/>
        </w:rPr>
        <w:t>allowed PacifiCorp to install low-NO</w:t>
      </w:r>
      <w:r>
        <w:rPr>
          <w:rFonts w:ascii="Arial" w:cs="Arial" w:eastAsia="Arial" w:hAnsi="Arial"/>
          <w:sz w:val="11"/>
          <w:szCs w:val="11"/>
          <w:color w:val="000000"/>
        </w:rPr>
        <w:t>x</w:t>
      </w:r>
      <w:r>
        <w:rPr>
          <w:rFonts w:ascii="Arial" w:cs="Arial" w:eastAsia="Arial" w:hAnsi="Arial"/>
          <w:sz w:val="16"/>
          <w:szCs w:val="16"/>
          <w:color w:val="000000"/>
        </w:rPr>
        <w:t xml:space="preserve"> burners in the Wyodak Plant, of which South Dakota Electric owns 20%</w:t>
      </w:r>
      <w:r>
        <w:rPr>
          <w:rFonts w:ascii="Arial" w:cs="Arial" w:eastAsia="Arial" w:hAnsi="Arial"/>
          <w:sz w:val="16"/>
          <w:szCs w:val="16"/>
          <w:color w:val="222222"/>
        </w:rPr>
        <w:t>. The EPA did not agree with the State of Wyoming’s determination and</w:t>
      </w:r>
      <w:r>
        <w:rPr>
          <w:rFonts w:ascii="Arial" w:cs="Arial" w:eastAsia="Arial" w:hAnsi="Arial"/>
          <w:sz w:val="16"/>
          <w:szCs w:val="16"/>
          <w:color w:val="000000"/>
        </w:rPr>
        <w:t xml:space="preserve"> </w:t>
      </w:r>
      <w:r>
        <w:rPr>
          <w:rFonts w:ascii="Arial" w:cs="Arial" w:eastAsia="Arial" w:hAnsi="Arial"/>
          <w:sz w:val="16"/>
          <w:szCs w:val="16"/>
          <w:color w:val="222222"/>
        </w:rPr>
        <w:t xml:space="preserve">overruled it in a Federal Implementation Plan (FIP). The State of Wyoming and other interested parties are challenging the EPA’s determination. </w:t>
      </w:r>
      <w:r>
        <w:rPr>
          <w:rFonts w:ascii="Arial" w:cs="Arial" w:eastAsia="Arial" w:hAnsi="Arial"/>
          <w:sz w:val="16"/>
          <w:szCs w:val="16"/>
          <w:color w:val="000000"/>
        </w:rPr>
        <w:t>If the</w:t>
      </w:r>
      <w:r>
        <w:rPr>
          <w:rFonts w:ascii="Arial" w:cs="Arial" w:eastAsia="Arial" w:hAnsi="Arial"/>
          <w:sz w:val="16"/>
          <w:szCs w:val="16"/>
          <w:color w:val="222222"/>
        </w:rPr>
        <w:t xml:space="preserve"> </w:t>
      </w:r>
      <w:r>
        <w:rPr>
          <w:rFonts w:ascii="Arial" w:cs="Arial" w:eastAsia="Arial" w:hAnsi="Arial"/>
          <w:sz w:val="16"/>
          <w:szCs w:val="16"/>
          <w:color w:val="000000"/>
        </w:rPr>
        <w:t>challenge is unsuccessful, additional capital investment would be necessary to bring the Wyodak Plant into compliance. Our 20% share of this capital investment for the facility would be approximately $40 million if PacifiCorp is required to install a Selective Catalytic Reactor for NO</w:t>
      </w:r>
      <w:r>
        <w:rPr>
          <w:rFonts w:ascii="Arial" w:cs="Arial" w:eastAsia="Arial" w:hAnsi="Arial"/>
          <w:sz w:val="11"/>
          <w:szCs w:val="11"/>
          <w:color w:val="000000"/>
        </w:rPr>
        <w:t>x</w:t>
      </w:r>
      <w:r>
        <w:rPr>
          <w:rFonts w:ascii="Arial" w:cs="Arial" w:eastAsia="Arial" w:hAnsi="Arial"/>
          <w:sz w:val="16"/>
          <w:szCs w:val="16"/>
          <w:color w:val="000000"/>
        </w:rPr>
        <w:t xml:space="preserve"> control. The case is currently held in abeyance at the 10</w:t>
      </w:r>
      <w:r>
        <w:rPr>
          <w:rFonts w:ascii="Arial" w:cs="Arial" w:eastAsia="Arial" w:hAnsi="Arial"/>
          <w:sz w:val="22"/>
          <w:szCs w:val="22"/>
          <w:color w:val="000000"/>
          <w:vertAlign w:val="superscript"/>
        </w:rPr>
        <w:t>th</w:t>
      </w:r>
      <w:r>
        <w:rPr>
          <w:rFonts w:ascii="Arial" w:cs="Arial" w:eastAsia="Arial" w:hAnsi="Arial"/>
          <w:sz w:val="16"/>
          <w:szCs w:val="16"/>
          <w:color w:val="000000"/>
        </w:rPr>
        <w:t xml:space="preserve"> circuit court while a settlement reached between one of the interested parties and the EPA is implemented.</w:t>
      </w:r>
    </w:p>
    <w:p>
      <w:pPr>
        <w:spacing w:after="0" w:line="6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222222"/>
        </w:rPr>
        <w:t xml:space="preserve">Mining. </w:t>
      </w:r>
      <w:r>
        <w:rPr>
          <w:rFonts w:ascii="Arial" w:cs="Arial" w:eastAsia="Arial" w:hAnsi="Arial"/>
          <w:sz w:val="17"/>
          <w:szCs w:val="17"/>
          <w:color w:val="222222"/>
        </w:rPr>
        <w:t>Operations at the WRDC mine must regularly address issues related to the proximity of the mine disturbance boundary to the City of Gillette, and to</w:t>
      </w:r>
      <w:r>
        <w:rPr>
          <w:rFonts w:ascii="Arial" w:cs="Arial" w:eastAsia="Arial" w:hAnsi="Arial"/>
          <w:sz w:val="17"/>
          <w:szCs w:val="17"/>
          <w:b w:val="1"/>
          <w:bCs w:val="1"/>
          <w:color w:val="222222"/>
        </w:rPr>
        <w:t xml:space="preserve"> </w:t>
      </w:r>
      <w:r>
        <w:rPr>
          <w:rFonts w:ascii="Arial" w:cs="Arial" w:eastAsia="Arial" w:hAnsi="Arial"/>
          <w:sz w:val="17"/>
          <w:szCs w:val="17"/>
          <w:color w:val="222222"/>
        </w:rPr>
        <w:t>residential and industrial properties. Homeowner complaints and challenges to the permits may occur as mining operations move closer to residential areas. Specific concerns could include damage to wells, fugitive dust emissions, vibration and an emissions cloud from blasting.</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222222"/>
        </w:rPr>
        <w:t xml:space="preserve">Former Manufactured Gas Plants (FMGP). </w:t>
      </w:r>
      <w:r>
        <w:rPr>
          <w:rFonts w:ascii="Arial" w:cs="Arial" w:eastAsia="Arial" w:hAnsi="Arial"/>
          <w:sz w:val="17"/>
          <w:szCs w:val="17"/>
          <w:color w:val="222222"/>
        </w:rPr>
        <w:t>Federal and state laws authorize the EPA and other agencies to issue orders compelling potentially responsible</w:t>
      </w:r>
      <w:r>
        <w:rPr>
          <w:rFonts w:ascii="Arial" w:cs="Arial" w:eastAsia="Arial" w:hAnsi="Arial"/>
          <w:sz w:val="17"/>
          <w:szCs w:val="17"/>
          <w:b w:val="1"/>
          <w:bCs w:val="1"/>
          <w:color w:val="222222"/>
        </w:rPr>
        <w:t xml:space="preserve"> </w:t>
      </w:r>
      <w:r>
        <w:rPr>
          <w:rFonts w:ascii="Arial" w:cs="Arial" w:eastAsia="Arial" w:hAnsi="Arial"/>
          <w:sz w:val="17"/>
          <w:szCs w:val="17"/>
          <w:color w:val="222222"/>
        </w:rPr>
        <w:t>parties to clean up sites that are determined to present an actual or potential threat to human health or the environment. Our Gas Utilities are managing FMGP sites in Iowa and Nebraska. We are currently in discussions with EPA, state regulators, and/or other third-parties to determine the ultimate resolution to these sites. As of December 31, 2018, we are working on the site in Council Bluffs, Iowa, and the site in McCook, Nebraska. We have been contacted by a third-party who indicated it intends to manage and pay for the clean-up at the McCook Nebraska site.</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Affordable Clean Energy Rule. </w:t>
      </w:r>
      <w:r>
        <w:rPr>
          <w:rFonts w:ascii="Arial" w:cs="Arial" w:eastAsia="Arial" w:hAnsi="Arial"/>
          <w:sz w:val="17"/>
          <w:szCs w:val="17"/>
          <w:color w:val="auto"/>
        </w:rPr>
        <w:t>The EPA was directed</w:t>
      </w:r>
      <w:r>
        <w:rPr>
          <w:rFonts w:ascii="Arial" w:cs="Arial" w:eastAsia="Arial" w:hAnsi="Arial"/>
          <w:sz w:val="17"/>
          <w:szCs w:val="17"/>
          <w:b w:val="1"/>
          <w:bCs w:val="1"/>
          <w:color w:val="auto"/>
        </w:rPr>
        <w:t xml:space="preserve"> </w:t>
      </w:r>
      <w:r>
        <w:rPr>
          <w:rFonts w:ascii="Arial" w:cs="Arial" w:eastAsia="Arial" w:hAnsi="Arial"/>
          <w:sz w:val="17"/>
          <w:szCs w:val="17"/>
          <w:color w:val="222222"/>
        </w:rPr>
        <w:t>to repeal, revise, and replace the Clean Power Plan rule.</w:t>
      </w:r>
      <w:r>
        <w:rPr>
          <w:rFonts w:ascii="Arial" w:cs="Arial" w:eastAsia="Arial" w:hAnsi="Arial"/>
          <w:sz w:val="17"/>
          <w:szCs w:val="17"/>
          <w:b w:val="1"/>
          <w:bCs w:val="1"/>
          <w:color w:val="auto"/>
        </w:rPr>
        <w:t xml:space="preserve"> </w:t>
      </w:r>
      <w:r>
        <w:rPr>
          <w:rFonts w:ascii="Arial" w:cs="Arial" w:eastAsia="Arial" w:hAnsi="Arial"/>
          <w:sz w:val="17"/>
          <w:szCs w:val="17"/>
          <w:color w:val="auto"/>
        </w:rPr>
        <w:t>On August 31, 2018, the EPA published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Affordable Clean Energy rule. This rule focuses on heat-rate improvements on coal-fired boiler units and poses significantly less risk than the Clean Power Plan. The 60-day comment period has ended and the EPA is reviewing comments prior to issuing a final rule.</w:t>
      </w:r>
    </w:p>
    <w:p>
      <w:pPr>
        <w:spacing w:after="0" w:line="15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222222"/>
        </w:rPr>
        <w:t xml:space="preserve">OSM Coal Combustion Residual Rule (CCR). </w:t>
      </w:r>
      <w:r>
        <w:rPr>
          <w:rFonts w:ascii="Arial" w:cs="Arial" w:eastAsia="Arial" w:hAnsi="Arial"/>
          <w:sz w:val="18"/>
          <w:szCs w:val="18"/>
          <w:color w:val="000000"/>
        </w:rPr>
        <w:t>The EPA issued the CCR which is currently effective and establishes requirements to protect surface and</w:t>
      </w:r>
      <w:r>
        <w:rPr>
          <w:rFonts w:ascii="Arial" w:cs="Arial" w:eastAsia="Arial" w:hAnsi="Arial"/>
          <w:sz w:val="18"/>
          <w:szCs w:val="18"/>
          <w:b w:val="1"/>
          <w:bCs w:val="1"/>
          <w:color w:val="222222"/>
        </w:rPr>
        <w:t xml:space="preserve"> </w:t>
      </w:r>
      <w:r>
        <w:rPr>
          <w:rFonts w:ascii="Arial" w:cs="Arial" w:eastAsia="Arial" w:hAnsi="Arial"/>
          <w:sz w:val="18"/>
          <w:szCs w:val="18"/>
          <w:color w:val="000000"/>
        </w:rPr>
        <w:t xml:space="preserve">groundwater from impacts of coal ash impoundments. </w:t>
      </w:r>
      <w:r>
        <w:rPr>
          <w:rFonts w:ascii="Arial" w:cs="Arial" w:eastAsia="Arial" w:hAnsi="Arial"/>
          <w:sz w:val="18"/>
          <w:szCs w:val="18"/>
          <w:color w:val="222222"/>
        </w:rPr>
        <w:t>WRDC is exempt from the EPA CCR because coal ash is used for backfill reclamation in the areas</w:t>
      </w:r>
      <w:r>
        <w:rPr>
          <w:rFonts w:ascii="Arial" w:cs="Arial" w:eastAsia="Arial" w:hAnsi="Arial"/>
          <w:sz w:val="18"/>
          <w:szCs w:val="18"/>
          <w:color w:val="000000"/>
        </w:rPr>
        <w:t xml:space="preserve"> </w:t>
      </w:r>
      <w:r>
        <w:rPr>
          <w:rFonts w:ascii="Arial" w:cs="Arial" w:eastAsia="Arial" w:hAnsi="Arial"/>
          <w:sz w:val="18"/>
          <w:szCs w:val="18"/>
          <w:color w:val="222222"/>
        </w:rPr>
        <w:t>previously mined. The current administration has not pursued further modification of the CCR.</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22222"/>
        </w:rPr>
        <w:t xml:space="preserve">Environmental risk changes constantly with the implementation of new or modified regulations, changing stakeholder interests and needs, and through the introduction of innovative work practices and technologies. We assess risk annually and develop mitigation strategies to successfully and responsibly manage and ensure compliance across the enterprise. </w:t>
      </w:r>
      <w:r>
        <w:rPr>
          <w:rFonts w:ascii="Arial" w:cs="Arial" w:eastAsia="Arial" w:hAnsi="Arial"/>
          <w:sz w:val="18"/>
          <w:szCs w:val="18"/>
          <w:color w:val="000000"/>
        </w:rPr>
        <w:t>For additional information on environmental matters, see Item 1A and Note 19 of the Notes to Consolidated</w:t>
      </w:r>
      <w:r>
        <w:rPr>
          <w:rFonts w:ascii="Arial" w:cs="Arial" w:eastAsia="Arial" w:hAnsi="Arial"/>
          <w:sz w:val="18"/>
          <w:szCs w:val="18"/>
          <w:color w:val="222222"/>
        </w:rPr>
        <w:t xml:space="preserve"> </w:t>
      </w:r>
      <w:r>
        <w:rPr>
          <w:rFonts w:ascii="Arial" w:cs="Arial" w:eastAsia="Arial" w:hAnsi="Arial"/>
          <w:sz w:val="18"/>
          <w:szCs w:val="18"/>
          <w:color w:val="000000"/>
        </w:rPr>
        <w:t>Financial Statements in this Annual Report on Form 10-K.</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Other Properties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facilities previously disclosed in Items 1 and 2, we own or lease several facilities throughout our service territories. Our owned facilities are as follows:</w:t>
      </w:r>
    </w:p>
    <w:p>
      <w:pPr>
        <w:spacing w:after="0" w:line="170" w:lineRule="exact"/>
        <w:rPr>
          <w:sz w:val="20"/>
          <w:szCs w:val="20"/>
          <w:color w:val="auto"/>
        </w:rPr>
      </w:pPr>
    </w:p>
    <w:p>
      <w:pPr>
        <w:ind w:left="340" w:right="140" w:hanging="251"/>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Rapid City, South Dakota, we have a 220,000 square foot corporate headquarters building, Horizon Point, which was completed in the fourth quarter of 2017.</w:t>
      </w:r>
    </w:p>
    <w:p>
      <w:pPr>
        <w:spacing w:after="0" w:line="170" w:lineRule="exact"/>
        <w:rPr>
          <w:rFonts w:ascii="Arial" w:cs="Arial" w:eastAsia="Arial" w:hAnsi="Arial"/>
          <w:sz w:val="18"/>
          <w:szCs w:val="18"/>
          <w:color w:val="auto"/>
        </w:rPr>
      </w:pPr>
    </w:p>
    <w:p>
      <w:pPr>
        <w:ind w:left="340" w:right="240" w:hanging="251"/>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Arkansas, Nebraska, Iowa, Colorado, Kansas and Wyoming we own various office, service center, storage, shop and warehouse space totaling over 805,000 square feet utilized by our Gas Utilities.</w:t>
      </w:r>
    </w:p>
    <w:p>
      <w:pPr>
        <w:spacing w:after="0" w:line="170" w:lineRule="exact"/>
        <w:rPr>
          <w:rFonts w:ascii="Arial" w:cs="Arial" w:eastAsia="Arial" w:hAnsi="Arial"/>
          <w:sz w:val="18"/>
          <w:szCs w:val="18"/>
          <w:color w:val="auto"/>
        </w:rPr>
      </w:pPr>
    </w:p>
    <w:p>
      <w:pPr>
        <w:ind w:left="340" w:right="320" w:hanging="251"/>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South Dakota, Wyoming, Colorado and Montana we own various office, service center, storage, shop and warehouse space totaling approximately 240,000 square feet utilized by our Electric Utilities and Mining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owned properties, we lease 194,361 square feet of properties within our service areas.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Substantially all of the tangible utility properties of South Dakota Electric and Wyoming Electric are subject to liens securing first mortgage bonds issued by South Dakota Electric and Wyoming Electric,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391"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2018, we had 2,863 full-time employees in continuing operations. Approximately 25% of our employees are represented by a collective bargaining agreement. We have not experienced any labor stoppages in recent years. At December 31, 2018, approximately 23% of our total employees and 18% of our Electric and Gas Utilities employees were eligible for regular or early retirement.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The following table sets forth the number of employees included in continuing operations:</w:t>
            </w:r>
          </w:p>
        </w:tc>
        <w:tc>
          <w:tcPr>
            <w:tcW w:w="246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Arial" w:cs="Arial" w:eastAsia="Arial" w:hAnsi="Arial"/>
                <w:sz w:val="18"/>
                <w:szCs w:val="18"/>
                <w:color w:val="auto"/>
              </w:rPr>
              <w:t>Number of Employees</w:t>
            </w:r>
          </w:p>
        </w:tc>
      </w:tr>
      <w:tr>
        <w:trPr>
          <w:trHeight w:val="27"/>
        </w:trPr>
        <w:tc>
          <w:tcPr>
            <w:tcW w:w="80" w:type="dxa"/>
            <w:vAlign w:val="bottom"/>
          </w:tcPr>
          <w:p>
            <w:pPr>
              <w:spacing w:after="0"/>
              <w:rPr>
                <w:sz w:val="2"/>
                <w:szCs w:val="2"/>
                <w:color w:val="auto"/>
              </w:rPr>
            </w:pPr>
          </w:p>
        </w:tc>
        <w:tc>
          <w:tcPr>
            <w:tcW w:w="8820" w:type="dxa"/>
            <w:vAlign w:val="bottom"/>
            <w:tcBorders>
              <w:bottom w:val="single" w:sz="8" w:color="CEFFE7"/>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8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80" w:type="dxa"/>
            <w:vAlign w:val="bottom"/>
          </w:tcPr>
          <w:p>
            <w:pPr>
              <w:spacing w:after="0"/>
              <w:rPr>
                <w:sz w:val="21"/>
                <w:szCs w:val="21"/>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Electric Utilities and Gas Utilities</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7"/>
        </w:trPr>
        <w:tc>
          <w:tcPr>
            <w:tcW w:w="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Mining and Power Generation</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80" w:type="dxa"/>
            <w:vAlign w:val="bottom"/>
          </w:tcPr>
          <w:p>
            <w:pPr>
              <w:spacing w:after="0"/>
              <w:rPr>
                <w:sz w:val="22"/>
                <w:szCs w:val="22"/>
                <w:color w:val="auto"/>
              </w:rPr>
            </w:pPr>
          </w:p>
        </w:tc>
        <w:tc>
          <w:tcPr>
            <w:tcW w:w="8820" w:type="dxa"/>
            <w:vAlign w:val="bottom"/>
          </w:tcPr>
          <w:p>
            <w:pPr>
              <w:ind w:left="800"/>
              <w:spacing w:after="0"/>
              <w:rPr>
                <w:sz w:val="20"/>
                <w:szCs w:val="20"/>
                <w:color w:val="auto"/>
              </w:rPr>
            </w:pPr>
            <w:r>
              <w:rPr>
                <w:rFonts w:ascii="Arial" w:cs="Arial" w:eastAsia="Arial" w:hAnsi="Arial"/>
                <w:sz w:val="18"/>
                <w:szCs w:val="18"/>
                <w:color w:val="auto"/>
              </w:rPr>
              <w:t>Total</w:t>
            </w:r>
          </w:p>
        </w:tc>
        <w:tc>
          <w:tcPr>
            <w:tcW w:w="2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2,863</w:t>
            </w:r>
          </w:p>
        </w:tc>
      </w:tr>
      <w:tr>
        <w:trPr>
          <w:trHeight w:val="20"/>
        </w:trPr>
        <w:tc>
          <w:tcPr>
            <w:tcW w:w="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2018, certain employees of our Electric Utilities and Gas Utilities were covered by the following collective bargaining agreements: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Utility</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34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Expiration Date of Collective Bargaining</w:t>
            </w:r>
          </w:p>
        </w:tc>
        <w:tc>
          <w:tcPr>
            <w:tcW w:w="0" w:type="dxa"/>
            <w:vAlign w:val="bottom"/>
          </w:tcPr>
          <w:p>
            <w:pPr>
              <w:spacing w:after="0"/>
              <w:rPr>
                <w:sz w:val="1"/>
                <w:szCs w:val="1"/>
                <w:color w:val="auto"/>
              </w:rPr>
            </w:pPr>
          </w:p>
        </w:tc>
      </w:tr>
      <w:tr>
        <w:trPr>
          <w:trHeight w:val="230"/>
        </w:trPr>
        <w:tc>
          <w:tcPr>
            <w:tcW w:w="3100" w:type="dxa"/>
            <w:vAlign w:val="bottom"/>
            <w:vMerge w:val="continue"/>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Employees</w:t>
            </w:r>
          </w:p>
        </w:tc>
        <w:tc>
          <w:tcPr>
            <w:tcW w:w="3480" w:type="dxa"/>
            <w:vAlign w:val="bottom"/>
          </w:tcPr>
          <w:p>
            <w:pPr>
              <w:jc w:val="center"/>
              <w:spacing w:after="0"/>
              <w:rPr>
                <w:sz w:val="20"/>
                <w:szCs w:val="20"/>
                <w:color w:val="auto"/>
              </w:rPr>
            </w:pPr>
            <w:r>
              <w:rPr>
                <w:rFonts w:ascii="Arial" w:cs="Arial" w:eastAsia="Arial" w:hAnsi="Arial"/>
                <w:sz w:val="18"/>
                <w:szCs w:val="18"/>
                <w:color w:val="auto"/>
              </w:rPr>
              <w:t>Union Affiliation</w:t>
            </w: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Agreement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w:t>
            </w: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IBEW Local 1250</w:t>
            </w:r>
          </w:p>
        </w:tc>
        <w:tc>
          <w:tcPr>
            <w:tcW w:w="3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March 31, 2022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Wyoming Electric</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111</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June 30, 2019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w:t>
            </w: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IBEW Local 667</w:t>
            </w:r>
          </w:p>
        </w:tc>
        <w:tc>
          <w:tcPr>
            <w:tcW w:w="3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April 15, 2023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Iowa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204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July 31, 2020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EFFE7"/>
          </w:tcPr>
          <w:p>
            <w:pPr>
              <w:ind w:left="40"/>
              <w:spacing w:after="0"/>
              <w:rPr>
                <w:sz w:val="20"/>
                <w:szCs w:val="20"/>
                <w:color w:val="auto"/>
              </w:rPr>
            </w:pPr>
            <w:r>
              <w:rPr>
                <w:rFonts w:ascii="Arial" w:cs="Arial" w:eastAsia="Arial" w:hAnsi="Arial"/>
                <w:sz w:val="18"/>
                <w:szCs w:val="18"/>
                <w:color w:val="auto"/>
              </w:rPr>
              <w:t>Kansas Gas</w:t>
            </w:r>
          </w:p>
        </w:tc>
        <w:tc>
          <w:tcPr>
            <w:tcW w:w="148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19</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Communications Workers of America, AFL-</w:t>
            </w:r>
          </w:p>
        </w:tc>
        <w:tc>
          <w:tcPr>
            <w:tcW w:w="3360" w:type="dxa"/>
            <w:vAlign w:val="bottom"/>
            <w:vMerge w:val="restart"/>
            <w:shd w:val="clear" w:color="auto" w:fill="CEFFE7"/>
          </w:tcPr>
          <w:p>
            <w:pPr>
              <w:jc w:val="center"/>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122"/>
        </w:trPr>
        <w:tc>
          <w:tcPr>
            <w:tcW w:w="3100" w:type="dxa"/>
            <w:vAlign w:val="bottom"/>
            <w:shd w:val="clear" w:color="auto" w:fill="CEFFE7"/>
          </w:tcPr>
          <w:p>
            <w:pPr>
              <w:spacing w:after="0"/>
              <w:rPr>
                <w:sz w:val="10"/>
                <w:szCs w:val="10"/>
                <w:color w:val="auto"/>
              </w:rPr>
            </w:pPr>
          </w:p>
        </w:tc>
        <w:tc>
          <w:tcPr>
            <w:tcW w:w="1480" w:type="dxa"/>
            <w:vAlign w:val="bottom"/>
            <w:vMerge w:val="continue"/>
            <w:shd w:val="clear" w:color="auto" w:fill="CEFFE7"/>
          </w:tcPr>
          <w:p>
            <w:pPr>
              <w:spacing w:after="0"/>
              <w:rPr>
                <w:sz w:val="10"/>
                <w:szCs w:val="10"/>
                <w:color w:val="auto"/>
              </w:rPr>
            </w:pPr>
          </w:p>
        </w:tc>
        <w:tc>
          <w:tcPr>
            <w:tcW w:w="3480" w:type="dxa"/>
            <w:vAlign w:val="bottom"/>
            <w:vMerge w:val="restart"/>
            <w:shd w:val="clear" w:color="auto" w:fill="CEFFE7"/>
          </w:tcPr>
          <w:p>
            <w:pPr>
              <w:jc w:val="center"/>
              <w:spacing w:after="0"/>
              <w:rPr>
                <w:sz w:val="20"/>
                <w:szCs w:val="20"/>
                <w:color w:val="auto"/>
              </w:rPr>
            </w:pPr>
            <w:r>
              <w:rPr>
                <w:rFonts w:ascii="Arial" w:cs="Arial" w:eastAsia="Arial" w:hAnsi="Arial"/>
                <w:sz w:val="18"/>
                <w:szCs w:val="18"/>
                <w:color w:val="auto"/>
                <w:w w:val="94"/>
              </w:rPr>
              <w:t>CIO Local 6407</w:t>
            </w:r>
          </w:p>
        </w:tc>
        <w:tc>
          <w:tcPr>
            <w:tcW w:w="3360" w:type="dxa"/>
            <w:vAlign w:val="bottom"/>
            <w:vMerge w:val="continue"/>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CEFFE7"/>
            </w:tcBorders>
            <w:shd w:val="clear" w:color="auto" w:fill="CEFFE7"/>
          </w:tcPr>
          <w:p>
            <w:pPr>
              <w:spacing w:after="0"/>
              <w:rPr>
                <w:sz w:val="10"/>
                <w:szCs w:val="10"/>
                <w:color w:val="auto"/>
              </w:rPr>
            </w:pPr>
          </w:p>
        </w:tc>
        <w:tc>
          <w:tcPr>
            <w:tcW w:w="1480" w:type="dxa"/>
            <w:vAlign w:val="bottom"/>
            <w:tcBorders>
              <w:bottom w:val="single" w:sz="8" w:color="CEFFE7"/>
            </w:tcBorders>
            <w:shd w:val="clear" w:color="auto" w:fill="CEFFE7"/>
          </w:tcPr>
          <w:p>
            <w:pPr>
              <w:spacing w:after="0"/>
              <w:rPr>
                <w:sz w:val="10"/>
                <w:szCs w:val="10"/>
                <w:color w:val="auto"/>
              </w:rPr>
            </w:pPr>
          </w:p>
        </w:tc>
        <w:tc>
          <w:tcPr>
            <w:tcW w:w="3480" w:type="dxa"/>
            <w:vAlign w:val="bottom"/>
            <w:tcBorders>
              <w:bottom w:val="single" w:sz="8" w:color="CEFFE7"/>
            </w:tcBorders>
            <w:vMerge w:val="continue"/>
            <w:shd w:val="clear" w:color="auto" w:fill="CEFFE7"/>
          </w:tcPr>
          <w:p>
            <w:pPr>
              <w:spacing w:after="0"/>
              <w:rPr>
                <w:sz w:val="10"/>
                <w:szCs w:val="10"/>
                <w:color w:val="auto"/>
              </w:rPr>
            </w:pPr>
          </w:p>
        </w:tc>
        <w:tc>
          <w:tcPr>
            <w:tcW w:w="3360" w:type="dxa"/>
            <w:vAlign w:val="bottom"/>
            <w:tcBorders>
              <w:bottom w:val="single" w:sz="8" w:color="CEFFE7"/>
            </w:tcBorders>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Nebraska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244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13, 2022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Nebraska Gas </w:t>
            </w:r>
            <w:r>
              <w:rPr>
                <w:rFonts w:ascii="Arial" w:cs="Arial" w:eastAsia="Arial" w:hAnsi="Arial"/>
                <w:sz w:val="25"/>
                <w:szCs w:val="25"/>
                <w:color w:val="auto"/>
                <w:vertAlign w:val="superscript"/>
              </w:rPr>
              <w:t>(a)</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146</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(a)</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348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728</w:t>
            </w:r>
          </w:p>
        </w:tc>
        <w:tc>
          <w:tcPr>
            <w:tcW w:w="3480" w:type="dxa"/>
            <w:vAlign w:val="bottom"/>
            <w:tcBorders>
              <w:bottom w:val="single" w:sz="8" w:color="CEFFE7"/>
            </w:tcBorders>
            <w:shd w:val="clear" w:color="auto" w:fill="CEFFE7"/>
          </w:tcPr>
          <w:p>
            <w:pPr>
              <w:spacing w:after="0"/>
              <w:rPr>
                <w:sz w:val="22"/>
                <w:szCs w:val="22"/>
                <w:color w:val="auto"/>
              </w:rPr>
            </w:pPr>
          </w:p>
        </w:tc>
        <w:tc>
          <w:tcPr>
            <w:tcW w:w="3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8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60" w:hanging="332"/>
        <w:spacing w:after="0" w:line="263"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2016 negotiations with the CWA Local 7476, the union agreed to disclaim their interest in Colorado Gas employees and to split the remaining bargaining unit into two distinct bargaining units, Nebraska Gas and Wyoming Gas.</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nature of our business subjects us to a number of uncertainties and risks. The following risk factors and other risk factors that we discuss in our periodic reports filed with the SEC should be considered for a better understanding of our Company. These important factors and other matters discussed herein could cause our future actual results or outcomes to differ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RISKS</w:t>
      </w:r>
    </w:p>
    <w:p>
      <w:pPr>
        <w:spacing w:after="0" w:line="225"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Our financial performance depends on the successful operation of our facilities. If the risks involved in our operations are not appropriately managed or mitigated, our operations may not be successful and this could adversely affect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Operating electric generating facilities, the coal mine and electric and natural gas transmission and distribution systems involves risks, including:</w:t>
      </w:r>
    </w:p>
    <w:p>
      <w:pPr>
        <w:spacing w:after="0" w:line="237" w:lineRule="exact"/>
        <w:rPr>
          <w:sz w:val="20"/>
          <w:szCs w:val="20"/>
          <w:color w:val="auto"/>
        </w:rPr>
      </w:pPr>
    </w:p>
    <w:p>
      <w:pPr>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Disrupted transmission and distribution. We depend on transmission and distribution facilities, including those operated by unaffiliated parties, to deliver the electricity and gas that we sell to our retail and wholesale customers. If transmission is interrupted physically, mechanically, or with cyber means, our ability to sell or deliver product and satisfy our contractual obligations may be hindered;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Interruptions to supply of fuel and other commodities used in generation and distribution. Our utilities purchase fuel from a number of suppliers. Our results of operations could be negatively impacted by disruptions in the delivery of fuel due to various factors, including but not limited to, transportation delays, labor relations, weather and environmental regulations, which could limit our utilities’ ability to operate their facilities;</w:t>
      </w:r>
    </w:p>
    <w:p>
      <w:pPr>
        <w:spacing w:after="0" w:line="165" w:lineRule="exact"/>
        <w:rPr>
          <w:rFonts w:ascii="Arial" w:cs="Arial" w:eastAsia="Arial" w:hAnsi="Arial"/>
          <w:sz w:val="17"/>
          <w:szCs w:val="17"/>
          <w:color w:val="auto"/>
        </w:rPr>
      </w:pPr>
    </w:p>
    <w:p>
      <w:pPr>
        <w:jc w:val="both"/>
        <w:ind w:left="660" w:right="6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Electricity is dangerous for employees and the general public should they come in contact with power lines or electrical service facilities and equipment. Natural conditions and other disasters such as wind, lightning and winter storms can cause wildfires, pole failures and associated property damage and outages;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hazards such as leaks, mechanical problems and accidents, including explosions affecting our natural gas distribution system, which could impact public safety, reliability and customer confidence;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Operational limitations imposed by environmental and other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Breakdown or failure of equipment or processes, including those operated by PacifiCorp at the Wyodak Plant;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relations. Approximately 25% of our employees are represented by a total of eight collective bargaining agreements;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transition and replace our retirement-eligible utility employees. At December 31, 2018, approximately 18% of our Electric Utilities and Gas Utilities employees were eligible for regular or early retirement;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recruit and retain skilled technical labor; and</w:t>
      </w:r>
    </w:p>
    <w:p>
      <w:pPr>
        <w:spacing w:after="0" w:line="22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in the functioning of our information technology and network infrastructure which are vulnerable to disability, failures and unauthorized access. If our information technology systems were to fail and we were unable to recover in a timely manner, we would be unable to fulfill critical business functions.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interpretation of the Tax Cuts and Jobs Act (“TCJA”) could adversely affect us.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22, 2017, the TCJA was signed into law, significantly reforming the U.S. Internal Revenue Code. The TCJA, among other things, includes a decrease in the U.S. federal corporate tax rate from 35% to 21%, imposes significant additional limitations on the deductibility of interest, allows for the expensing of capital expenditures, and modifies or repeals many business deductions and credits. The new tax law contains several provisions that impacted our 2017 and 2018 financial results.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TCJA includes provisions limiting interest deductibility in certain circumstances. While we expect to maintain deductibility of interest expense, the lower tax rate reduces the tax benefits associated with interest deductibility on holding company debt that is not recovered in the regulatory construct.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there are future changes and amendments to the TCJA, and if we are unable to obtain reasonable outcomes with our utility regulators in passing future benefits of the TCJA back to customers, or if our interpretations on the provisions of depreciation or interest deductibility in the TCJA change, our results of operations, financial position or cash flows could be materially impacted.</w:t>
      </w:r>
    </w:p>
    <w:p>
      <w:pPr>
        <w:spacing w:after="0" w:line="17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Construction, expansion, refurbishment and operation of power generating and transmission and resource extraction facilities involve significant risks which could reduce profitability.</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construction, expansion, refurbishment and operation of power generating and transmission and resource extraction facilities involve many risks, including:</w:t>
      </w:r>
    </w:p>
    <w:p>
      <w:pPr>
        <w:spacing w:after="0" w:line="170" w:lineRule="exact"/>
        <w:rPr>
          <w:sz w:val="20"/>
          <w:szCs w:val="20"/>
          <w:color w:val="auto"/>
        </w:rPr>
      </w:pPr>
    </w:p>
    <w:p>
      <w:pPr>
        <w:ind w:left="660" w:right="2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obtain required governmental permits and approvals along with the cost of complying with or satisfying conditions imposed upon such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Contractual restrictions upon the timing of scheduled outages;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supplying or securing replacement power during scheduled and unscheduled outages;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unavailability or increased cost of equipment;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recruiting and retaining or the unavailability of skilled labor;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Supply interruptions, work stoppages and labor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capital and operating costs to comply with increasingly stringent environmental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Opposition by members of public or special-interest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interferences;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and cost of fuel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engineering, environmental and geological problems;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 overruns.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ongoing operation of our facilities involves many of the risks described above, in addition to risks relating to the breakdown or failure of equipment or processes and performance below expected levels of output or efficiency. New plants may employ recently developed and technologically complex equipment, including newer environmental emission control technology. Any of these risks could cause us to operate below expected capacity levels, which in turn could reduce revenues, increase expenses or cause us to incur higher operating and maintenance costs and penalties. While we maintain insurance, obtain warranties from vendors and obligate contractors to meet certain performance levels, the proceeds of such insurance and our rights under warranties or performance guarantees may not be timely or adequate to cover lost revenues, increased expenses, liability or liquidated damage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can be adversely affected by variations from normal weather conditions.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utility businesses are seasonal businesses and weather patterns can have a material impact on our operating 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and income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results of operations, financial position or cash flows.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located in areas that could be subject to seasonal natural disasters such as severe snow and ice storms, flooding and wildfires. These events could result in interruption of our business, damage to our property such as power lines and substations, and repair and clean-up costs. We may not be able to recover the costs incurred in restoring transmission and distribution property following these natural disasters through a change in our regulated rates thereby resulting in a negative impact on our results of operations, financial position and cash flows.</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Mining operations are subject to operating risks that are beyond our control which could affect our profitability and production levels. Our surface mining operations could be disrupted or materially affected due to adverse weather or natural disasters such as heavy snow, strong winds, rain or flooding.</w:t>
      </w:r>
    </w:p>
    <w:p>
      <w:pPr>
        <w:spacing w:after="0" w:line="12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Prices for some of our products and services as well as a portion of our operating costs are volatile and may cause our revenues and expenses to fluctuate significantly.</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portion of our net income is attributable to sales of wholesale and off-system electricity and natural gas. Energy prices are influenced by many factors outside our control, including, among other things, fuel prices, transmission constraints, supply and demand, weather, general economic conditions, and the rules, regulations and actions of system operators in those markets. As a result, wholesale power markets may be subject to significant, unpredictable price fluctuations over relatively short periods of time.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0" w:right="259" w:bottom="1440" w:gutter="0" w:footer="0" w:header="0"/>
        </w:sectPr>
      </w:pPr>
    </w:p>
    <w:bookmarkStart w:id="34" w:name="page35"/>
    <w:bookmarkEnd w:id="34"/>
    <w:p>
      <w:pPr>
        <w:ind w:right="20"/>
        <w:spacing w:after="0" w:line="264" w:lineRule="auto"/>
        <w:rPr>
          <w:sz w:val="20"/>
          <w:szCs w:val="20"/>
          <w:color w:val="auto"/>
        </w:rPr>
      </w:pPr>
      <w:r>
        <w:rPr>
          <w:rFonts w:ascii="Arial" w:cs="Arial" w:eastAsia="Arial" w:hAnsi="Arial"/>
          <w:sz w:val="18"/>
          <w:szCs w:val="18"/>
          <w:color w:val="auto"/>
        </w:rPr>
        <w:t>Our Mining operations require reliable supply of replacement parts, explosives, fuel, tires and steel-related products. If the cost of these increase significantly, or if sources of supplies and mining equipment become unavailable to meet our replacement demands, our productivity and profitability could be lower than our current expectations.</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revenues, results of operations and financial condition are impacted by customer growth and usage in our service territories and may fluctuate with current economic conditions, emerging technologies or responses to price increases.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revenues, results of operations and financial condition are impacted by demand in our service territories. Customer growth and usage may be impacted by a number of factors, including the voluntary reduction of consumption of electricity and natural gas by our customers in response to increases in prices and demand-side management programs, economic conditions impacting decreases in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would decline. 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 Each of these factors could materially affect our results of operations, financial position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rely on storage and transportation assets owned by third parties to satisfy our obligations.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Electric Utilities, Gas Utilities and Power Generation segments rely on pipeline companies and other owners of gas storage facilities to deliver natural gas to customers, to supply our natural gas-fired power plants and to hedge commodity costs. If storage capacity is inadequate or transportation is disrupted, our ability to satisfy our obligations may be hindered. As a result, we may be responsible for damages incurred by our counterparties, such as the additional cost of acquiring alternative supply at then-current market rates, or for penalties imposed by state regulatory authorities.</w:t>
      </w:r>
    </w:p>
    <w:p>
      <w:pPr>
        <w:spacing w:after="0" w:line="15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utilities are subject to pipeline safety and system integrity laws and regulations that may require significant capital expenditures or significant increases in operating costs.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Compliance with pipeline safety and system integrity laws and regulations, or future changes in these laws and regulations, may result in increased capital, operating and other costs which may not be recoverable in a timely manner from customers through rates. Failure to comply may result in fines, penalties, or injunctive measures that would not be recoverable from customers through rates and could result in a material impact on our results of operations, financial position or cash flows.</w:t>
      </w:r>
    </w:p>
    <w:p>
      <w:pPr>
        <w:spacing w:after="0" w:line="39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energy production, transmission and distribution activities, and our storage facilities for our natural gas involve numerous risks that may result in accidents and other catastrophic events that could give rise to additional costs and cause a substantial loss to us.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Inherent in our natural gas and electricity transmission and distribution activities, as well as in our transportation and storage of natural gas and our Mining operations, are a variety of hazards and operating risks, such as leaks, blowouts, fires, releases of hazardous materials, explosions and operational problems. These events could impact the safety of employees or others and result in injury or loss of human life, and cause significant damage to property or natural resources (including public lands), environmental pollution, impairment of our operations and substantial financial losses to us. Particularly for our transmission and distribution lines located near populated areas, including residential areas, commercial business centers, industrial sites and other public gathering areas, the damages resulting from any such events could be substantial. While we maintain liability and property insurance coverage, such policies are subject to certain limits and deductibles. The occurrence of any of these events not fully covered by our insurance could have a material adverse effect on our financial position, results of operations or cash flows.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100"/>
        <w:spacing w:after="0" w:line="282" w:lineRule="auto"/>
        <w:rPr>
          <w:sz w:val="20"/>
          <w:szCs w:val="20"/>
          <w:color w:val="auto"/>
        </w:rPr>
      </w:pPr>
      <w:r>
        <w:rPr>
          <w:rFonts w:ascii="Arial" w:cs="Arial" w:eastAsia="Arial" w:hAnsi="Arial"/>
          <w:sz w:val="18"/>
          <w:szCs w:val="18"/>
          <w:b w:val="1"/>
          <w:bCs w:val="1"/>
          <w:color w:val="auto"/>
        </w:rPr>
        <w:t>Threats of terrorism and catastrophic events that could result from terrorism, or individuals and/or groups attempting to disrupt our businesses, or the businesses of third parties, may impact our operations in unpredictable ways.</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Terrorist acts or other similar events could harm our businesses by limiting their ability to generate, purchase or transmit power, deliver natural gas and by delaying their development and construction of new generating facilities and capital improvements to existing facilities. These events, and governmental actions in response, could result in a material decrease in revenues and significant additional costs to repair and insure our assets and could adversely affect our operations by contributing to disruption of supplies and markets for natural gas, oil and other fuels. They could also impair our ability to raise capital by contributing to financial instability and lower economic activity.</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implementation of security guidelines and measures and maintenance of insurance, to the extent available, addressing such activities could increase costs. These types of events could materially adversely affect our financial results. In addition, these types of events could require significant management attention and resources and could adversely affect our reputation among customers and the public.</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cyber attack may disrupt our operations, or lead to a loss or misuse of confidential and proprietary information and create a potential liability.</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and operate sophisticated control, SCADA, and information technology systems and network infrastructure. In addition, in the ordinary course of business, we collect and retain sensitive information including personal information about our customers and employees. Cyber attacks targeting our electronic control systems used at our generating facilities and for electric and gas distribution systems, could result in a full or partial disruption of our electric and/or gas operations. Cyber attacks targeting other key information technology systems, including our third-party vendors’ information systems, could further add to a full or partial disruption of our operations. Any disruption of these operations could result in a loss of service to customers and a significant decrease in revenues, as well as significant expense to repair system damage and remedy security breaches. Any theft, loss and/or fraudulent use of customer, shareowner, employee or proprietary data as a result of a cyber attack could subject us to significant litigation, liability and costs, as well as adversely impact our reputation with customers and regulators, among others.</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The security measures and safeguards we have implemented may not always be effective due to the evolving nature and sophistication of cyber attacks. Despite our implementation of security measures and safeguards, all of our information technology systems are vulnerable to disability, failures or unauthorized access, including cyber attacks. If our information technology systems or our third-party vendors’ systems were to fail or be breached by a cyber attack or a computer virus and be unable to recover in a timely way, we would be unable to fulfill critical business functions and sensitive, confidential and other data could be compromised which could have a material adverse effect not only on our financial results, but on our public reputation as well.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risks of regulatory penalties could negatively impact our results of operations, financial position or liquidity.</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Business activities in the energy sector are heavily regulated, primarily by agencies of the federal government. Agencies that historically sought voluntary compliance, or issued non-monetary sanctions, now employ mandatory civil penalty structures for regulatory violations. The FERC, NERC, CFTC, EPA, OSHA, SEC and MSHA may impose significant civil and criminal penalties to enforce compliance requirements relative to our business, which could have a material adverse effect on our operations and/or our financial results.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Certain Federal laws, including the Migratory Bird Act and the Endangered Species Act, provide special protection to certain designated species. These laws and any state equivalents provide for significant civil and criminal penalties for non-permitted activities that result in harm to or harassment of certain protected animals, including damage to their habitats. If such species are located in an area in which we conduct operations, or if additional species in those areas become subject to protection, our operations and development projects, particularly transmission, generation, wind and pipeline projects, could be restricted or delayed, or we could be required to implement expensive mitigation measures.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Our current or future development and expansion activities may not be successful, which could impair our ability to execute our growth strategy.</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Execution of our growth plan is dependent on successful ongoing and future development and expansion activities. We can provide no assurance that we will be able to complete development projects or expansion activities we undertake or continue to develop attractive opportunities for growth. Factors that could cause our development and expansion activities to be unsuccessful include:</w:t>
      </w:r>
    </w:p>
    <w:p>
      <w:pPr>
        <w:spacing w:after="0" w:line="18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obtain required governmental permits;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complete capital projects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secure just and reasonable utility rates through regulatory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obtain financing on acceptable terms, or at all;</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that one or more credit rating agencies would downgrade our issuer credit rating to below investment grade, thus increasing our cost of doing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attract and retain management or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negotiate acceptable construction, fuel supply, power sales or other material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growth in the demand for utility services in the markets we serve;</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federal, state, local or tribal laws and regulations, particularly those which would make it more difficult or costly to fully develop our coal reserves or our power generation capacity;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Fuel prices or fuel supply constraints;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Pipeline capacity and transmission constraints;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within our industry and with producers of competing energy sources;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tax rates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Utilities</w:t>
      </w:r>
    </w:p>
    <w:p>
      <w:pPr>
        <w:spacing w:after="0" w:line="225" w:lineRule="exact"/>
        <w:rPr>
          <w:sz w:val="20"/>
          <w:szCs w:val="20"/>
          <w:color w:val="auto"/>
        </w:rPr>
      </w:pPr>
    </w:p>
    <w:p>
      <w:pPr>
        <w:ind w:right="480"/>
        <w:spacing w:after="0" w:line="313" w:lineRule="auto"/>
        <w:rPr>
          <w:sz w:val="20"/>
          <w:szCs w:val="20"/>
          <w:color w:val="auto"/>
        </w:rPr>
      </w:pPr>
      <w:r>
        <w:rPr>
          <w:rFonts w:ascii="Arial" w:cs="Arial" w:eastAsia="Arial" w:hAnsi="Arial"/>
          <w:sz w:val="17"/>
          <w:szCs w:val="17"/>
          <w:b w:val="1"/>
          <w:bCs w:val="1"/>
          <w:color w:val="auto"/>
        </w:rPr>
        <w:t>Regulatory commissions may refuse to approve some or all of the utility rate increases we have requested or may request in the future, or may determine that amounts passed through to customers were not prudently incurred and therefore are not recoverable.</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regulated Electric Utilities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authorities based on an analysis of our costs, as reviewed and approved in a regulatory proceeding. The rates that we are allowed to charge may or may not match our related costs and allowed return on invested capital at any given time. While rate regulation is premised on the full recovery of prudently incurred costs and a reasonable rate of return on invested capital, there can be no assurance that the state public utility commissions will judge all of our costs, including our direct and allocated borrowing and debt service costs, to have been prudently incurred or that the regulatory process in which rates are determined will always result in rates that produce a full recovery of our costs and the return on invested capital allowed by the applicable state public utility commission.</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some degree, each of our Electric and Gas Utilities are permitted to recover certain costs (such as increased fuel and purchased power costs) without having to file a rate review. To the extent we are able to pass through such costs to our customers, and a state public utility commission subsequently determines that such costs should not have been paid by the customers, we may be required to refund such costs. Any such costs not recovered through rates, or any such refund, could adversely affect our results of operations, financial position or cash flows.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96" w:right="279" w:bottom="1440" w:gutter="0" w:footer="0" w:header="0"/>
        </w:sectPr>
      </w:pPr>
    </w:p>
    <w:bookmarkStart w:id="37" w:name="page38"/>
    <w:bookmarkEnd w:id="37"/>
    <w:p>
      <w:pPr>
        <w:jc w:val="both"/>
        <w:ind w:right="140"/>
        <w:spacing w:after="0" w:line="266" w:lineRule="auto"/>
        <w:rPr>
          <w:sz w:val="20"/>
          <w:szCs w:val="20"/>
          <w:color w:val="auto"/>
        </w:rPr>
      </w:pPr>
      <w:r>
        <w:rPr>
          <w:rFonts w:ascii="Arial" w:cs="Arial" w:eastAsia="Arial" w:hAnsi="Arial"/>
          <w:sz w:val="18"/>
          <w:szCs w:val="18"/>
          <w:b w:val="1"/>
          <w:bCs w:val="1"/>
          <w:color w:val="auto"/>
        </w:rPr>
        <w:t>If market or other conditions adversely affect operations or require us to make changes to our business strategy in any of our utility businesses, we may be forced to record a non-cash goodwill impairment charge. Any significant impairment of our goodwill related to these utilities would cause a decrease in our assets and a reduction in our net income and shareholders’ equity.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had approximately $1.3 billion of goodwill on our consolidated balance sheets as of December 31, 2018. A substantial portion of the goodwill is related to the SourceGas Acquisition and the Aquila Transaction. If we make changes in our business strategy or if market or other conditions adversely affect operations in any of our businesses, we may be forced to record a non-cash impairment charge, which would reduce our reported assets, net income and shareholders’ equity.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economic conditions and interest rates, regulatory, industry or market conditions, changes in business operations, changes in competition or changes in technologies. Any changes in key assumptions, or actual performance compared with key assumptions, about our business and its future prospects could affect the fair value of one or more business segments, which may result in an impairment charge.</w:t>
      </w:r>
    </w:p>
    <w:p>
      <w:pPr>
        <w:spacing w:after="0" w:line="1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Municipal governments may seek to limit or deny franchise privileges which could inhibit our ability to secure adequate recovery of our investment in assets subject to condemnation.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the assumptions underlying our reclamation and mine closure obligations are materially inaccurate, our costs could be significantly greater than anticipated or be incurred sooner than anticipated.</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 surface mining operations that are subject to operations, reclamation and closure standards. We estimate our total reclamation liabilities based on permit requirements, engineering studies and our engineering expertise related to these requirements. The estimate of ultimate reclamation liability is reviewed periodically by our management and engineers and by government regulators. The estimated liability can change significantly if actual costs vary from our original assumptions or if government regulations change significantly. GAAP requires that asset retirement obligations be recorded as a liability based on fair value, which reflects the present value of the estimated future cash flows. In estimating future cash flows, we consider the estimated current cost of reclamation and apply inflation rates. The resulting estimated reclamation obligations could change significantly if actual amounts or the timing of these expenses change significantly from our assumptions, which could have a material adverse effect on our results of operations and financial position.</w:t>
      </w:r>
    </w:p>
    <w:p>
      <w:pPr>
        <w:spacing w:after="0" w:line="163"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Estimates of the quality and quantity of our coal reserves may change materially due to numerous uncertainties inherent in three-dimensional structural modeling, and any inaccuracies in interpretation or modeling could materially affect the estimated quantity and quality of our reserves.</w:t>
      </w:r>
    </w:p>
    <w:p>
      <w:pPr>
        <w:spacing w:after="0" w:line="12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process of estimating coal reserves is uncertain and requires interpretations and modeling. Significant inaccuracies in interpretation or modeling could materially affect the quantity and quality of our reserve estimates. The accuracy of reserve estimates is a function of engineering and geological interpretation, conditions encountered during actual reserve recovery and undetected deposit anomalies. Variance from the assumptions used and drill hole modeling density could result in additions or deletions from our volume estimates. In addition, future environmental, economic or geologic changes may occur or become known that require reserve revisions either upward or downward from prior reserve estimates.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FINANCING RISKS</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credit ratings could be lowered below investment grade in the future. If this were to occur, it could impact our access to capital, cost of capital and other operating costs.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issuer credit rating is Baa2 (Stable outlook) by Moody’s; BBB+ (Stable outlook) by S&amp;P; and BBB+ (Stable outlook) by Fitch. Reduction of our credit ratings could impair our ability to refinance or repay our existing debt and to complete new financings on reasonable terms, or at all. A credit rating downgrade, particularly to a sub-investment grade, could also result in counterparties requiring us to post additional collateral under existing or new contracts or trades. In addition, a ratings downgrade would increase our interest expense under some of our existing debt obligations, including borrowings under our credit facilities.</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Derivatives regulations could impede our ability to manage business and financial risks by restricting our use of derivative instruments as hedges against fluctuating commodity prices and interest rates.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Dodd-Frank contains significant derivatives regulations, including a requirement that certain transactions be cleared resulting in a requirement to post cash collateral (commonly referred to as “margin”) for such transactions. Dodd-Frank provides for a potential exception from these clearing and cash collateral requirements for commercial end-users such as utilities and it includes a number of defined terms that will be used in determining how this exception applies to particular derivative transactions and the parties to those transactions.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use natural gas derivative instruments for our hedging activities for our Gas and Electric Utilities’ operations. We may also use interest rate derivative instruments to minimize the impact of interest rate fluctuations. As a result of Dodd-Frank regulations promulgated by the CFTC, we may be required to post collateral for certain swap transactions we enter into. In addition, our exchange-traded futures contracts are subject to futures margin posting requirements, which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In addition, a requirement for our counterparties to post collateral could result in additional costs being passed on to us, thereby decreasing our profitability.</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hedging activities that are designed to protect against commodity price and financial market risks may cause fluctuations in reported financial results due to accounting requirements associated with such activities.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various financial contracts and derivatives, including futures, forwards, options and swaps to manage commodity price and financial market risks. The timing of the recognition of gains or losses on these economic hedges in accordance with GAAP does not always match up with the gains or losses on the commodities being hedged. The difference in accounting may result in volatility in reported results, even though the expected profit margin may be essentially unchanged from the dates the transactions were consummated.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derivative financial instruments could result in material financial losses.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have sought to limit a portion of the potential adverse effects resulting from changes in commodity prices and interest rates by using derivative financial instruments and other hedging mechanisms. 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7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Market performance or changes in other assumptions could require us to make significant unplanned contributions to our pension plans and other postretirement benefit plans. Increasing costs associated with our defined benefit retirement plans may adversely affect our results of operations, financial position or cash flows.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18 of the Notes to the Consolidated Financial Statements in this Annual Report on Form 10-K, we have one defined benefit pension plan (the pension plan is closed to new employees and frozen for certain employees who did not meet age and service based criteria) and several defined post-retirement healthcare plans and non-qualified retirement plans that cover certain eligible employees. Assumptions related to future costs, return on investments, interest rates and other actuarial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96" w:right="259" w:bottom="1440" w:gutter="0" w:footer="0" w:header="0"/>
        </w:sectPr>
      </w:pPr>
    </w:p>
    <w:bookmarkStart w:id="39" w:name="page40"/>
    <w:bookmarkEnd w:id="39"/>
    <w:p>
      <w:pPr>
        <w:jc w:val="both"/>
        <w:ind w:right="140"/>
        <w:spacing w:after="0" w:line="277" w:lineRule="auto"/>
        <w:rPr>
          <w:sz w:val="20"/>
          <w:szCs w:val="20"/>
          <w:color w:val="auto"/>
        </w:rPr>
      </w:pPr>
      <w:r>
        <w:rPr>
          <w:rFonts w:ascii="Arial" w:cs="Arial" w:eastAsia="Arial" w:hAnsi="Arial"/>
          <w:sz w:val="18"/>
          <w:szCs w:val="18"/>
          <w:color w:val="auto"/>
        </w:rPr>
        <w:t>assumptions have a significant impact on our funding requirements and the expense recognized related to these plans. These estimates and assumptions may change based on actual return on plan assets, changes in interest rates and any changes in governmental regulations.</w:t>
      </w:r>
    </w:p>
    <w:p>
      <w:pPr>
        <w:spacing w:after="0" w:line="1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have a holding company corporate structure with multiple subsidiaries. Corporate dividends and debt payments are dependent upon cash distributions to the holding company from the subsidiaries.</w:t>
      </w:r>
    </w:p>
    <w:p>
      <w:pPr>
        <w:spacing w:after="0" w:line="16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There is no assurance as to the amount, if any, of future dividends because they depend on our future earnings, capital requirements and financial condition and are subject to declaration by the Board of Directors. Our operating subsidiaries have certain restrictions on their ability to transfer funds in the form of dividends or loans to us. See “Liquidity and Capital Resources” within Management’s Discussion and Analysis of Financial Condition and Results of Operations in Item 7 of this Annual Report on Form 10-K for further information regarding these restrictions and their impact on our liquidity.</w:t>
      </w:r>
    </w:p>
    <w:p>
      <w:pPr>
        <w:spacing w:after="0" w:line="15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be unable to obtain financing on reasonable terms needed to refinance debt, fund planned capital expenditures or otherwise execute our operating strategy.</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and fund working capital and planned capital expenditures) with operating cash flow, borrowings under credit facilities, proceeds of debt and equity offerings, and proceeds from asset sales. Our ability to access the capital markets and the costs and terms of available financing depend on many factors, including changes in our credit ratings, changes in the federal or state regulatory environment affecting energy companies, volatility in commodity or electricity prices, and general economic and market conditions.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National and regional economic conditions may cause increased counterparty credit risk, late payments and uncollectible accounts, which could adversely affect our results of operations, financial position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 future recession may lead to an increase in late payments from retail, commercial and industrial utility customers, as well as from our non-utility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late payments and uncollectible accounts increase, earnings and cash flows from our continuing operations may be reduced.</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ability to obtain insurance and the terms of any available insurance coverage could be adversely affected by international, national, state or local events and company-specific events, as well as the financial condition of insurers. Our insurance coverage may not provide protection against all significant losses.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obtain insurance, as well as the cost of such insurance, could be impacted by developments affecting insurance businesses, international, national, state or local events, as well as the financial condition of insurers. Insurance coverage may not continue to be available at all, or at rates or on terms similar to those presently available to us. A loss for which we are not fully insured could materially and adversely affect our financial results. Our insurance may not be sufficient or effective under all circumstances and against all hazards or liabilities to which the Company may be subject, including but not limited to environmental hazards, fire-related liability from natural events or inadequate facility maintenance, distribution property losses, cyber-security risks and dangers that exist in the gathering and transportation of gas in pipelines.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Increasing costs associated with our healthcare plans and other benefits may adversely affect our results of operations, financial position or liquidity.</w:t>
      </w:r>
    </w:p>
    <w:p>
      <w:pPr>
        <w:spacing w:after="0" w:line="252"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and likely will continue to, require changes to our current employee benefit plans and in our administrative and accounting processes, as well as changes to the cost of our plans, and the increasing costs and funding requirements associated with our healthcare plans may adversely affect our results of operations, financial position or cash flows.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electric and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there can be no assurance that the state public utility commissions will allow recovery.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effective system of internal control may not be maintained, leading to material weaknesses in internal control over financial reporting.</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404 of the Sarbanes-Oxley Act of 2002 requires management to make an assessment of the design and effectiveness of internal controls. Our independent registered public accounting firm is required to attest to the effectiveness of these controls. During their assessment of these controls, management or our independent registered public accounting firm may identify areas of weakness in control design or effectiveness, which may lead to the conclusion that a material weakness in internal control exists. Any control deficiencies we identify in the future could adversely affect our ability to report our financial results on a timely and accurate basis, which could result in a loss of investor confidence in our financial reports or have a material adverse effect on our ability to operate our business or access sources of liquidity.</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control system’s objectives will be met. If we are unable to assert that our internal controls over financial reporting are effective, market perception of our business, operating results and stock price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RISKS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Developments in federal and state laws concerning GHG regulations and air emissions relating to climate may adversely impact operations, financial results and materially increase our generation and production costs, which could render some of our generating units uneconomical to operate and maintain</w:t>
      </w:r>
      <w:r>
        <w:rPr>
          <w:rFonts w:ascii="Arial" w:cs="Arial" w:eastAsia="Arial" w:hAnsi="Arial"/>
          <w:sz w:val="18"/>
          <w:szCs w:val="18"/>
          <w:color w:val="auto"/>
        </w:rPr>
        <w:t>.</w:t>
      </w:r>
    </w:p>
    <w:p>
      <w:pPr>
        <w:spacing w:after="0" w:line="18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the extent climate change occurs, our businesses could be adversely impacted. We believe it is likely that any such resulting impacts would occur very gradually over a very long period of time and thus would be difficult to quantify. Warmer temperatures in our natural gas service territories, or cooler temperatures in our electric service territories could adversely affect financial results through lower natural gas volumes delivered, lower MWh sold and associated lower revenues.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and operate regulated and non-regulated fossil-fuel generating plants in South Dakota, Wyoming and Colorado. Developments under federal and state laws and regulations governing air emissions from fossil-fuel generating plants may result in more stringent emission limitations, which could have a material impact on our costs of operations. Various pending or final state and EPA regulations that will impact our facilities are also discussed in Item 1 of this Annual Report on Form 10-K under the section “Environmental Matters”.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Due to uncertainty as to the final outcome of federal climate regulation, legal challenges, state CPP developments or regulatory changes under the Clean Air Act, we cannot definitively estimate the effect of GHG legislation or regulation on our results of operations, financial position or cash flows.</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reduction of load of coal-fired power generation facilities and potential increased load of our combined cycle natural gas-fired generation units. To the extent our regulated fossil-fuel generating plants are included in rate base we will attempt to recover costs associated with complying with emission standards or other requirements. We will also attempt to recover the emission compliance costs of our non-regulated fossil-fuel generating plants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from utility and other purchasers of the power generated by those non-regulated power plants. Any unrecovered costs could have a material impact on our results of operations and financial condition. In addition, future changes in environmental regulations governing air emissions could render some of our power generating units more expensive or uneconomical to operate and maintain.</w:t>
      </w:r>
    </w:p>
    <w:p>
      <w:pPr>
        <w:spacing w:after="0" w:line="17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costs to achieve or maintain compliance with existing or future governmental laws, regulations or requirements, and any failure to do so, could adversely affect our results of operations, financial position or liquidity.</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business segments are subject to numerous environmental laws and regulations affecting many aspects of present and future operations, including air emissions, water quality, wastewater discharges, solid waste and hazardous waste. These laws and regulations may result in increased capital, operating and other costs. These laws and regulations generally require the business segments to obtain and comply with a wide variety of environmental licenses, permits, inspections and other approvals. Compliance with environmental laws and regulations may require significant expenditures, including expenditures for cleanup costs and damages arising from contaminated properties. Failure to comply with environmental regulations may result in the imposition of fines, penalties and injunctive measures affecting operating assets.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business segments may not be successful in recovering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 Although it is not expected that the costs to comply with current environmental regulations will have a material adverse effect on the business segments’ financial position, results of operations or cash flows, future environmental compliance costs could have a significant negative impact.</w:t>
      </w:r>
    </w:p>
    <w:p>
      <w:pPr>
        <w:spacing w:after="0" w:line="184"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The characteristics of coal may make it difficult for coal users to comply with various environmental standards related to coal combustion or utilization and the use of alternative energy sources for power generation as mandated by states could reduce coal consumption.</w:t>
      </w:r>
    </w:p>
    <w:p>
      <w:pPr>
        <w:spacing w:after="0" w:line="1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Future regulations may require further reductions in emissions of mercury, hazardous pollutants, SO</w:t>
      </w:r>
      <w:r>
        <w:rPr>
          <w:rFonts w:ascii="Arial" w:cs="Arial" w:eastAsia="Arial" w:hAnsi="Arial"/>
          <w:sz w:val="12"/>
          <w:szCs w:val="12"/>
          <w:color w:val="auto"/>
        </w:rPr>
        <w:t>2</w:t>
      </w:r>
      <w:r>
        <w:rPr>
          <w:rFonts w:ascii="Arial" w:cs="Arial" w:eastAsia="Arial" w:hAnsi="Arial"/>
          <w:sz w:val="18"/>
          <w:szCs w:val="18"/>
          <w:color w:val="auto"/>
        </w:rPr>
        <w:t>, NO</w:t>
      </w:r>
      <w:r>
        <w:rPr>
          <w:rFonts w:ascii="Arial" w:cs="Arial" w:eastAsia="Arial" w:hAnsi="Arial"/>
          <w:sz w:val="12"/>
          <w:szCs w:val="12"/>
          <w:color w:val="auto"/>
        </w:rPr>
        <w:t>x</w:t>
      </w:r>
      <w:r>
        <w:rPr>
          <w:rFonts w:ascii="Arial" w:cs="Arial" w:eastAsia="Arial" w:hAnsi="Arial"/>
          <w:sz w:val="18"/>
          <w:szCs w:val="18"/>
          <w:color w:val="auto"/>
        </w:rPr>
        <w:t>, volatile organic compounds, particulate matter and GHG, which are released into the air when coal is burned. These requirements could require the installation of costly emission control technology or the implementation of other measures.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Coal competes with other energy sources, such as natural gas, wind, solar and hydropower. The EPA was directed to repeal, revise and replace the CPP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this time, it is not known what effect this will have on coal as a domestic energy source, and could have a significant impact on our mining operations.</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Existing or proposed legislation focusing on emissions enacted by the United States or individual states could make coal a less attractive fuel alternative for our customers and could impose a tax or fee on the producer of the coal. If our customers decrease the volume of coal they purchase from us or switch to alternative fuels as a result of existing or future environmental regulations aimed at reducing emissions, our results of operations, financial position or cash flows could be adversely impacted.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color w:val="auto"/>
        </w:rPr>
        <w:t>Information regarding our legal proceedings is incorporated herein by reference to the “Legal Proceedings” sub-caption within Item 8, Note 19, “Commitments and Contingencies”, of our Notes to Consolidated Financial Statements in this Annual Report on Form 10-K.</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Annual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common stock is traded on the New York Stock Exchange under the symbol BKH. As of December 31, 2018, we had 3,689 common shareholders of record and approximately 41,000 beneficial owners, representing all 50 states, the District of Columbia and 7 foreign countries.</w:t>
      </w:r>
    </w:p>
    <w:p>
      <w:pPr>
        <w:spacing w:after="0" w:line="14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have paid a regular quarterly cash dividend each year since the incorporation of our predecessor company in 1941 and expect to continue paying a regular quarterly dividend for the foreseeable future. At its January 30, 2019 meeting, our Board of Directors declared a quarterly dividend of $0.505 per share, equivalent to an annual dividend of $2.02 per share. The 2019 equivalent rate of $2.02 per share would mark 2019 as the 49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annual dividend increase for the Company.</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additional discussion of our dividend policy and factors that may limit our ability to pay dividends, see “Liquidity and Capital Resources” under Item 7, Management’s Discussion and Analysis of Financial Condition and Results of Operations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 ISSUED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equity securities acquired for the twelve months ended December 31, 2018.</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80"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SELECTED FINANCIAL DATA</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w w:val="95"/>
              </w:rPr>
              <w:t>(Minor differences may result due to rounding)</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Years Ended December 31,</w:t>
            </w:r>
          </w:p>
        </w:tc>
        <w:tc>
          <w:tcPr>
            <w:tcW w:w="380" w:type="dxa"/>
            <w:vAlign w:val="bottom"/>
          </w:tcPr>
          <w:p>
            <w:pPr>
              <w:spacing w:after="0"/>
              <w:rPr>
                <w:sz w:val="24"/>
                <w:szCs w:val="24"/>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color w:val="auto"/>
              </w:rPr>
              <w:t>2018</w:t>
            </w:r>
          </w:p>
        </w:tc>
        <w:tc>
          <w:tcPr>
            <w:tcW w:w="440" w:type="dxa"/>
            <w:vAlign w:val="bottom"/>
          </w:tcPr>
          <w:p>
            <w:pPr>
              <w:spacing w:after="0"/>
              <w:rPr>
                <w:sz w:val="24"/>
                <w:szCs w:val="24"/>
                <w:color w:val="auto"/>
              </w:rPr>
            </w:pPr>
          </w:p>
        </w:tc>
        <w:tc>
          <w:tcPr>
            <w:tcW w:w="1180" w:type="dxa"/>
            <w:vAlign w:val="bottom"/>
          </w:tcPr>
          <w:p>
            <w:pPr>
              <w:jc w:val="right"/>
              <w:ind w:right="559"/>
              <w:spacing w:after="0"/>
              <w:rPr>
                <w:sz w:val="20"/>
                <w:szCs w:val="20"/>
                <w:color w:val="auto"/>
              </w:rPr>
            </w:pPr>
            <w:r>
              <w:rPr>
                <w:rFonts w:ascii="Arial" w:cs="Arial" w:eastAsia="Arial" w:hAnsi="Arial"/>
                <w:sz w:val="16"/>
                <w:szCs w:val="16"/>
                <w:color w:val="auto"/>
              </w:rPr>
              <w:t>2017</w:t>
            </w:r>
          </w:p>
        </w:tc>
        <w:tc>
          <w:tcPr>
            <w:tcW w:w="460" w:type="dxa"/>
            <w:vAlign w:val="bottom"/>
          </w:tcPr>
          <w:p>
            <w:pPr>
              <w:spacing w:after="0"/>
              <w:rPr>
                <w:sz w:val="24"/>
                <w:szCs w:val="24"/>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color w:val="auto"/>
              </w:rPr>
              <w:t>2015</w:t>
            </w:r>
          </w:p>
        </w:tc>
        <w:tc>
          <w:tcPr>
            <w:tcW w:w="460" w:type="dxa"/>
            <w:vAlign w:val="bottom"/>
          </w:tcPr>
          <w:p>
            <w:pPr>
              <w:spacing w:after="0"/>
              <w:rPr>
                <w:sz w:val="24"/>
                <w:szCs w:val="24"/>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33"/>
        </w:trPr>
        <w:tc>
          <w:tcPr>
            <w:tcW w:w="3540" w:type="dxa"/>
            <w:vAlign w:val="bottom"/>
            <w:gridSpan w:val="2"/>
            <w:vMerge w:val="restart"/>
          </w:tcPr>
          <w:p>
            <w:pPr>
              <w:ind w:left="40"/>
              <w:spacing w:after="0"/>
              <w:rPr>
                <w:sz w:val="20"/>
                <w:szCs w:val="20"/>
                <w:color w:val="auto"/>
              </w:rPr>
            </w:pPr>
            <w:r>
              <w:rPr>
                <w:rFonts w:ascii="Arial" w:cs="Arial" w:eastAsia="Arial" w:hAnsi="Arial"/>
                <w:sz w:val="16"/>
                <w:szCs w:val="16"/>
                <w:color w:val="auto"/>
              </w:rPr>
              <w:t>(dollars in thousands, except per share amounts)</w:t>
            </w: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b w:val="1"/>
                <w:bCs w:val="1"/>
                <w:color w:val="auto"/>
              </w:rPr>
              <w:t>Total Assets</w:t>
            </w:r>
          </w:p>
        </w:tc>
        <w:tc>
          <w:tcPr>
            <w:tcW w:w="232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6,963,327</w:t>
            </w:r>
          </w:p>
        </w:tc>
        <w:tc>
          <w:tcPr>
            <w:tcW w:w="4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6,658,902</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6,541,773</w:t>
            </w:r>
          </w:p>
        </w:tc>
        <w:tc>
          <w:tcPr>
            <w:tcW w:w="30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4,626,643</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4,216,752</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2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Total property, plant and equipment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6,000,015</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5,567,518</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5,315,296</w:t>
            </w:r>
          </w:p>
        </w:tc>
        <w:tc>
          <w:tcPr>
            <w:tcW w:w="300" w:type="dxa"/>
            <w:vAlign w:val="bottom"/>
          </w:tcPr>
          <w:p>
            <w:pPr>
              <w:spacing w:after="0"/>
              <w:rPr>
                <w:sz w:val="20"/>
                <w:szCs w:val="20"/>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3,849,309</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3,606,931</w:t>
            </w:r>
          </w:p>
        </w:tc>
        <w:tc>
          <w:tcPr>
            <w:tcW w:w="0" w:type="dxa"/>
            <w:vAlign w:val="bottom"/>
          </w:tcPr>
          <w:p>
            <w:pPr>
              <w:spacing w:after="0"/>
              <w:rPr>
                <w:sz w:val="1"/>
                <w:szCs w:val="1"/>
                <w:color w:val="auto"/>
              </w:rPr>
            </w:pPr>
          </w:p>
        </w:tc>
      </w:tr>
      <w:tr>
        <w:trPr>
          <w:trHeight w:val="33"/>
        </w:trPr>
        <w:tc>
          <w:tcPr>
            <w:tcW w:w="3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Accumulated depreciation and depletion</w:t>
            </w:r>
          </w:p>
        </w:tc>
        <w:tc>
          <w:tcPr>
            <w:tcW w:w="38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w w:val="95"/>
              </w:rPr>
              <w:t>(1,145,136)</w:t>
            </w:r>
          </w:p>
        </w:tc>
        <w:tc>
          <w:tcPr>
            <w:tcW w:w="44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(1,026,088)</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(929,119)</w:t>
            </w:r>
          </w:p>
        </w:tc>
        <w:tc>
          <w:tcPr>
            <w:tcW w:w="30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(794,695)</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(714,762)</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4,854,879</w:t>
            </w:r>
          </w:p>
        </w:tc>
        <w:tc>
          <w:tcPr>
            <w:tcW w:w="4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4,541,430</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4,386,177</w:t>
            </w:r>
          </w:p>
        </w:tc>
        <w:tc>
          <w:tcPr>
            <w:tcW w:w="3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3,054,614</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2,892,169</w:t>
            </w:r>
          </w:p>
        </w:tc>
        <w:tc>
          <w:tcPr>
            <w:tcW w:w="0" w:type="dxa"/>
            <w:vAlign w:val="bottom"/>
          </w:tcPr>
          <w:p>
            <w:pPr>
              <w:spacing w:after="0"/>
              <w:rPr>
                <w:sz w:val="1"/>
                <w:szCs w:val="1"/>
                <w:color w:val="auto"/>
              </w:rPr>
            </w:pPr>
          </w:p>
        </w:tc>
      </w:tr>
      <w:tr>
        <w:trPr>
          <w:trHeight w:val="271"/>
        </w:trPr>
        <w:tc>
          <w:tcPr>
            <w:tcW w:w="1220" w:type="dxa"/>
            <w:vAlign w:val="bottom"/>
            <w:shd w:val="clear" w:color="auto" w:fill="CEFFE7"/>
          </w:tcPr>
          <w:p>
            <w:pPr>
              <w:spacing w:after="0"/>
              <w:rPr>
                <w:sz w:val="23"/>
                <w:szCs w:val="23"/>
                <w:color w:val="auto"/>
              </w:rPr>
            </w:pPr>
          </w:p>
        </w:tc>
        <w:tc>
          <w:tcPr>
            <w:tcW w:w="23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Continuing Operations</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502,424</w:t>
            </w:r>
          </w:p>
        </w:tc>
        <w:tc>
          <w:tcPr>
            <w:tcW w:w="4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337,689</w:t>
            </w:r>
          </w:p>
        </w:tc>
        <w:tc>
          <w:tcPr>
            <w:tcW w:w="4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460,450</w:t>
            </w:r>
          </w:p>
        </w:tc>
        <w:tc>
          <w:tcPr>
            <w:tcW w:w="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289,896</w:t>
            </w:r>
          </w:p>
        </w:tc>
        <w:tc>
          <w:tcPr>
            <w:tcW w:w="4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281,828</w:t>
            </w: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Discontinued Operations</w:t>
            </w:r>
          </w:p>
        </w:tc>
        <w:tc>
          <w:tcPr>
            <w:tcW w:w="380" w:type="dxa"/>
            <w:vAlign w:val="bottom"/>
          </w:tcPr>
          <w:p>
            <w:pPr>
              <w:spacing w:after="0"/>
              <w:rPr>
                <w:sz w:val="20"/>
                <w:szCs w:val="20"/>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2,402</w:t>
            </w:r>
          </w:p>
        </w:tc>
        <w:tc>
          <w:tcPr>
            <w:tcW w:w="44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23,222</w:t>
            </w:r>
          </w:p>
        </w:tc>
        <w:tc>
          <w:tcPr>
            <w:tcW w:w="4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6,669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168,925</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109,439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EFFE7"/>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rPr>
              <w:t>Total Capital Expenditures</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504,826</w:t>
            </w:r>
          </w:p>
        </w:tc>
        <w:tc>
          <w:tcPr>
            <w:tcW w:w="4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360,911</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467,119</w:t>
            </w:r>
          </w:p>
        </w:tc>
        <w:tc>
          <w:tcPr>
            <w:tcW w:w="30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458,821</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391,267</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2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w w:val="97"/>
              </w:rPr>
              <w:t xml:space="preserve">Capitalization </w:t>
            </w:r>
            <w:r>
              <w:rPr>
                <w:rFonts w:ascii="Arial" w:cs="Arial" w:eastAsia="Arial" w:hAnsi="Arial"/>
                <w:sz w:val="16"/>
                <w:szCs w:val="16"/>
                <w:color w:val="auto"/>
                <w:w w:val="97"/>
              </w:rPr>
              <w:t>(excluding noncontrolling interests)</w:t>
            </w:r>
          </w:p>
        </w:tc>
        <w:tc>
          <w:tcPr>
            <w:tcW w:w="3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Current maturities of long-term debt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5,743</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5,743</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5,743</w:t>
            </w:r>
          </w:p>
        </w:tc>
        <w:tc>
          <w:tcPr>
            <w:tcW w:w="300" w:type="dxa"/>
            <w:vAlign w:val="bottom"/>
          </w:tcPr>
          <w:p>
            <w:pPr>
              <w:spacing w:after="0"/>
              <w:rPr>
                <w:sz w:val="20"/>
                <w:szCs w:val="20"/>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w w:val="99"/>
              </w:rPr>
              <w:t>Notes payable</w:t>
            </w:r>
          </w:p>
        </w:tc>
        <w:tc>
          <w:tcPr>
            <w:tcW w:w="232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185,620</w:t>
            </w:r>
          </w:p>
        </w:tc>
        <w:tc>
          <w:tcPr>
            <w:tcW w:w="4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211,300</w:t>
            </w: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96,600</w:t>
            </w:r>
          </w:p>
        </w:tc>
        <w:tc>
          <w:tcPr>
            <w:tcW w:w="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76,800</w:t>
            </w: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Long-term debt, net of current maturities and</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deferred financing costs</w:t>
            </w:r>
          </w:p>
        </w:tc>
        <w:tc>
          <w:tcPr>
            <w:tcW w:w="38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2,950,835</w:t>
            </w:r>
          </w:p>
        </w:tc>
        <w:tc>
          <w:tcPr>
            <w:tcW w:w="440" w:type="dxa"/>
            <w:vAlign w:val="bottom"/>
          </w:tcPr>
          <w:p>
            <w:pPr>
              <w:spacing w:after="0"/>
              <w:rPr>
                <w:sz w:val="18"/>
                <w:szCs w:val="18"/>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3,109,400</w:t>
            </w:r>
          </w:p>
        </w:tc>
        <w:tc>
          <w:tcPr>
            <w:tcW w:w="4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3,211,189</w:t>
            </w:r>
          </w:p>
        </w:tc>
        <w:tc>
          <w:tcPr>
            <w:tcW w:w="300" w:type="dxa"/>
            <w:vAlign w:val="bottom"/>
          </w:tcPr>
          <w:p>
            <w:pPr>
              <w:jc w:val="right"/>
              <w:ind w:right="106"/>
              <w:spacing w:after="0"/>
              <w:rPr>
                <w:sz w:val="20"/>
                <w:szCs w:val="20"/>
                <w:color w:val="auto"/>
              </w:rPr>
            </w:pPr>
            <w:r>
              <w:rPr>
                <w:rFonts w:ascii="Arial" w:cs="Arial" w:eastAsia="Arial" w:hAnsi="Arial"/>
                <w:sz w:val="11"/>
                <w:szCs w:val="11"/>
                <w:color w:val="auto"/>
                <w:w w:val="88"/>
              </w:rPr>
              <w:t>(a)</w:t>
            </w:r>
          </w:p>
        </w:tc>
        <w:tc>
          <w:tcPr>
            <w:tcW w:w="42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1,853,682</w:t>
            </w:r>
          </w:p>
        </w:tc>
        <w:tc>
          <w:tcPr>
            <w:tcW w:w="4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1,255,953</w:t>
            </w:r>
          </w:p>
        </w:tc>
        <w:tc>
          <w:tcPr>
            <w:tcW w:w="0" w:type="dxa"/>
            <w:vAlign w:val="bottom"/>
          </w:tcPr>
          <w:p>
            <w:pPr>
              <w:spacing w:after="0"/>
              <w:rPr>
                <w:sz w:val="1"/>
                <w:szCs w:val="1"/>
                <w:color w:val="auto"/>
              </w:rPr>
            </w:pPr>
          </w:p>
        </w:tc>
      </w:tr>
      <w:tr>
        <w:trPr>
          <w:trHeight w:val="22"/>
        </w:trPr>
        <w:tc>
          <w:tcPr>
            <w:tcW w:w="3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 xml:space="preserve">Common stock equity </w:t>
            </w:r>
            <w:r>
              <w:rPr>
                <w:rFonts w:ascii="Arial" w:cs="Arial" w:eastAsia="Arial" w:hAnsi="Arial"/>
                <w:sz w:val="21"/>
                <w:szCs w:val="21"/>
                <w:color w:val="auto"/>
                <w:vertAlign w:val="superscript"/>
              </w:rPr>
              <w:t>(b)</w:t>
            </w:r>
          </w:p>
        </w:tc>
        <w:tc>
          <w:tcPr>
            <w:tcW w:w="380" w:type="dxa"/>
            <w:vAlign w:val="bottom"/>
            <w:tcBorders>
              <w:bottom w:val="single" w:sz="8" w:color="auto"/>
            </w:tcBorders>
            <w:shd w:val="clear" w:color="auto" w:fill="CEFFE7"/>
          </w:tcPr>
          <w:p>
            <w:pPr>
              <w:spacing w:after="0"/>
              <w:rPr>
                <w:sz w:val="23"/>
                <w:szCs w:val="23"/>
                <w:color w:val="auto"/>
              </w:rPr>
            </w:pPr>
          </w:p>
        </w:tc>
        <w:tc>
          <w:tcPr>
            <w:tcW w:w="10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2,181,588</w:t>
            </w:r>
          </w:p>
        </w:tc>
        <w:tc>
          <w:tcPr>
            <w:tcW w:w="440" w:type="dxa"/>
            <w:vAlign w:val="bottom"/>
            <w:tcBorders>
              <w:bottom w:val="single" w:sz="8" w:color="auto"/>
            </w:tcBorders>
            <w:shd w:val="clear" w:color="auto" w:fill="CEFFE7"/>
          </w:tcPr>
          <w:p>
            <w:pPr>
              <w:spacing w:after="0"/>
              <w:rPr>
                <w:sz w:val="23"/>
                <w:szCs w:val="23"/>
                <w:color w:val="auto"/>
              </w:rPr>
            </w:pPr>
          </w:p>
        </w:tc>
        <w:tc>
          <w:tcPr>
            <w:tcW w:w="11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1,708,974</w:t>
            </w:r>
          </w:p>
        </w:tc>
        <w:tc>
          <w:tcPr>
            <w:tcW w:w="46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1,614,639</w:t>
            </w:r>
          </w:p>
        </w:tc>
        <w:tc>
          <w:tcPr>
            <w:tcW w:w="300" w:type="dxa"/>
            <w:vAlign w:val="bottom"/>
            <w:tcBorders>
              <w:bottom w:val="single" w:sz="8" w:color="auto"/>
            </w:tcBorders>
            <w:shd w:val="clear" w:color="auto" w:fill="CEFFE7"/>
          </w:tcPr>
          <w:p>
            <w:pPr>
              <w:spacing w:after="0"/>
              <w:rPr>
                <w:sz w:val="23"/>
                <w:szCs w:val="23"/>
                <w:color w:val="auto"/>
              </w:rPr>
            </w:pPr>
          </w:p>
        </w:tc>
        <w:tc>
          <w:tcPr>
            <w:tcW w:w="420" w:type="dxa"/>
            <w:vAlign w:val="bottom"/>
            <w:tcBorders>
              <w:bottom w:val="single" w:sz="8" w:color="auto"/>
            </w:tcBorders>
            <w:shd w:val="clear" w:color="auto" w:fill="CEFFE7"/>
          </w:tcPr>
          <w:p>
            <w:pPr>
              <w:spacing w:after="0"/>
              <w:rPr>
                <w:sz w:val="23"/>
                <w:szCs w:val="23"/>
                <w:color w:val="auto"/>
              </w:rPr>
            </w:pPr>
          </w:p>
        </w:tc>
        <w:tc>
          <w:tcPr>
            <w:tcW w:w="11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1,465,867</w:t>
            </w:r>
          </w:p>
        </w:tc>
        <w:tc>
          <w:tcPr>
            <w:tcW w:w="46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1,353,884</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EFFE7"/>
            </w:tcBorders>
            <w:gridSpan w:val="2"/>
          </w:tcPr>
          <w:p>
            <w:pPr>
              <w:ind w:left="820"/>
              <w:spacing w:after="0"/>
              <w:rPr>
                <w:sz w:val="20"/>
                <w:szCs w:val="20"/>
                <w:color w:val="auto"/>
              </w:rPr>
            </w:pPr>
            <w:r>
              <w:rPr>
                <w:rFonts w:ascii="Arial" w:cs="Arial" w:eastAsia="Arial" w:hAnsi="Arial"/>
                <w:sz w:val="16"/>
                <w:szCs w:val="16"/>
                <w:color w:val="auto"/>
              </w:rPr>
              <w:t>Total capitalization</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5,323,786</w:t>
            </w: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5,035,417</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4,928,171</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3,396,349</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2,959,837</w:t>
            </w:r>
          </w:p>
        </w:tc>
        <w:tc>
          <w:tcPr>
            <w:tcW w:w="0" w:type="dxa"/>
            <w:vAlign w:val="bottom"/>
          </w:tcPr>
          <w:p>
            <w:pPr>
              <w:spacing w:after="0"/>
              <w:rPr>
                <w:sz w:val="1"/>
                <w:szCs w:val="1"/>
                <w:color w:val="auto"/>
              </w:rPr>
            </w:pPr>
          </w:p>
        </w:tc>
      </w:tr>
      <w:tr>
        <w:trPr>
          <w:trHeight w:val="271"/>
        </w:trPr>
        <w:tc>
          <w:tcPr>
            <w:tcW w:w="1220" w:type="dxa"/>
            <w:vAlign w:val="bottom"/>
            <w:shd w:val="clear" w:color="auto" w:fill="CEFFE7"/>
          </w:tcPr>
          <w:p>
            <w:pPr>
              <w:spacing w:after="0"/>
              <w:rPr>
                <w:sz w:val="23"/>
                <w:szCs w:val="23"/>
                <w:color w:val="auto"/>
              </w:rPr>
            </w:pPr>
          </w:p>
        </w:tc>
        <w:tc>
          <w:tcPr>
            <w:tcW w:w="23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Capitalization Ratios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Short-term debt, including current maturities</w:t>
            </w:r>
          </w:p>
        </w:tc>
        <w:tc>
          <w:tcPr>
            <w:tcW w:w="3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w:t>
            </w: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380" w:type="dxa"/>
            <w:vAlign w:val="bottom"/>
          </w:tcPr>
          <w:p>
            <w:pPr>
              <w:spacing w:after="0"/>
              <w:rPr>
                <w:sz w:val="23"/>
                <w:szCs w:val="23"/>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440" w:type="dxa"/>
            <w:vAlign w:val="bottom"/>
          </w:tcPr>
          <w:p>
            <w:pPr>
              <w:spacing w:after="0"/>
              <w:rPr>
                <w:sz w:val="23"/>
                <w:szCs w:val="23"/>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62%</w:t>
            </w:r>
          </w:p>
        </w:tc>
        <w:tc>
          <w:tcPr>
            <w:tcW w:w="460" w:type="dxa"/>
            <w:vAlign w:val="bottom"/>
          </w:tcPr>
          <w:p>
            <w:pPr>
              <w:spacing w:after="0"/>
              <w:rPr>
                <w:sz w:val="23"/>
                <w:szCs w:val="23"/>
                <w:color w:val="auto"/>
              </w:rPr>
            </w:pPr>
          </w:p>
        </w:tc>
        <w:tc>
          <w:tcPr>
            <w:tcW w:w="1300" w:type="dxa"/>
            <w:vAlign w:val="bottom"/>
            <w:gridSpan w:val="2"/>
          </w:tcPr>
          <w:p>
            <w:pPr>
              <w:jc w:val="right"/>
              <w:ind w:right="106"/>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21"/>
                <w:szCs w:val="21"/>
                <w:color w:val="auto"/>
                <w:vertAlign w:val="subscript"/>
              </w:rPr>
              <w:t>(a)</w:t>
            </w:r>
          </w:p>
        </w:tc>
        <w:tc>
          <w:tcPr>
            <w:tcW w:w="420" w:type="dxa"/>
            <w:vAlign w:val="bottom"/>
          </w:tcPr>
          <w:p>
            <w:pPr>
              <w:spacing w:after="0"/>
              <w:rPr>
                <w:sz w:val="23"/>
                <w:szCs w:val="23"/>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Common stock equity</w:t>
            </w:r>
          </w:p>
        </w:tc>
        <w:tc>
          <w:tcPr>
            <w:tcW w:w="38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34%</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43%</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7"/>
        </w:trPr>
        <w:tc>
          <w:tcPr>
            <w:tcW w:w="1220" w:type="dxa"/>
            <w:vAlign w:val="bottom"/>
            <w:tcBorders>
              <w:bottom w:val="single" w:sz="8" w:color="CEFFE7"/>
            </w:tcBorders>
          </w:tcPr>
          <w:p>
            <w:pPr>
              <w:ind w:left="820"/>
              <w:spacing w:after="0"/>
              <w:rPr>
                <w:sz w:val="20"/>
                <w:szCs w:val="20"/>
                <w:color w:val="auto"/>
              </w:rPr>
            </w:pPr>
            <w:r>
              <w:rPr>
                <w:rFonts w:ascii="Arial" w:cs="Arial" w:eastAsia="Arial" w:hAnsi="Arial"/>
                <w:sz w:val="16"/>
                <w:szCs w:val="16"/>
                <w:color w:val="auto"/>
              </w:rPr>
              <w:t>Total</w:t>
            </w:r>
          </w:p>
        </w:tc>
        <w:tc>
          <w:tcPr>
            <w:tcW w:w="2320" w:type="dxa"/>
            <w:vAlign w:val="bottom"/>
            <w:tcBorders>
              <w:bottom w:val="single" w:sz="8" w:color="CEFFE7"/>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100%</w:t>
            </w:r>
          </w:p>
        </w:tc>
        <w:tc>
          <w:tcPr>
            <w:tcW w:w="4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100%</w:t>
            </w:r>
          </w:p>
        </w:tc>
        <w:tc>
          <w:tcPr>
            <w:tcW w:w="4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100%</w:t>
            </w:r>
          </w:p>
        </w:tc>
        <w:tc>
          <w:tcPr>
            <w:tcW w:w="4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1"/>
        </w:trPr>
        <w:tc>
          <w:tcPr>
            <w:tcW w:w="1220" w:type="dxa"/>
            <w:vAlign w:val="bottom"/>
            <w:shd w:val="clear" w:color="auto" w:fill="CEFFE7"/>
          </w:tcPr>
          <w:p>
            <w:pPr>
              <w:spacing w:after="0"/>
              <w:rPr>
                <w:sz w:val="23"/>
                <w:szCs w:val="23"/>
                <w:color w:val="auto"/>
              </w:rPr>
            </w:pPr>
          </w:p>
        </w:tc>
        <w:tc>
          <w:tcPr>
            <w:tcW w:w="23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b w:val="1"/>
                <w:bCs w:val="1"/>
                <w:color w:val="auto"/>
              </w:rPr>
              <w:t>Total Operating Revenues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1,754,268</w:t>
            </w: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1,680,266</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1,538,916</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1,261,322</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1,338,456</w:t>
            </w:r>
          </w:p>
        </w:tc>
        <w:tc>
          <w:tcPr>
            <w:tcW w:w="0" w:type="dxa"/>
            <w:vAlign w:val="bottom"/>
          </w:tcPr>
          <w:p>
            <w:pPr>
              <w:spacing w:after="0"/>
              <w:rPr>
                <w:sz w:val="1"/>
                <w:szCs w:val="1"/>
                <w:color w:val="auto"/>
              </w:rPr>
            </w:pPr>
          </w:p>
        </w:tc>
      </w:tr>
      <w:tr>
        <w:trPr>
          <w:trHeight w:val="271"/>
        </w:trPr>
        <w:tc>
          <w:tcPr>
            <w:tcW w:w="1220" w:type="dxa"/>
            <w:vAlign w:val="bottom"/>
            <w:shd w:val="clear" w:color="auto" w:fill="CEFFE7"/>
          </w:tcPr>
          <w:p>
            <w:pPr>
              <w:spacing w:after="0"/>
              <w:rPr>
                <w:sz w:val="23"/>
                <w:szCs w:val="23"/>
                <w:color w:val="auto"/>
              </w:rPr>
            </w:pPr>
          </w:p>
        </w:tc>
        <w:tc>
          <w:tcPr>
            <w:tcW w:w="23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420"/>
          </w:cols>
          <w:pgMar w:left="240" w:top="364"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 xml:space="preserve">Net Income Available for Common Stock </w:t>
      </w:r>
      <w:r>
        <w:rPr>
          <w:rFonts w:ascii="Arial" w:cs="Arial" w:eastAsia="Arial" w:hAnsi="Arial"/>
          <w:sz w:val="21"/>
          <w:szCs w:val="21"/>
          <w:b w:val="1"/>
          <w:bCs w:val="1"/>
          <w:color w:val="auto"/>
          <w:vertAlign w:val="superscript"/>
        </w:rPr>
        <w:t>(h)</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Electric Utilities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Gas Utilities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Power Generation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Mining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Corporate and intersegment eliminations</w:t>
      </w:r>
    </w:p>
    <w:p>
      <w:pPr>
        <w:spacing w:after="0" w:line="73" w:lineRule="exact"/>
        <w:rPr>
          <w:sz w:val="20"/>
          <w:szCs w:val="20"/>
          <w:color w:val="auto"/>
        </w:rPr>
      </w:pPr>
    </w:p>
    <w:p>
      <w:pPr>
        <w:ind w:left="40" w:right="100"/>
        <w:spacing w:after="0" w:line="293" w:lineRule="auto"/>
        <w:rPr>
          <w:sz w:val="20"/>
          <w:szCs w:val="20"/>
          <w:color w:val="auto"/>
        </w:rPr>
      </w:pPr>
      <w:r>
        <w:rPr>
          <w:rFonts w:ascii="Arial" w:cs="Arial" w:eastAsia="Arial" w:hAnsi="Arial"/>
          <w:sz w:val="16"/>
          <w:szCs w:val="16"/>
          <w:color w:val="auto"/>
        </w:rPr>
        <w:t>Income (loss) from continuing operations available for common stock</w:t>
      </w:r>
    </w:p>
    <w:p>
      <w:pPr>
        <w:spacing w:after="0" w:line="10" w:lineRule="exact"/>
        <w:rPr>
          <w:sz w:val="20"/>
          <w:szCs w:val="20"/>
          <w:color w:val="auto"/>
        </w:rPr>
      </w:pPr>
    </w:p>
    <w:p>
      <w:pPr>
        <w:ind w:left="180"/>
        <w:spacing w:after="0" w:line="281" w:lineRule="auto"/>
        <w:rPr>
          <w:sz w:val="20"/>
          <w:szCs w:val="20"/>
          <w:color w:val="auto"/>
        </w:rPr>
      </w:pPr>
      <w:r>
        <w:rPr>
          <w:rFonts w:ascii="Arial" w:cs="Arial" w:eastAsia="Arial" w:hAnsi="Arial"/>
          <w:sz w:val="16"/>
          <w:szCs w:val="16"/>
          <w:color w:val="auto"/>
        </w:rPr>
        <w:t xml:space="preserve">Income (loss) from discontinued operations, net of tax </w:t>
      </w:r>
      <w:r>
        <w:rPr>
          <w:rFonts w:ascii="Arial" w:cs="Arial" w:eastAsia="Arial" w:hAnsi="Arial"/>
          <w:sz w:val="21"/>
          <w:szCs w:val="21"/>
          <w:color w:val="auto"/>
          <w:vertAlign w:val="superscript"/>
        </w:rPr>
        <w:t>(b)</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available for common stock</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78,940</w:t>
            </w:r>
          </w:p>
        </w:tc>
        <w:tc>
          <w:tcPr>
            <w:tcW w:w="300" w:type="dxa"/>
            <w:vAlign w:val="bottom"/>
          </w:tcPr>
          <w:p>
            <w:pPr>
              <w:spacing w:after="0"/>
              <w:rPr>
                <w:sz w:val="17"/>
                <w:szCs w:val="17"/>
                <w:color w:val="auto"/>
              </w:rPr>
            </w:pP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110,082</w:t>
            </w:r>
          </w:p>
        </w:tc>
        <w:tc>
          <w:tcPr>
            <w:tcW w:w="740" w:type="dxa"/>
            <w:vAlign w:val="bottom"/>
          </w:tcPr>
          <w:p>
            <w:pPr>
              <w:jc w:val="right"/>
              <w:ind w:right="17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85,827</w:t>
            </w:r>
          </w:p>
        </w:tc>
        <w:tc>
          <w:tcPr>
            <w:tcW w:w="340" w:type="dxa"/>
            <w:vAlign w:val="bottom"/>
          </w:tcPr>
          <w:p>
            <w:pPr>
              <w:spacing w:after="0"/>
              <w:rPr>
                <w:sz w:val="17"/>
                <w:szCs w:val="17"/>
                <w:color w:val="auto"/>
              </w:rPr>
            </w:pP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77,579</w:t>
            </w:r>
          </w:p>
        </w:tc>
        <w:tc>
          <w:tcPr>
            <w:tcW w:w="720" w:type="dxa"/>
            <w:vAlign w:val="bottom"/>
          </w:tcPr>
          <w:p>
            <w:pPr>
              <w:jc w:val="right"/>
              <w:ind w:right="16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57,270</w:t>
            </w:r>
          </w:p>
        </w:tc>
      </w:tr>
      <w:tr>
        <w:trPr>
          <w:trHeight w:val="281"/>
        </w:trPr>
        <w:tc>
          <w:tcPr>
            <w:tcW w:w="3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160,283</w:t>
            </w:r>
          </w:p>
        </w:tc>
        <w:tc>
          <w:tcPr>
            <w:tcW w:w="300" w:type="dxa"/>
            <w:vAlign w:val="bottom"/>
          </w:tcPr>
          <w:p>
            <w:pPr>
              <w:ind w:left="80"/>
              <w:spacing w:after="0"/>
              <w:rPr>
                <w:sz w:val="20"/>
                <w:szCs w:val="20"/>
                <w:color w:val="auto"/>
              </w:rPr>
            </w:pPr>
            <w:r>
              <w:rPr>
                <w:rFonts w:ascii="Arial" w:cs="Arial" w:eastAsia="Arial" w:hAnsi="Arial"/>
                <w:sz w:val="11"/>
                <w:szCs w:val="11"/>
                <w:color w:val="auto"/>
              </w:rPr>
              <w:t>(g)</w:t>
            </w:r>
          </w:p>
        </w:tc>
        <w:tc>
          <w:tcPr>
            <w:tcW w:w="4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65,795</w:t>
            </w:r>
          </w:p>
        </w:tc>
        <w:tc>
          <w:tcPr>
            <w:tcW w:w="7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59,624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39,306</w:t>
            </w:r>
          </w:p>
        </w:tc>
        <w:tc>
          <w:tcPr>
            <w:tcW w:w="72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44,151</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20,777</w:t>
            </w:r>
          </w:p>
        </w:tc>
        <w:tc>
          <w:tcPr>
            <w:tcW w:w="300" w:type="dxa"/>
            <w:vAlign w:val="bottom"/>
          </w:tcPr>
          <w:p>
            <w:pPr>
              <w:ind w:left="80"/>
              <w:spacing w:after="0"/>
              <w:rPr>
                <w:sz w:val="20"/>
                <w:szCs w:val="20"/>
                <w:color w:val="auto"/>
              </w:rPr>
            </w:pPr>
            <w:r>
              <w:rPr>
                <w:rFonts w:ascii="Arial" w:cs="Arial" w:eastAsia="Arial" w:hAnsi="Arial"/>
                <w:sz w:val="11"/>
                <w:szCs w:val="11"/>
                <w:color w:val="auto"/>
              </w:rPr>
              <w:t>(c)</w:t>
            </w:r>
          </w:p>
        </w:tc>
        <w:tc>
          <w:tcPr>
            <w:tcW w:w="4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46,479</w:t>
            </w:r>
          </w:p>
        </w:tc>
        <w:tc>
          <w:tcPr>
            <w:tcW w:w="740" w:type="dxa"/>
            <w:vAlign w:val="bottom"/>
          </w:tcPr>
          <w:p>
            <w:pPr>
              <w:jc w:val="right"/>
              <w:ind w:right="472"/>
              <w:spacing w:after="0"/>
              <w:rPr>
                <w:sz w:val="20"/>
                <w:szCs w:val="20"/>
                <w:color w:val="auto"/>
              </w:rPr>
            </w:pPr>
            <w:r>
              <w:rPr>
                <w:rFonts w:ascii="Arial" w:cs="Arial" w:eastAsia="Arial" w:hAnsi="Arial"/>
                <w:sz w:val="11"/>
                <w:szCs w:val="11"/>
                <w:color w:val="auto"/>
              </w:rPr>
              <w:t>(c)</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25,930</w:t>
            </w:r>
          </w:p>
        </w:tc>
        <w:tc>
          <w:tcPr>
            <w:tcW w:w="340" w:type="dxa"/>
            <w:vAlign w:val="bottom"/>
          </w:tcPr>
          <w:p>
            <w:pPr>
              <w:ind w:left="60"/>
              <w:spacing w:after="0"/>
              <w:rPr>
                <w:sz w:val="20"/>
                <w:szCs w:val="20"/>
                <w:color w:val="auto"/>
              </w:rPr>
            </w:pPr>
            <w:r>
              <w:rPr>
                <w:rFonts w:ascii="Arial" w:cs="Arial" w:eastAsia="Arial" w:hAnsi="Arial"/>
                <w:sz w:val="11"/>
                <w:szCs w:val="11"/>
                <w:color w:val="auto"/>
              </w:rPr>
              <w:t>(c)</w:t>
            </w:r>
          </w:p>
        </w:tc>
        <w:tc>
          <w:tcPr>
            <w:tcW w:w="4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32,650</w:t>
            </w:r>
          </w:p>
        </w:tc>
        <w:tc>
          <w:tcPr>
            <w:tcW w:w="7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28,516</w:t>
            </w:r>
          </w:p>
        </w:tc>
      </w:tr>
      <w:tr>
        <w:trPr>
          <w:trHeight w:val="259"/>
        </w:trPr>
        <w:tc>
          <w:tcPr>
            <w:tcW w:w="3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12,899</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14,386</w:t>
            </w:r>
          </w:p>
        </w:tc>
        <w:tc>
          <w:tcPr>
            <w:tcW w:w="7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10,053</w:t>
            </w: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11,870</w:t>
            </w:r>
          </w:p>
        </w:tc>
        <w:tc>
          <w:tcPr>
            <w:tcW w:w="72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10,452</w:t>
            </w:r>
          </w:p>
        </w:tc>
      </w:tr>
      <w:tr>
        <w:trPr>
          <w:trHeight w:val="281"/>
        </w:trPr>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(7,570)</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(42,609)</w:t>
            </w:r>
          </w:p>
        </w:tc>
        <w:tc>
          <w:tcPr>
            <w:tcW w:w="740" w:type="dxa"/>
            <w:vAlign w:val="bottom"/>
          </w:tcPr>
          <w:p>
            <w:pPr>
              <w:jc w:val="right"/>
              <w:ind w:right="472"/>
              <w:spacing w:after="0"/>
              <w:rPr>
                <w:sz w:val="20"/>
                <w:szCs w:val="20"/>
                <w:color w:val="auto"/>
              </w:rPr>
            </w:pPr>
            <w:r>
              <w:rPr>
                <w:rFonts w:ascii="Arial" w:cs="Arial" w:eastAsia="Arial" w:hAnsi="Arial"/>
                <w:sz w:val="11"/>
                <w:szCs w:val="11"/>
                <w:color w:val="auto"/>
              </w:rPr>
              <w:t>(d)</w:t>
            </w:r>
          </w:p>
        </w:tc>
        <w:tc>
          <w:tcPr>
            <w:tcW w:w="900" w:type="dxa"/>
            <w:vAlign w:val="bottom"/>
          </w:tcPr>
          <w:p>
            <w:pPr>
              <w:jc w:val="right"/>
              <w:spacing w:after="0"/>
              <w:rPr>
                <w:sz w:val="20"/>
                <w:szCs w:val="20"/>
                <w:color w:val="auto"/>
              </w:rPr>
            </w:pPr>
            <w:r>
              <w:rPr>
                <w:rFonts w:ascii="Arial" w:cs="Arial" w:eastAsia="Arial" w:hAnsi="Arial"/>
                <w:sz w:val="16"/>
                <w:szCs w:val="16"/>
                <w:color w:val="auto"/>
              </w:rPr>
              <w:t>(44,302)</w:t>
            </w:r>
          </w:p>
        </w:tc>
        <w:tc>
          <w:tcPr>
            <w:tcW w:w="340" w:type="dxa"/>
            <w:vAlign w:val="bottom"/>
          </w:tcPr>
          <w:p>
            <w:pPr>
              <w:ind w:left="60"/>
              <w:spacing w:after="0"/>
              <w:rPr>
                <w:sz w:val="20"/>
                <w:szCs w:val="20"/>
                <w:color w:val="auto"/>
              </w:rPr>
            </w:pPr>
            <w:r>
              <w:rPr>
                <w:rFonts w:ascii="Arial" w:cs="Arial" w:eastAsia="Arial" w:hAnsi="Arial"/>
                <w:sz w:val="11"/>
                <w:szCs w:val="11"/>
                <w:color w:val="auto"/>
              </w:rPr>
              <w:t>(d)</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(19,857)</w:t>
            </w:r>
          </w:p>
        </w:tc>
        <w:tc>
          <w:tcPr>
            <w:tcW w:w="720" w:type="dxa"/>
            <w:vAlign w:val="bottom"/>
          </w:tcPr>
          <w:p>
            <w:pPr>
              <w:jc w:val="right"/>
              <w:ind w:right="448"/>
              <w:spacing w:after="0"/>
              <w:rPr>
                <w:sz w:val="20"/>
                <w:szCs w:val="20"/>
                <w:color w:val="auto"/>
              </w:rPr>
            </w:pPr>
            <w:r>
              <w:rPr>
                <w:rFonts w:ascii="Arial" w:cs="Arial" w:eastAsia="Arial" w:hAnsi="Arial"/>
                <w:sz w:val="11"/>
                <w:szCs w:val="11"/>
                <w:color w:val="auto"/>
              </w:rPr>
              <w:t>(d)</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(7,927)</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6"/>
        </w:trPr>
        <w:tc>
          <w:tcPr>
            <w:tcW w:w="3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265,329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194,133</w:t>
            </w:r>
          </w:p>
        </w:tc>
        <w:tc>
          <w:tcPr>
            <w:tcW w:w="7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137,132</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141,548</w:t>
            </w:r>
          </w:p>
        </w:tc>
        <w:tc>
          <w:tcPr>
            <w:tcW w:w="72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132,462</w:t>
            </w:r>
          </w:p>
        </w:tc>
      </w:tr>
      <w:tr>
        <w:trPr>
          <w:trHeight w:val="459"/>
        </w:trPr>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(17,099)</w:t>
            </w: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(64,162)</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(173,659)</w:t>
            </w:r>
          </w:p>
        </w:tc>
        <w:tc>
          <w:tcPr>
            <w:tcW w:w="7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(1,573)</w:t>
            </w:r>
          </w:p>
        </w:tc>
      </w:tr>
      <w:tr>
        <w:trPr>
          <w:trHeight w:val="33"/>
        </w:trPr>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258,442</w:t>
            </w:r>
          </w:p>
        </w:tc>
        <w:tc>
          <w:tcPr>
            <w:tcW w:w="300" w:type="dxa"/>
            <w:vAlign w:val="bottom"/>
          </w:tcPr>
          <w:p>
            <w:pPr>
              <w:spacing w:after="0"/>
              <w:rPr>
                <w:sz w:val="20"/>
                <w:szCs w:val="20"/>
                <w:color w:val="auto"/>
              </w:rPr>
            </w:pP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177,034</w:t>
            </w:r>
          </w:p>
        </w:tc>
        <w:tc>
          <w:tcPr>
            <w:tcW w:w="740" w:type="dxa"/>
            <w:vAlign w:val="bottom"/>
          </w:tcPr>
          <w:p>
            <w:pPr>
              <w:jc w:val="right"/>
              <w:ind w:right="17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72,970</w:t>
            </w:r>
          </w:p>
        </w:tc>
        <w:tc>
          <w:tcPr>
            <w:tcW w:w="340" w:type="dxa"/>
            <w:vAlign w:val="bottom"/>
          </w:tcPr>
          <w:p>
            <w:pPr>
              <w:spacing w:after="0"/>
              <w:rPr>
                <w:sz w:val="20"/>
                <w:szCs w:val="20"/>
                <w:color w:val="auto"/>
              </w:rPr>
            </w:pP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(32,111)</w:t>
            </w:r>
          </w:p>
        </w:tc>
        <w:tc>
          <w:tcPr>
            <w:tcW w:w="720" w:type="dxa"/>
            <w:vAlign w:val="bottom"/>
          </w:tcPr>
          <w:p>
            <w:pPr>
              <w:jc w:val="right"/>
              <w:ind w:right="16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130,889</w:t>
            </w:r>
          </w:p>
        </w:tc>
      </w:tr>
      <w:tr>
        <w:trPr>
          <w:trHeight w:val="33"/>
        </w:trPr>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-1645920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-1303020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-960120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-496570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80"/>
            <w:col w:w="7880"/>
          </w:cols>
          <w:pgMar w:left="240" w:top="36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6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Years Ended December 31,</w:t>
            </w:r>
          </w:p>
        </w:tc>
        <w:tc>
          <w:tcPr>
            <w:tcW w:w="28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color w:val="auto"/>
              </w:rPr>
              <w:t>2017</w:t>
            </w:r>
          </w:p>
        </w:tc>
        <w:tc>
          <w:tcPr>
            <w:tcW w:w="52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color w:val="auto"/>
              </w:rPr>
              <w:t>2016</w:t>
            </w:r>
          </w:p>
        </w:tc>
        <w:tc>
          <w:tcPr>
            <w:tcW w:w="52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2015</w:t>
            </w:r>
          </w:p>
        </w:tc>
        <w:tc>
          <w:tcPr>
            <w:tcW w:w="540" w:type="dxa"/>
            <w:vAlign w:val="bottom"/>
          </w:tcPr>
          <w:p>
            <w:pPr>
              <w:spacing w:after="0"/>
              <w:rPr>
                <w:sz w:val="17"/>
                <w:szCs w:val="17"/>
                <w:color w:val="auto"/>
              </w:rPr>
            </w:pPr>
          </w:p>
        </w:tc>
        <w:tc>
          <w:tcPr>
            <w:tcW w:w="1320" w:type="dxa"/>
            <w:vAlign w:val="bottom"/>
          </w:tcPr>
          <w:p>
            <w:pPr>
              <w:jc w:val="right"/>
              <w:ind w:right="73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w w:val="95"/>
              </w:rPr>
              <w:t>(dollars in thousands, except per share amounts)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b w:val="1"/>
                <w:bCs w:val="1"/>
                <w:color w:val="auto"/>
              </w:rPr>
              <w:t>Dividends Paid on Common Stock</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106,591</w:t>
            </w:r>
          </w:p>
        </w:tc>
        <w:tc>
          <w:tcPr>
            <w:tcW w:w="5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96,744</w:t>
            </w:r>
          </w:p>
        </w:tc>
        <w:tc>
          <w:tcPr>
            <w:tcW w:w="5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87,570</w:t>
            </w:r>
          </w:p>
        </w:tc>
        <w:tc>
          <w:tcPr>
            <w:tcW w:w="5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72,604</w:t>
            </w:r>
          </w:p>
        </w:tc>
        <w:tc>
          <w:tcPr>
            <w:tcW w:w="5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69,636</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EFFE7"/>
          </w:tcPr>
          <w:p>
            <w:pPr>
              <w:ind w:left="20"/>
              <w:spacing w:after="0"/>
              <w:rPr>
                <w:sz w:val="20"/>
                <w:szCs w:val="20"/>
                <w:color w:val="auto"/>
              </w:rPr>
            </w:pPr>
            <w:r>
              <w:rPr>
                <w:rFonts w:ascii="Arial" w:cs="Arial" w:eastAsia="Arial" w:hAnsi="Arial"/>
                <w:sz w:val="16"/>
                <w:szCs w:val="16"/>
                <w:b w:val="1"/>
                <w:bCs w:val="1"/>
                <w:color w:val="auto"/>
              </w:rPr>
              <w:t>Common Stock Data</w:t>
            </w:r>
            <w:r>
              <w:rPr>
                <w:rFonts w:ascii="Arial" w:cs="Arial" w:eastAsia="Arial" w:hAnsi="Arial"/>
                <w:sz w:val="21"/>
                <w:szCs w:val="21"/>
                <w:color w:val="auto"/>
                <w:vertAlign w:val="superscript"/>
              </w:rPr>
              <w:t>(e)</w:t>
            </w:r>
            <w:r>
              <w:rPr>
                <w:rFonts w:ascii="Arial" w:cs="Arial" w:eastAsia="Arial" w:hAnsi="Arial"/>
                <w:sz w:val="16"/>
                <w:szCs w:val="16"/>
                <w:b w:val="1"/>
                <w:bCs w:val="1"/>
                <w:color w:val="auto"/>
              </w:rPr>
              <w:t xml:space="preserve"> </w:t>
            </w:r>
            <w:r>
              <w:rPr>
                <w:rFonts w:ascii="Arial" w:cs="Arial" w:eastAsia="Arial" w:hAnsi="Arial"/>
                <w:sz w:val="16"/>
                <w:szCs w:val="16"/>
                <w:color w:val="auto"/>
              </w:rPr>
              <w:t>(in thousands)</w:t>
            </w:r>
          </w:p>
        </w:tc>
        <w:tc>
          <w:tcPr>
            <w:tcW w:w="2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4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4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60"/>
              <w:spacing w:after="0"/>
              <w:rPr>
                <w:sz w:val="20"/>
                <w:szCs w:val="20"/>
                <w:color w:val="auto"/>
              </w:rPr>
            </w:pPr>
            <w:r>
              <w:rPr>
                <w:rFonts w:ascii="Arial" w:cs="Arial" w:eastAsia="Arial" w:hAnsi="Arial"/>
                <w:sz w:val="16"/>
                <w:szCs w:val="16"/>
                <w:color w:val="auto"/>
              </w:rPr>
              <w:t>Shares outstanding, average basic</w:t>
            </w:r>
          </w:p>
        </w:tc>
        <w:tc>
          <w:tcPr>
            <w:tcW w:w="2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54,420</w:t>
            </w:r>
          </w:p>
        </w:tc>
        <w:tc>
          <w:tcPr>
            <w:tcW w:w="5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53,221</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51,922</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45,288</w:t>
            </w:r>
          </w:p>
        </w:tc>
        <w:tc>
          <w:tcPr>
            <w:tcW w:w="54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44,394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Shares outstanding, average diluted</w:t>
            </w: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55,486</w:t>
            </w:r>
          </w:p>
        </w:tc>
        <w:tc>
          <w:tcPr>
            <w:tcW w:w="5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55,120</w:t>
            </w:r>
          </w:p>
        </w:tc>
        <w:tc>
          <w:tcPr>
            <w:tcW w:w="52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53,271</w:t>
            </w:r>
          </w:p>
        </w:tc>
        <w:tc>
          <w:tcPr>
            <w:tcW w:w="52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45,288</w:t>
            </w:r>
          </w:p>
        </w:tc>
        <w:tc>
          <w:tcPr>
            <w:tcW w:w="5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44,598</w:t>
            </w:r>
          </w:p>
        </w:tc>
        <w:tc>
          <w:tcPr>
            <w:tcW w:w="0" w:type="dxa"/>
            <w:vAlign w:val="bottom"/>
          </w:tcPr>
          <w:p>
            <w:pPr>
              <w:spacing w:after="0"/>
              <w:rPr>
                <w:sz w:val="1"/>
                <w:szCs w:val="1"/>
                <w:color w:val="auto"/>
              </w:rPr>
            </w:pPr>
          </w:p>
        </w:tc>
      </w:tr>
      <w:tr>
        <w:trPr>
          <w:trHeight w:val="237"/>
        </w:trPr>
        <w:tc>
          <w:tcPr>
            <w:tcW w:w="3340" w:type="dxa"/>
            <w:vAlign w:val="bottom"/>
          </w:tcPr>
          <w:p>
            <w:pPr>
              <w:ind w:left="160"/>
              <w:spacing w:after="0"/>
              <w:rPr>
                <w:sz w:val="20"/>
                <w:szCs w:val="20"/>
                <w:color w:val="auto"/>
              </w:rPr>
            </w:pPr>
            <w:r>
              <w:rPr>
                <w:rFonts w:ascii="Arial" w:cs="Arial" w:eastAsia="Arial" w:hAnsi="Arial"/>
                <w:sz w:val="16"/>
                <w:szCs w:val="16"/>
                <w:color w:val="auto"/>
              </w:rPr>
              <w:t>Shares outstanding, end of year</w:t>
            </w:r>
          </w:p>
        </w:tc>
        <w:tc>
          <w:tcPr>
            <w:tcW w:w="2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60,004</w:t>
            </w:r>
          </w:p>
        </w:tc>
        <w:tc>
          <w:tcPr>
            <w:tcW w:w="5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53,541</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53,382</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51,192</w:t>
            </w:r>
          </w:p>
        </w:tc>
        <w:tc>
          <w:tcPr>
            <w:tcW w:w="54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44,672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Earnings (Loss) Per Share of Common Stock </w:t>
      </w:r>
      <w:r>
        <w:rPr>
          <w:rFonts w:ascii="Arial" w:cs="Arial" w:eastAsia="Arial" w:hAnsi="Arial"/>
          <w:sz w:val="16"/>
          <w:szCs w:val="16"/>
          <w:color w:val="auto"/>
        </w:rPr>
        <w:t>(in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37465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Basic earnings (loss) per average share -</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40" w:type="dxa"/>
            <w:vAlign w:val="bottom"/>
          </w:tcPr>
          <w:p>
            <w:pPr>
              <w:ind w:left="380"/>
              <w:spacing w:after="0"/>
              <w:rPr>
                <w:sz w:val="20"/>
                <w:szCs w:val="20"/>
                <w:color w:val="auto"/>
              </w:rPr>
            </w:pPr>
            <w:r>
              <w:rPr>
                <w:rFonts w:ascii="Arial" w:cs="Arial" w:eastAsia="Arial" w:hAnsi="Arial"/>
                <w:sz w:val="16"/>
                <w:szCs w:val="16"/>
                <w:color w:val="auto"/>
              </w:rPr>
              <w:t>Continuing operations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5.14</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3.92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2.83</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3.12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42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(0.13)</w:t>
            </w:r>
          </w:p>
        </w:tc>
        <w:tc>
          <w:tcPr>
            <w:tcW w:w="5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(0.32)</w:t>
            </w:r>
          </w:p>
        </w:tc>
        <w:tc>
          <w:tcPr>
            <w:tcW w:w="60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(1.23)</w:t>
            </w:r>
          </w:p>
        </w:tc>
        <w:tc>
          <w:tcPr>
            <w:tcW w:w="60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(3.83)</w:t>
            </w:r>
          </w:p>
        </w:tc>
        <w:tc>
          <w:tcPr>
            <w:tcW w:w="60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35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42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(0.26)</w:t>
            </w:r>
          </w:p>
        </w:tc>
        <w:tc>
          <w:tcPr>
            <w:tcW w:w="58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(0.27)</w:t>
            </w:r>
          </w:p>
        </w:tc>
        <w:tc>
          <w:tcPr>
            <w:tcW w:w="60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(0.19)</w:t>
            </w:r>
          </w:p>
        </w:tc>
        <w:tc>
          <w:tcPr>
            <w:tcW w:w="600" w:type="dxa"/>
            <w:vAlign w:val="bottom"/>
          </w:tcPr>
          <w:p>
            <w:pPr>
              <w:spacing w:after="0"/>
              <w:rPr>
                <w:sz w:val="20"/>
                <w:szCs w:val="20"/>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4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4.75</w:t>
            </w:r>
          </w:p>
        </w:tc>
        <w:tc>
          <w:tcPr>
            <w:tcW w:w="58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3.33</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1.41</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(0.71)</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160"/>
              <w:spacing w:after="0"/>
              <w:rPr>
                <w:sz w:val="20"/>
                <w:szCs w:val="20"/>
                <w:color w:val="auto"/>
              </w:rPr>
            </w:pPr>
            <w:r>
              <w:rPr>
                <w:rFonts w:ascii="Arial" w:cs="Arial" w:eastAsia="Arial" w:hAnsi="Arial"/>
                <w:sz w:val="16"/>
                <w:szCs w:val="16"/>
                <w:color w:val="auto"/>
              </w:rPr>
              <w:t>Diluted earnings (loss) per average share -</w:t>
            </w: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Continuing operations</w:t>
            </w:r>
          </w:p>
        </w:tc>
        <w:tc>
          <w:tcPr>
            <w:tcW w:w="4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5.04</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3.78</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2.75</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3.12</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42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(0.12)</w:t>
            </w:r>
          </w:p>
        </w:tc>
        <w:tc>
          <w:tcPr>
            <w:tcW w:w="58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(0.31)</w:t>
            </w:r>
          </w:p>
        </w:tc>
        <w:tc>
          <w:tcPr>
            <w:tcW w:w="60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(1.20)</w:t>
            </w:r>
          </w:p>
        </w:tc>
        <w:tc>
          <w:tcPr>
            <w:tcW w:w="60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(3.83)</w:t>
            </w:r>
          </w:p>
        </w:tc>
        <w:tc>
          <w:tcPr>
            <w:tcW w:w="600" w:type="dxa"/>
            <w:vAlign w:val="bottom"/>
          </w:tcPr>
          <w:p>
            <w:pPr>
              <w:spacing w:after="0"/>
              <w:rPr>
                <w:sz w:val="23"/>
                <w:szCs w:val="23"/>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(0.26)</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(0.26)</w:t>
            </w:r>
          </w:p>
        </w:tc>
        <w:tc>
          <w:tcPr>
            <w:tcW w:w="6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(0.18)</w:t>
            </w:r>
          </w:p>
        </w:tc>
        <w:tc>
          <w:tcPr>
            <w:tcW w:w="60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Borders>
              <w:bottom w:val="single" w:sz="8" w:color="CEFFE7"/>
            </w:tcBorders>
          </w:tcPr>
          <w:p>
            <w:pPr>
              <w:ind w:left="8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4.66</w:t>
            </w: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3.21</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1.37</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(0.71)</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4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58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1.93</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1.81</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1.68</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1.62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Book Value Per Share, End of Year</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36.36</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31.92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30.25</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28.63</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 xml:space="preserve">Return on Average Equity </w:t>
            </w:r>
            <w:r>
              <w:rPr>
                <w:rFonts w:ascii="Arial" w:cs="Arial" w:eastAsia="Arial" w:hAnsi="Arial"/>
                <w:sz w:val="21"/>
                <w:szCs w:val="21"/>
                <w:b w:val="1"/>
                <w:bCs w:val="1"/>
                <w:color w:val="auto"/>
                <w:vertAlign w:val="superscript"/>
              </w:rPr>
              <w:t>(f)</w:t>
            </w:r>
          </w:p>
        </w:tc>
        <w:tc>
          <w:tcPr>
            <w:tcW w:w="42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13.6%</w:t>
            </w:r>
          </w:p>
        </w:tc>
        <w:tc>
          <w:tcPr>
            <w:tcW w:w="58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6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71"/>
        </w:trPr>
        <w:tc>
          <w:tcPr>
            <w:tcW w:w="3360" w:type="dxa"/>
            <w:vAlign w:val="bottom"/>
            <w:gridSpan w:val="2"/>
          </w:tcPr>
          <w:p>
            <w:pPr>
              <w:jc w:val="right"/>
              <w:ind w:right="679"/>
              <w:spacing w:after="0"/>
              <w:rPr>
                <w:sz w:val="20"/>
                <w:szCs w:val="20"/>
                <w:color w:val="auto"/>
              </w:rPr>
            </w:pPr>
            <w:r>
              <w:rPr>
                <w:rFonts w:ascii="Arial" w:cs="Arial" w:eastAsia="Arial" w:hAnsi="Arial"/>
                <w:sz w:val="14"/>
                <w:szCs w:val="14"/>
                <w:color w:val="auto"/>
                <w:w w:val="92"/>
              </w:rPr>
              <w:t>____________________________________</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increase in 2016 includes the debt associated with the SourceGas acquisition (see Note 6 of the Notes to the Consolidated Financial Statements in this Annual Report on Form 10-K).</w:t>
      </w:r>
    </w:p>
    <w:p>
      <w:pPr>
        <w:spacing w:after="0" w:line="12" w:lineRule="exact"/>
        <w:rPr>
          <w:rFonts w:ascii="Arial" w:cs="Arial" w:eastAsia="Arial" w:hAnsi="Arial"/>
          <w:sz w:val="13"/>
          <w:szCs w:val="13"/>
          <w:color w:val="auto"/>
        </w:rPr>
      </w:pPr>
    </w:p>
    <w:p>
      <w:pPr>
        <w:ind w:left="50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November 1, 2017, we made the decision to divest our Oil and Gas assets. 2017 includes an after-tax fair value impairment on held-for-sale assets of $13 million. 2016 includes non-cash after-tax impairment charges to crude oil and natural gas properties of $67 million. 2015 includes non-cash after-tax ceiling test impairment charges to crude oil and natural gas properties of $158 million and a non-cash after-tax equity investment impairment charge of $2.9 million (see Note 21 of the Notes to the Consolidated Financial Statements in this Annual Report on Form 10-K).</w:t>
      </w:r>
    </w:p>
    <w:p>
      <w:pPr>
        <w:spacing w:after="0" w:line="1" w:lineRule="exact"/>
        <w:rPr>
          <w:rFonts w:ascii="Arial" w:cs="Arial" w:eastAsia="Arial" w:hAnsi="Arial"/>
          <w:sz w:val="14"/>
          <w:szCs w:val="14"/>
          <w:color w:val="auto"/>
        </w:rPr>
      </w:pPr>
    </w:p>
    <w:p>
      <w:pPr>
        <w:ind w:left="500" w:right="8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April 14, 2016, Black Hills Electric Generation sold a 49.9% interest in Black Hills Colorado IPP. Net income available for common stock for 2018, 2017 and 2016 was reduced by $14 million, $14 million and $9.6 million, respectively, attributable to this noncontrolling interest.</w:t>
      </w:r>
    </w:p>
    <w:p>
      <w:pPr>
        <w:ind w:left="500" w:right="24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2017, 2016 and 2015 include incremental SourceGas Acquisition costs, after-tax of $2.8 million, $30 million and $6.7 million, respectively. 2016 and 2015 also include after-tax internal labor costs attributable to the SourceGas Acquisition of $9.1 million and $3.0 million that otherwise would have been charged to other segments.</w:t>
      </w:r>
    </w:p>
    <w:p>
      <w:pPr>
        <w:ind w:left="500" w:right="4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November 1, 2018, we issued 6.3 million shares of common stock upon conversion of our Equity Units. In 2016, we issued 1.97 million shares at an average share price of $60.95 under our ATM equity offering program. In November 2015, we issued 6.3 million shares of common stock, par value $1.00 per share at a price of $40.25.</w:t>
      </w:r>
    </w:p>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Calculated based on Net income (loss) from continuing operations available for common stock.</w:t>
      </w:r>
    </w:p>
    <w:p>
      <w:pPr>
        <w:spacing w:after="0" w:line="1" w:lineRule="exact"/>
        <w:rPr>
          <w:rFonts w:ascii="Arial" w:cs="Arial" w:eastAsia="Arial" w:hAnsi="Arial"/>
          <w:sz w:val="14"/>
          <w:szCs w:val="14"/>
          <w:color w:val="auto"/>
        </w:rPr>
      </w:pPr>
    </w:p>
    <w:p>
      <w:pPr>
        <w:ind w:left="500" w:right="4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increase in 2018 included a $73 million tax benefit resulting from legal entity restructuring. See Note 15 of the Notes to the Consolidated Financial Statements in this Annual Report on Form 10-K for more information.</w:t>
      </w:r>
    </w:p>
    <w:p>
      <w:pPr>
        <w:ind w:left="500" w:hanging="492"/>
        <w:spacing w:after="0" w:line="266"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Net income (loss) from continuing operations for the year ended December 31, 2018 included approximately $4.0 million of income tax expense associated with changes in the prior estimated impact of tax reform on regulatory liabilities and deferred income taxes. The (expense) benefit impact to our operating segments and Corporate and Other for the year ended December. 31, 2018 was: Electric Utilities ($4.2) million; Gas Utilities $0.5 million; Power Generation ($0.7) million; Mining ($0.5) million; and Corporate and Other $0.9 million, respectively. Net Income from continuing operations for the year ended December 31, 2017 includes a net tax benefit of $7.6 million from the revaluation of deferred tax balances due to a decrease in the statutory Federal income tax rate resulting from the TCJA. The (expense) benefit impact to our operating segments and Corporate and Other for the year ended December 31, 2017 was: Electric Utilities $23 million; Gas Utilities ($6.8) million; Power Generation $24 million; Mining $2.7 million; and Corporate and Other ($35) million, respectively.</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additional information on our business segments see Item 7. Management’s Discussion and Analysis of Financial Condition and Results of Operations, Item 7A, Quantitative and Qualitative Disclosures about Market Risk and Note 5 of the Notes to Consolidated Financial Statements in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4" w:right="259" w:bottom="1440" w:gutter="0" w:footer="0" w:header="0"/>
        </w:sectPr>
      </w:pPr>
    </w:p>
    <w:bookmarkStart w:id="45" w:name="page46"/>
    <w:bookmarkEnd w:id="45"/>
    <w:p>
      <w:pPr>
        <w:spacing w:after="0"/>
        <w:tabs>
          <w:tab w:leader="none" w:pos="1280" w:val="left"/>
        </w:tabs>
        <w:rPr>
          <w:sz w:val="20"/>
          <w:szCs w:val="20"/>
          <w:color w:val="auto"/>
        </w:rPr>
      </w:pPr>
      <w:r>
        <w:rPr>
          <w:rFonts w:ascii="Arial" w:cs="Arial" w:eastAsia="Arial" w:hAnsi="Arial"/>
          <w:sz w:val="18"/>
          <w:szCs w:val="18"/>
          <w:b w:val="1"/>
          <w:bCs w:val="1"/>
          <w:color w:val="auto"/>
        </w:rPr>
        <w:t>ITEMS 7 &amp;</w:t>
      </w:r>
      <w:r>
        <w:rPr>
          <w:sz w:val="20"/>
          <w:szCs w:val="20"/>
          <w:color w:val="auto"/>
        </w:rPr>
        <w:tab/>
      </w:r>
      <w:r>
        <w:rPr>
          <w:rFonts w:ascii="Arial" w:cs="Arial" w:eastAsia="Arial" w:hAnsi="Arial"/>
          <w:sz w:val="18"/>
          <w:szCs w:val="18"/>
          <w:b w:val="1"/>
          <w:bCs w:val="1"/>
          <w:color w:val="auto"/>
        </w:rPr>
        <w:t>MANAGEMENT’S DISCUSSION AND ANALYSIS OF FINANCIAL CONDITION AND RESULTS</w:t>
      </w:r>
    </w:p>
    <w:p>
      <w:pPr>
        <w:spacing w:after="0" w:line="27" w:lineRule="exact"/>
        <w:rPr>
          <w:sz w:val="20"/>
          <w:szCs w:val="20"/>
          <w:color w:val="auto"/>
        </w:rPr>
      </w:pPr>
    </w:p>
    <w:p>
      <w:pPr>
        <w:ind w:left="1300" w:right="2180" w:hanging="1944"/>
        <w:spacing w:after="0" w:line="261" w:lineRule="auto"/>
        <w:tabs>
          <w:tab w:leader="none" w:pos="1280" w:val="left"/>
        </w:tabs>
        <w:rPr>
          <w:sz w:val="20"/>
          <w:szCs w:val="20"/>
          <w:color w:val="auto"/>
        </w:rPr>
      </w:pPr>
      <w:r>
        <w:rPr>
          <w:rFonts w:ascii="Arial" w:cs="Arial" w:eastAsia="Arial" w:hAnsi="Arial"/>
          <w:sz w:val="18"/>
          <w:szCs w:val="18"/>
          <w:b w:val="1"/>
          <w:bCs w:val="1"/>
          <w:color w:val="auto"/>
        </w:rPr>
        <w:t>and 7A.</w:t>
      </w:r>
      <w:r>
        <w:rPr>
          <w:sz w:val="20"/>
          <w:szCs w:val="20"/>
          <w:color w:val="auto"/>
        </w:rPr>
        <w:tab/>
      </w:r>
      <w:r>
        <w:rPr>
          <w:rFonts w:ascii="Arial" w:cs="Arial" w:eastAsia="Arial" w:hAnsi="Arial"/>
          <w:sz w:val="18"/>
          <w:szCs w:val="18"/>
          <w:b w:val="1"/>
          <w:bCs w:val="1"/>
          <w:color w:val="auto"/>
        </w:rPr>
        <w:t>OF OPERATIONS AND QUANTITATIVE AND QUALITATIVE DISCLOSURES ABOUT MARKET RISK</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customer-focused, growth-oriented electric and natural gas utility company with a mission of improving life with energy and a vision to be the energy partner of choice. The Company provides electricity and natural gas through its Electric Utilities and Gas Utilities to 1.27 million customers in 823 communities in eight states, including Arkansas, Colorado, Iowa, Kansas, Montana, Nebraska, South Dakota and Wyoming. The Company conducts its utility operations under the name Black Hills Energy predominantly in rural areas of the Rocky Mountains and Midwestern states. The Company’s Electric Utilities are supported by our Power Generation and Mining segments. The Power Generation segment produces electric power from its three generating plants and sells the electric capacity and energy principally to our Electric Utilities under long-term contracts. Our Mining segment produces coal at our mine near Gillette, Wyoming, and sells the coal primarily to fuel the on-site, mine-mouth power generation facilities.</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has provided energy and served customers for 135 years, since the 1883 gold rush days in Deadwood, South Dakota. Throughout our history, the common thread that unites the past to the present is our commitment to serve our customers and communities. Our strategic focus has not changed in over a century - serving customers with affordable, reliable and safe energy. Our strategy today continues that emphasis on serving customers, but with a renewed focus on better engaging with the people and communities we serve. Customer expectations are rapidly changing with the advancement of technology and customers are demanding simpler, faster and more convenient solutions to their energy needs. We are ready to serve as we have done for the past 135 years.</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strategy consists of five primary areas that focus on improving the way we serve customers with safe, reliable and affordable energy while improving the lives of the customers and communities we serve. The strategy is to 1) modernize utility infrastructure 2) pursue operating efficiencies 3) transform the customer experience 4) add renewable generation to meet customer demand and 5) become the safest energy company in the utility industry. This strategic focus will present the company with significant investment opportunities over the next several years as we modernize our infrastructure systems and meet customer growth. It will also allow us to better understand our customer and community needs while providing more intuitive and cost-effective interactions.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Elements of our Business Strategy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Replace, modernize and operate utility infrastructure to meet our customer’s energy needs by providing safe and reliable energy. </w:t>
      </w:r>
      <w:r>
        <w:rPr>
          <w:rFonts w:ascii="Arial" w:cs="Arial" w:eastAsia="Arial" w:hAnsi="Arial"/>
          <w:sz w:val="17"/>
          <w:szCs w:val="17"/>
          <w:color w:val="auto"/>
        </w:rPr>
        <w:t>Our utilities own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 large electric and natural gas infrastructure systems that span nearly 1,600 miles, reaching from Cody, Wyoming to Blytheville, Arkansas. Our Gas Utilities own and operate 45,000 miles of natural gas transmission and distribution pipelines and our Electric Utilities own and operate 939 MW of generation capacity and 8,800 miles of transmission and distribution lines. A key strategic focus is to modernize this utility infrastructure to meet customers and communities’ varied energy needs and to ensure the continued delivery of safe and reliable energy. In addition, we need to invest in the accessibility, capacity and integrity of our systems to meet customer growth. An overriding strategic focus in all that we do is to ensure the safe delivery of energy to our customers and communities, particularly in light of recent industry pipeline accidents.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key component of our modernization effort is the development of programs by our Electric and Gas utilities to systematically and proactively replace aging infrastructure on a system-wide basis. To support its safety and reliability focus, our Gas Utilities have developed a programmatic approach to system-wide pipeline system replacement, particularly in high consequence areas. Under the programmatic approach, obsolete, at-risk and vintage materials will be replaced in a proactive and systematic time frame. To meet our electric customers’ continued expectations of high levels of reliability, our Electric Utilities are developing a distribution integrity program to ensure the timely repair and replacement of an aging infrastructure system.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64" w:right="259" w:bottom="1440" w:gutter="0" w:footer="0" w:header="0"/>
        </w:sectPr>
      </w:pPr>
    </w:p>
    <w:bookmarkStart w:id="46" w:name="page47"/>
    <w:bookmarkEnd w:id="46"/>
    <w:p>
      <w:pPr>
        <w:ind w:right="40"/>
        <w:spacing w:after="0" w:line="264" w:lineRule="auto"/>
        <w:rPr>
          <w:sz w:val="20"/>
          <w:szCs w:val="20"/>
          <w:color w:val="auto"/>
        </w:rPr>
      </w:pPr>
      <w:r>
        <w:rPr>
          <w:rFonts w:ascii="Arial" w:cs="Arial" w:eastAsia="Arial" w:hAnsi="Arial"/>
          <w:sz w:val="18"/>
          <w:szCs w:val="18"/>
          <w:color w:val="auto"/>
        </w:rPr>
        <w:t>We estimate our five-year capital investment to be approximately $2.5 billion, with most of that investment targeted toward replacing existing utility infrastructure and to meet customer growth. Our actual 2018 and estimated capital expenditures for next five years from 2019 through 2023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124460</wp:posOffset>
            </wp:positionV>
            <wp:extent cx="4956810" cy="2418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681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Actual</w:t>
            </w:r>
          </w:p>
        </w:tc>
        <w:tc>
          <w:tcPr>
            <w:tcW w:w="2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Planned</w:t>
            </w: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Planned</w:t>
            </w:r>
          </w:p>
        </w:tc>
        <w:tc>
          <w:tcPr>
            <w:tcW w:w="2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Planned</w:t>
            </w:r>
          </w:p>
        </w:tc>
        <w:tc>
          <w:tcPr>
            <w:tcW w:w="2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Planned</w:t>
            </w:r>
          </w:p>
        </w:tc>
        <w:tc>
          <w:tcPr>
            <w:tcW w:w="26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Planned</w:t>
            </w:r>
          </w:p>
        </w:tc>
      </w:tr>
      <w:tr>
        <w:trPr>
          <w:trHeight w:val="27"/>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Capital Expenditures By Segment</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2023</w:t>
            </w:r>
          </w:p>
        </w:tc>
      </w:tr>
      <w:tr>
        <w:trPr>
          <w:trHeight w:val="27"/>
        </w:trPr>
        <w:tc>
          <w:tcPr>
            <w:tcW w:w="38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Electric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Gas Utilities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259</w:t>
            </w:r>
          </w:p>
        </w:tc>
      </w:tr>
      <w:tr>
        <w:trPr>
          <w:trHeight w:val="270"/>
        </w:trPr>
        <w:tc>
          <w:tcPr>
            <w:tcW w:w="38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Mining</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414</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00" w:firstLine="8"/>
        <w:spacing w:after="0" w:line="275" w:lineRule="auto"/>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2018 includes the $7.6 million Busch Ranch 1 Wind Farm contract intangible asset. See Note 4, “Jointly Owned Facilities”, of our Notes to Consolidated Financial Statements in this Annual Report on Form 10-K for further information.</w:t>
      </w:r>
    </w:p>
    <w:p>
      <w:pPr>
        <w:spacing w:after="0" w:line="1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Maintain a safe and reliable gas distribution system. </w:t>
      </w:r>
      <w:r>
        <w:rPr>
          <w:rFonts w:ascii="Arial" w:cs="Arial" w:eastAsia="Arial" w:hAnsi="Arial"/>
          <w:sz w:val="16"/>
          <w:szCs w:val="16"/>
          <w:color w:val="auto"/>
        </w:rPr>
        <w:t>We rigorously comply with all applicable federal, state and local regulations and strive to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industry best practice standards. Preventing natural gas losses from our gas delivery systems is of the utmost importance to ensure public and employee safety and to protect the environment. We construct, maintain and update our gas delivery systems with state of the art materials and products and continuously monitor their integrity. System leaks are repaired as soon as possible while focusing on the safety of the public and our employees. We have removed all cast and wrought iron from our natural gas transmission and distribution systems and continue to replace aging infrastructure through programs that prioritize safety and reliability for our customers. Many of our Gas Utilities are authorized to use system safety, integrity and replacement cost recovery mechanisms that provide for customer rate adjustments which reflect the cost incurred in repairing and replacing the gas delivery systems.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Efficiently plan, construct and operate rate base power generation facilities to serve our Electric Utilities. </w:t>
      </w:r>
      <w:r>
        <w:rPr>
          <w:rFonts w:ascii="Arial" w:cs="Arial" w:eastAsia="Arial" w:hAnsi="Arial"/>
          <w:sz w:val="18"/>
          <w:szCs w:val="18"/>
          <w:color w:val="auto"/>
        </w:rPr>
        <w:t>We believe that we best serve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with a vertically integrated business model for our Electric Utilities. This business model remains a core strength and strategy today as we invest in and operate efficient power generation resources to cost-effectively supply electricity to our customers. We strive to provide power at reasonable rates to our customers and earn competitive returns for our investors.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power production strategy focuses on low-cost construction and efficient operation of our generating facilities. Our low-power production costs result from a variety of factors including low fuel costs, efficiency in converting fuel into energy, low per unit operating and maintenance costs and high levels of power plant availability. For our coal-fired power plants, we leverage the mine-mouth location advantage to eliminate coal transportation costs that often represent the largest component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8" w:right="2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delivered cost of coal for many other utilities. Additionally, we operate our plants with high levels of availability as compared to industry benchmarks.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believe that ownership of power generation facilities by our Electric Utilities best serves customers. Rate-based generation assets offer several advantages for customers and shareholders, including:</w:t>
      </w:r>
    </w:p>
    <w:p>
      <w:pPr>
        <w:spacing w:after="0" w:line="170" w:lineRule="exact"/>
        <w:rPr>
          <w:sz w:val="20"/>
          <w:szCs w:val="20"/>
          <w:color w:val="auto"/>
        </w:rPr>
      </w:pPr>
    </w:p>
    <w:p>
      <w:pPr>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that are periodically re-priced to reflect current and varying market conditions;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Regulators participate in a planning process where long-term investments are designed to match long-term energy demand;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lower-risk profile of rate-based generation assets contributes to stronger credit ratings which, in turn, can benefit both customers and investors by lowering the cost of capital;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Investors are provided a long-term, reasonable, stable return on their investment.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Proactively integrate alternative and renewable energy into our utility energy supply while mitigating customer rate impacts. </w:t>
      </w:r>
      <w:r>
        <w:rPr>
          <w:rFonts w:ascii="Arial" w:cs="Arial" w:eastAsia="Arial" w:hAnsi="Arial"/>
          <w:sz w:val="17"/>
          <w:szCs w:val="17"/>
          <w:color w:val="auto"/>
        </w:rPr>
        <w:t>Some of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our larger customers, are demanding more renewable and cleaner sources of energy to meet their sustainability goals. In addition, there is more interest from voters, regulators and legislators to increase the use of renewable and other alternative energy sources. To support this interest, we have filed for approval of new, voluntary renewable energy tariffs to serve commercial, industrial and government customer requests for renewable energy resources in South Dakota and Wyoming. These efforts may provide potential investment opportunities to incorporate more wind and solar generation into our generation fleet to meet customers’ requests or legislative requirements.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To date, many states have enacted, and others are considering, mandatory renewable energy standards, requiring utilities to meet certain thresholds of renewable energy generation. Some states have either enacted or are considering legislation setting GHG emissions reduction targets. Federal legislation for both renewable energy standards and GHG emission reductions has been considered and may be implemented in the future. Mandates for the use of renewable energy or the reduction of GHG emissions will likely provide investment opportunities for our Electric Utilities, Gas Utilities and Power Generation segment. These mandates will also likely increase prices for electricity and/or natural gas for our utility customers. As a regulated utility we are responsible for providing safe, reliable and affordable sources of energy to our customers. Accordingly, we employ a customer-focused strategy for complying with renewable energy standards and GHG emission regulations that balance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Build and maintain strong relationships with wholesale power customers of our utilities and our power generation business</w:t>
      </w:r>
      <w:r>
        <w:rPr>
          <w:rFonts w:ascii="Arial" w:cs="Arial" w:eastAsia="Arial" w:hAnsi="Arial"/>
          <w:sz w:val="16"/>
          <w:szCs w:val="16"/>
          <w:color w:val="auto"/>
        </w:rPr>
        <w:t>. We strive to build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other utilities, municipalities and wholesale customers. We believe we will continue to be an important provider of electricity to wholesale utility customers, who will continue to need products such as capacity and energy to reliably serve their customers. By providing these products under long-term contracts, we help our customers meet their energy needs. We also earn more stable revenues and greater returns for shareholders over the long-term than we would by selling energy into more volatile energy spot markets. In addition, relationships that we have established with wholesale power customers have developed into other opportunities. MEAN, MDU and the City of Gillette, Wyoming were wholesale power customers that are now joint owners in two of our power plants, Wygen I and Wygen III, reducing risk and providing steady revenues.</w:t>
      </w:r>
    </w:p>
    <w:p>
      <w:pPr>
        <w:spacing w:after="0" w:line="16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b w:val="1"/>
          <w:bCs w:val="1"/>
          <w:i w:val="1"/>
          <w:iCs w:val="1"/>
          <w:color w:val="auto"/>
        </w:rPr>
        <w:t xml:space="preserve">Vertically integrate businesses that are supportive of our Electric and Gas utility businesses. </w:t>
      </w:r>
      <w:r>
        <w:rPr>
          <w:rFonts w:ascii="Arial" w:cs="Arial" w:eastAsia="Arial" w:hAnsi="Arial"/>
          <w:sz w:val="17"/>
          <w:szCs w:val="17"/>
          <w:color w:val="auto"/>
        </w:rPr>
        <w:t>While our primary focus is on growing our core utilities,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selectively invest in vertically integrated businesses that provide cost effective and efficient fuel and energy to our utilities. We currently own and operate a coal mine and power generation assets that are vertically integrated into and supportive of our Electric Utilities. These operations are located at our utility-generating complexes and are physically integrated into our Electric Utility operations.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368" w:right="27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Our surface coal mine is located immediately adjacent to our Gillette energy complex in northeastern Wyoming, where all five of our coal-fired power plants are located. We operate and own majority interests in four of the five power plants. We own 20% of the fifth power plant which is operated by the majority owner. The coal mine provides low-sulfur coal directly to these power plants via a conveyor belt system, minimizing coal transportation costs. On average, the coal can be delivered to the adjacent power plants at less than $1.00 per MMBtu, providing very cost competitive fuel to our power plants when compared to other coal-fired and gas-fired power plants. Nearly all of the mine’s coal production is sold to the five on-site, mine-mouth generation facilities under long-term supply contracts. Approximately one-half of our coal is sold under cost-plus contracts with affiliates. A small portion of the mine’s coal production is sold to off-site industrial customers and delivered by truck.</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Power Generation segment has an experienced staff with significant expertise in planning, building and operating power plants. The power generation team has constructed 19 coal-fired, gas-fired and renewable generation projects since 1995 with aggregate project costs in excess of $2 billion. This group also provides shared services to our Electric Utilities’ generation facilities, resulting in efficient management of all of the company’s generation assets. In certain states, our Electric Utilities are required to competitively bid for generation resources needed to serve customers. Generally, our Power Generation segment submits bids in response to those competitive solicitations. Our Power Generation segment can often realize competitive advantages provided by prior construction expertise, fuel supply advantages and by co-locating new plants at existing sites, reducing infrastructure and operating costs. The Power Generation segment currently owns three power plants, which are contracted with our affiliate Electric Utilities under long-term power purchase agreements. In addition, Power Generation is currently building a 60 MW wind farm for Colorado Electric after winning a solicitation for renewable energy.</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Expand utility operations through selective acquisitions of electric and gas utilities. </w:t>
      </w:r>
      <w:r>
        <w:rPr>
          <w:rFonts w:ascii="Arial" w:cs="Arial" w:eastAsia="Arial" w:hAnsi="Arial"/>
          <w:sz w:val="16"/>
          <w:szCs w:val="16"/>
          <w:color w:val="auto"/>
        </w:rPr>
        <w:t>The electric and natural gas utility industries have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over the past two decades and continue to consolidate. We have successfully acquired and integrated numerous utility systems since 2005, including two large, transformational acquisitions - the Aquila utility properties in 2008 and SourceGas in 2016. Through these acquisitions, we developed a scalable platform that simplifies the rapid integration of acquired utilities, providing significant benefits to both customers and shareholders. The company targets small to large utilities, including municipal and private utility systems, located primarily in geographies that are near to or contiguous with our existing utility service territories and provide long-term value for both customers and shareholders. In the near-term, we do not expect to pursue large utility acquisitions, particularly given the high valuation multiples realized in recent utility transactions. We will continue to pursue the purchase of small utility systems within or near our geographic footprint, which can be quickly and efficiently integrated into our existing utilities. As pipeline regulations continue to increase, we believe there will be more opportunities to purchase these smaller and more rural utility systems.</w:t>
      </w:r>
    </w:p>
    <w:p>
      <w:pPr>
        <w:spacing w:after="0" w:line="16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 xml:space="preserve">Grow our dividend. </w:t>
      </w:r>
      <w:r>
        <w:rPr>
          <w:rFonts w:ascii="Arial" w:cs="Arial" w:eastAsia="Arial" w:hAnsi="Arial"/>
          <w:sz w:val="18"/>
          <w:szCs w:val="18"/>
          <w:color w:val="auto"/>
        </w:rPr>
        <w:t>We are extremely proud of our track record for annual dividend increases for shareholders. In January 2019, we declared a dividend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$0.505 per share, equivalent to an annual dividend rate of $2.02 per share. This annual equivalent rate represents an increase of 5% over the total 2018 dividend of $1.93 per share and the 49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annual dividend increase. We intend to continue our record of annual dividend increases with a targeted dividend payout ratio of 50% to 60%. This target payout ratio provides the flexibility for greater increases to our dividend during periods of relatively slow earnings growth.</w:t>
      </w:r>
    </w:p>
    <w:p>
      <w:pPr>
        <w:spacing w:after="0" w:line="2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Maintain an investment grade credit rating and ready access to debt and equity capital markets. </w:t>
      </w:r>
      <w:r>
        <w:rPr>
          <w:rFonts w:ascii="Arial" w:cs="Arial" w:eastAsia="Arial" w:hAnsi="Arial"/>
          <w:sz w:val="17"/>
          <w:szCs w:val="17"/>
          <w:color w:val="auto"/>
        </w:rPr>
        <w:t>We require access to the capital markets to fund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planned capital investments or acquire strategic assets that support prudent and earnings accretive business growth. We have demonstrated our ability to cost-effectively access the debt and equity markets, while maintaining our investment-grade issuer credit rating.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Prospective Information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generate long-term growth through the expansion of integrated utilities and supporting operations. Sustained growth requires continued capital deployment. Our integrated energy portfolio, focused primarily on regulated utilities provides growth opportunities, yet avoids concentrating business risk. We expect much of our growth in the next few years will come from capital deployment opportunities at our utilities and continued focus on improving efficiencies and reducing costs. Although dependent on market conditions, we are confident in our ability to obtain additional financing, as necessary, to continue our growth plans. We remain focused on prudently managing our operations and maintaining our overall liquidity to meet our operating, capital and financing needs, as well as executing our long-term strategic plan. Prospective information for our operating segments should be read in conjunction with our business strategy discussed above, and our 2018 company highlights discussed below.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68"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7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w w:val="91"/>
              </w:rPr>
              <w:t>Results of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Executive Summary and Overview</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jc w:val="right"/>
              <w:ind w:right="570"/>
              <w:spacing w:after="0"/>
              <w:rPr>
                <w:sz w:val="20"/>
                <w:szCs w:val="20"/>
                <w:color w:val="auto"/>
              </w:rPr>
            </w:pPr>
            <w:r>
              <w:rPr>
                <w:rFonts w:ascii="Arial" w:cs="Arial" w:eastAsia="Arial" w:hAnsi="Arial"/>
                <w:sz w:val="18"/>
                <w:szCs w:val="18"/>
                <w:color w:val="auto"/>
              </w:rPr>
              <w:t>For the Years Ended December 31,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1,893,743</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83,296</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1,810,447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143,412</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1,667,035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(139,475)</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(9,294)</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(130,181)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76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1,754,268</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74,002</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1,680,266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141,350</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1,538,916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EFFE7"/>
          </w:tcPr>
          <w:p>
            <w:pPr>
              <w:ind w:left="20"/>
              <w:spacing w:after="0"/>
              <w:rPr>
                <w:sz w:val="20"/>
                <w:szCs w:val="20"/>
                <w:color w:val="auto"/>
              </w:rPr>
            </w:pPr>
            <w:r>
              <w:rPr>
                <w:rFonts w:ascii="Arial" w:cs="Arial" w:eastAsia="Arial" w:hAnsi="Arial"/>
                <w:sz w:val="18"/>
                <w:szCs w:val="18"/>
                <w:i w:val="1"/>
                <w:iCs w:val="1"/>
                <w:color w:val="auto"/>
                <w:w w:val="94"/>
              </w:rPr>
              <w:t>Income from continuing operations available for common stock</w:t>
            </w:r>
          </w:p>
        </w:tc>
        <w:tc>
          <w:tcPr>
            <w:tcW w:w="30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3"/>
                <w:szCs w:val="13"/>
                <w:i w:val="1"/>
                <w:iCs w:val="1"/>
                <w:color w:val="auto"/>
              </w:rPr>
              <w:t>(a)</w:t>
            </w:r>
          </w:p>
        </w:tc>
        <w:tc>
          <w:tcPr>
            <w:tcW w:w="300" w:type="dxa"/>
            <w:vAlign w:val="bottom"/>
            <w:tcBorders>
              <w:bottom w:val="single" w:sz="8" w:color="CEFFE7"/>
            </w:tcBorders>
            <w:shd w:val="clear" w:color="auto" w:fill="CEFFE7"/>
          </w:tcPr>
          <w:p>
            <w:pPr>
              <w:spacing w:after="0"/>
              <w:rPr>
                <w:sz w:val="14"/>
                <w:szCs w:val="14"/>
                <w:color w:val="auto"/>
              </w:rPr>
            </w:pPr>
          </w:p>
        </w:tc>
        <w:tc>
          <w:tcPr>
            <w:tcW w:w="1040" w:type="dxa"/>
            <w:vAlign w:val="bottom"/>
            <w:tcBorders>
              <w:bottom w:val="single" w:sz="8" w:color="CEFFE7"/>
            </w:tcBorders>
            <w:shd w:val="clear" w:color="auto" w:fill="CEFFE7"/>
          </w:tcPr>
          <w:p>
            <w:pPr>
              <w:spacing w:after="0"/>
              <w:rPr>
                <w:sz w:val="14"/>
                <w:szCs w:val="14"/>
                <w:color w:val="auto"/>
              </w:rPr>
            </w:pPr>
          </w:p>
        </w:tc>
        <w:tc>
          <w:tcPr>
            <w:tcW w:w="260" w:type="dxa"/>
            <w:vAlign w:val="bottom"/>
            <w:tcBorders>
              <w:bottom w:val="single" w:sz="8" w:color="CEFFE7"/>
            </w:tcBorders>
            <w:shd w:val="clear" w:color="auto" w:fill="CEFFE7"/>
          </w:tcPr>
          <w:p>
            <w:pPr>
              <w:spacing w:after="0"/>
              <w:rPr>
                <w:sz w:val="14"/>
                <w:szCs w:val="14"/>
                <w:color w:val="auto"/>
              </w:rPr>
            </w:pPr>
          </w:p>
        </w:tc>
        <w:tc>
          <w:tcPr>
            <w:tcW w:w="1120" w:type="dxa"/>
            <w:vAlign w:val="bottom"/>
            <w:tcBorders>
              <w:bottom w:val="single" w:sz="8" w:color="CEFFE7"/>
            </w:tcBorders>
            <w:shd w:val="clear" w:color="auto" w:fill="CEFFE7"/>
          </w:tcPr>
          <w:p>
            <w:pPr>
              <w:spacing w:after="0"/>
              <w:rPr>
                <w:sz w:val="14"/>
                <w:szCs w:val="14"/>
                <w:color w:val="auto"/>
              </w:rPr>
            </w:pPr>
          </w:p>
        </w:tc>
        <w:tc>
          <w:tcPr>
            <w:tcW w:w="320" w:type="dxa"/>
            <w:vAlign w:val="bottom"/>
            <w:tcBorders>
              <w:bottom w:val="single" w:sz="8" w:color="CEFFE7"/>
            </w:tcBorders>
            <w:shd w:val="clear" w:color="auto" w:fill="CEFFE7"/>
          </w:tcPr>
          <w:p>
            <w:pPr>
              <w:spacing w:after="0"/>
              <w:rPr>
                <w:sz w:val="14"/>
                <w:szCs w:val="14"/>
                <w:color w:val="auto"/>
              </w:rPr>
            </w:pPr>
          </w:p>
        </w:tc>
        <w:tc>
          <w:tcPr>
            <w:tcW w:w="1040" w:type="dxa"/>
            <w:vAlign w:val="bottom"/>
            <w:tcBorders>
              <w:bottom w:val="single" w:sz="8" w:color="CEFFE7"/>
            </w:tcBorders>
            <w:shd w:val="clear" w:color="auto" w:fill="CEFFE7"/>
          </w:tcPr>
          <w:p>
            <w:pPr>
              <w:spacing w:after="0"/>
              <w:rPr>
                <w:sz w:val="14"/>
                <w:szCs w:val="14"/>
                <w:color w:val="auto"/>
              </w:rPr>
            </w:pPr>
          </w:p>
        </w:tc>
        <w:tc>
          <w:tcPr>
            <w:tcW w:w="200" w:type="dxa"/>
            <w:vAlign w:val="bottom"/>
            <w:tcBorders>
              <w:bottom w:val="single" w:sz="8" w:color="CEFFE7"/>
            </w:tcBorders>
            <w:shd w:val="clear" w:color="auto" w:fill="CEFFE7"/>
          </w:tcPr>
          <w:p>
            <w:pPr>
              <w:spacing w:after="0"/>
              <w:rPr>
                <w:sz w:val="14"/>
                <w:szCs w:val="14"/>
                <w:color w:val="auto"/>
              </w:rPr>
            </w:pPr>
          </w:p>
        </w:tc>
        <w:tc>
          <w:tcPr>
            <w:tcW w:w="940" w:type="dxa"/>
            <w:vAlign w:val="bottom"/>
            <w:tcBorders>
              <w:bottom w:val="single" w:sz="8" w:color="CEFFE7"/>
            </w:tcBorders>
            <w:shd w:val="clear" w:color="auto" w:fill="CEFFE7"/>
          </w:tcPr>
          <w:p>
            <w:pPr>
              <w:spacing w:after="0"/>
              <w:rPr>
                <w:sz w:val="14"/>
                <w:szCs w:val="14"/>
                <w:color w:val="auto"/>
              </w:rPr>
            </w:pPr>
          </w:p>
        </w:tc>
        <w:tc>
          <w:tcPr>
            <w:tcW w:w="320" w:type="dxa"/>
            <w:vAlign w:val="bottom"/>
            <w:tcBorders>
              <w:bottom w:val="single" w:sz="8" w:color="CEFFE7"/>
            </w:tcBorders>
            <w:shd w:val="clear" w:color="auto" w:fill="CEFFE7"/>
          </w:tcPr>
          <w:p>
            <w:pPr>
              <w:spacing w:after="0"/>
              <w:rPr>
                <w:sz w:val="14"/>
                <w:szCs w:val="14"/>
                <w:color w:val="auto"/>
              </w:rPr>
            </w:pPr>
          </w:p>
        </w:tc>
        <w:tc>
          <w:tcPr>
            <w:tcW w:w="1060" w:type="dxa"/>
            <w:vAlign w:val="bottom"/>
            <w:tcBorders>
              <w:bottom w:val="single" w:sz="8" w:color="CEFFE7"/>
            </w:tcBorders>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78,940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85,827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(a) (b) (c)</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160,283</w:t>
            </w:r>
          </w:p>
        </w:tc>
        <w:tc>
          <w:tcPr>
            <w:tcW w:w="260" w:type="dxa"/>
            <w:vAlign w:val="bottom"/>
            <w:shd w:val="clear" w:color="auto" w:fill="CEFFE7"/>
          </w:tcPr>
          <w:p>
            <w:pPr>
              <w:spacing w:after="0"/>
              <w:rPr>
                <w:sz w:val="23"/>
                <w:szCs w:val="23"/>
                <w:color w:val="auto"/>
              </w:rPr>
            </w:pP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94,488</w:t>
            </w:r>
          </w:p>
        </w:tc>
        <w:tc>
          <w:tcPr>
            <w:tcW w:w="320" w:type="dxa"/>
            <w:vAlign w:val="bottom"/>
            <w:shd w:val="clear" w:color="auto" w:fill="CEFFE7"/>
          </w:tcPr>
          <w:p>
            <w:pPr>
              <w:spacing w:after="0"/>
              <w:rPr>
                <w:sz w:val="23"/>
                <w:szCs w:val="23"/>
                <w:color w:val="auto"/>
              </w:rPr>
            </w:pPr>
          </w:p>
        </w:tc>
        <w:tc>
          <w:tcPr>
            <w:tcW w:w="10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65,795</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6,171</w:t>
            </w:r>
          </w:p>
        </w:tc>
        <w:tc>
          <w:tcPr>
            <w:tcW w:w="320" w:type="dxa"/>
            <w:vAlign w:val="bottom"/>
            <w:shd w:val="clear" w:color="auto" w:fill="CEFFE7"/>
          </w:tcPr>
          <w:p>
            <w:pPr>
              <w:spacing w:after="0"/>
              <w:rPr>
                <w:sz w:val="23"/>
                <w:szCs w:val="23"/>
                <w:color w:val="auto"/>
              </w:rPr>
            </w:pPr>
          </w:p>
        </w:tc>
        <w:tc>
          <w:tcPr>
            <w:tcW w:w="10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59,624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 (d)</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20,777</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(25,702)</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46,479</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20,549</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25,930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Mining </w:t>
            </w:r>
            <w:r>
              <w:rPr>
                <w:rFonts w:ascii="Arial" w:cs="Arial" w:eastAsia="Arial" w:hAnsi="Arial"/>
                <w:sz w:val="25"/>
                <w:szCs w:val="25"/>
                <w:color w:val="auto"/>
                <w:vertAlign w:val="superscript"/>
              </w:rPr>
              <w:t>(a)</w:t>
            </w:r>
          </w:p>
        </w:tc>
        <w:tc>
          <w:tcPr>
            <w:tcW w:w="30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12,899</w:t>
            </w:r>
          </w:p>
        </w:tc>
        <w:tc>
          <w:tcPr>
            <w:tcW w:w="260" w:type="dxa"/>
            <w:vAlign w:val="bottom"/>
            <w:tcBorders>
              <w:bottom w:val="single" w:sz="8" w:color="auto"/>
            </w:tcBorders>
            <w:shd w:val="clear" w:color="auto" w:fill="CEFFE7"/>
          </w:tcPr>
          <w:p>
            <w:pPr>
              <w:spacing w:after="0"/>
              <w:rPr>
                <w:sz w:val="23"/>
                <w:szCs w:val="23"/>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(1,487)</w:t>
            </w:r>
          </w:p>
        </w:tc>
        <w:tc>
          <w:tcPr>
            <w:tcW w:w="32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14,386</w:t>
            </w:r>
          </w:p>
        </w:tc>
        <w:tc>
          <w:tcPr>
            <w:tcW w:w="200" w:type="dxa"/>
            <w:vAlign w:val="bottom"/>
            <w:tcBorders>
              <w:bottom w:val="single" w:sz="8" w:color="auto"/>
            </w:tcBorders>
            <w:shd w:val="clear" w:color="auto" w:fill="CEFFE7"/>
          </w:tcPr>
          <w:p>
            <w:pPr>
              <w:spacing w:after="0"/>
              <w:rPr>
                <w:sz w:val="23"/>
                <w:szCs w:val="23"/>
                <w:color w:val="auto"/>
              </w:rPr>
            </w:pP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4,333</w:t>
            </w:r>
          </w:p>
        </w:tc>
        <w:tc>
          <w:tcPr>
            <w:tcW w:w="320" w:type="dxa"/>
            <w:vAlign w:val="bottom"/>
            <w:tcBorders>
              <w:bottom w:val="single" w:sz="8" w:color="auto"/>
            </w:tcBorders>
            <w:shd w:val="clear" w:color="auto" w:fill="CEFFE7"/>
          </w:tcPr>
          <w:p>
            <w:pPr>
              <w:spacing w:after="0"/>
              <w:rPr>
                <w:sz w:val="23"/>
                <w:szCs w:val="23"/>
                <w:color w:val="auto"/>
              </w:rPr>
            </w:pPr>
          </w:p>
        </w:tc>
        <w:tc>
          <w:tcPr>
            <w:tcW w:w="10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272,899</w:t>
            </w:r>
          </w:p>
        </w:tc>
        <w:tc>
          <w:tcPr>
            <w:tcW w:w="2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36,157</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236,742</w:t>
            </w: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55,308</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7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Borders>
              <w:bottom w:val="single" w:sz="8" w:color="CEFFE7"/>
            </w:tcBorders>
          </w:tcPr>
          <w:p>
            <w:pPr>
              <w:ind w:left="2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 (e) (f)</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35,039</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(42,609)</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1,693</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(44,302)</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7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265,329</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71,196</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194,133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57,001</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137,132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47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760" w:type="dxa"/>
            <w:vAlign w:val="bottom"/>
            <w:tcBorders>
              <w:bottom w:val="single" w:sz="8" w:color="CEFFE7"/>
            </w:tcBorders>
          </w:tcPr>
          <w:p>
            <w:pPr>
              <w:ind w:left="20"/>
              <w:spacing w:after="0" w:line="270" w:lineRule="exact"/>
              <w:rPr>
                <w:sz w:val="20"/>
                <w:szCs w:val="20"/>
                <w:color w:val="auto"/>
              </w:rPr>
            </w:pPr>
            <w:r>
              <w:rPr>
                <w:rFonts w:ascii="Arial" w:cs="Arial" w:eastAsia="Arial" w:hAnsi="Arial"/>
                <w:sz w:val="18"/>
                <w:szCs w:val="18"/>
                <w:color w:val="auto"/>
              </w:rPr>
              <w:t xml:space="preserve">(Loss) from discontinued operations, net of tax </w:t>
            </w:r>
            <w:r>
              <w:rPr>
                <w:rFonts w:ascii="Arial" w:cs="Arial" w:eastAsia="Arial" w:hAnsi="Arial"/>
                <w:sz w:val="25"/>
                <w:szCs w:val="25"/>
                <w:color w:val="auto"/>
                <w:vertAlign w:val="superscript"/>
              </w:rPr>
              <w:t>(g)</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10,212</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47,063</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258,442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81,408</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177,034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104,064</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00" w:hanging="332"/>
        <w:spacing w:after="0" w:line="24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(loss) from continuing operations for 2018 included approximately $4.0 million of income tax expense associated with changes in the prior estimated impact of tax reform on regulatory liabilities and deferred income taxes. Income from continuing operations for 2017 includes a net tax benefit of $7.6 million from the revaluation of deferred tax balances due to a decrease in the statutory Federal income tax rate resulting from the TCJA. See the table below for the impact to each segment for both years.</w:t>
      </w:r>
    </w:p>
    <w:p>
      <w:pPr>
        <w:spacing w:after="0" w:line="3" w:lineRule="exact"/>
        <w:rPr>
          <w:rFonts w:ascii="Arial" w:cs="Arial" w:eastAsia="Arial" w:hAnsi="Arial"/>
          <w:sz w:val="16"/>
          <w:szCs w:val="16"/>
          <w:color w:val="auto"/>
        </w:rPr>
      </w:pPr>
    </w:p>
    <w:p>
      <w:pPr>
        <w:ind w:left="340" w:right="840" w:hanging="332"/>
        <w:spacing w:after="0" w:line="24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(loss) from continuing operations for 2018 included a $73 million tax benefit resulting from legal entity restructuring. See Note 15 of the Notes to the Consolidated Financial Statements in this Annual Report on Form 10-K for more information.</w:t>
      </w:r>
    </w:p>
    <w:p>
      <w:pPr>
        <w:ind w:left="340" w:right="680" w:hanging="332"/>
        <w:spacing w:after="0" w:line="24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from continuing operations for 2017 includes a $4.1 million tax benefit from a true-up to the filed 2016 SourceGas tax returns relating to the SourceGas Acquisition.</w:t>
      </w:r>
    </w:p>
    <w:p>
      <w:pPr>
        <w:spacing w:after="0" w:line="1" w:lineRule="exact"/>
        <w:rPr>
          <w:rFonts w:ascii="Arial" w:cs="Arial" w:eastAsia="Arial" w:hAnsi="Arial"/>
          <w:sz w:val="16"/>
          <w:szCs w:val="16"/>
          <w:color w:val="auto"/>
        </w:rPr>
      </w:pPr>
    </w:p>
    <w:p>
      <w:pPr>
        <w:ind w:left="340" w:right="22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14, 2016, BHEG sold a 49.9% interest in Black Hills Colorado IPP. Net income (loss) from continuing operations available for common stock for 2018</w:t>
      </w:r>
      <w:r>
        <w:rPr>
          <w:rFonts w:ascii="Arial" w:cs="Arial" w:eastAsia="Arial" w:hAnsi="Arial"/>
          <w:sz w:val="18"/>
          <w:szCs w:val="18"/>
          <w:color w:val="auto"/>
        </w:rPr>
        <w:t>,</w:t>
      </w:r>
      <w:r>
        <w:rPr>
          <w:rFonts w:ascii="Arial" w:cs="Arial" w:eastAsia="Arial" w:hAnsi="Arial"/>
          <w:sz w:val="16"/>
          <w:szCs w:val="16"/>
          <w:color w:val="auto"/>
        </w:rPr>
        <w:t xml:space="preserve"> 2017 and 2016 was reduced by $14 million</w:t>
      </w:r>
      <w:r>
        <w:rPr>
          <w:rFonts w:ascii="Arial" w:cs="Arial" w:eastAsia="Arial" w:hAnsi="Arial"/>
          <w:sz w:val="18"/>
          <w:szCs w:val="18"/>
          <w:color w:val="auto"/>
        </w:rPr>
        <w:t>,</w:t>
      </w:r>
      <w:r>
        <w:rPr>
          <w:rFonts w:ascii="Arial" w:cs="Arial" w:eastAsia="Arial" w:hAnsi="Arial"/>
          <w:sz w:val="16"/>
          <w:szCs w:val="16"/>
          <w:color w:val="auto"/>
        </w:rPr>
        <w:t xml:space="preserve"> $14 million </w:t>
      </w:r>
      <w:r>
        <w:rPr>
          <w:rFonts w:ascii="Arial" w:cs="Arial" w:eastAsia="Arial" w:hAnsi="Arial"/>
          <w:sz w:val="18"/>
          <w:szCs w:val="18"/>
          <w:color w:val="auto"/>
        </w:rPr>
        <w:t>and</w:t>
      </w:r>
      <w:r>
        <w:rPr>
          <w:rFonts w:ascii="Arial" w:cs="Arial" w:eastAsia="Arial" w:hAnsi="Arial"/>
          <w:sz w:val="16"/>
          <w:szCs w:val="16"/>
          <w:color w:val="auto"/>
        </w:rPr>
        <w:t xml:space="preserve"> $9.6 million, respectively, attributable to this noncontrolling interest.</w:t>
      </w:r>
    </w:p>
    <w:p>
      <w:pPr>
        <w:spacing w:after="0" w:line="1" w:lineRule="exact"/>
        <w:rPr>
          <w:rFonts w:ascii="Arial" w:cs="Arial" w:eastAsia="Arial" w:hAnsi="Arial"/>
          <w:sz w:val="16"/>
          <w:szCs w:val="16"/>
          <w:color w:val="auto"/>
        </w:rPr>
      </w:pPr>
    </w:p>
    <w:p>
      <w:pPr>
        <w:jc w:val="both"/>
        <w:ind w:left="340" w:right="80" w:hanging="332"/>
        <w:spacing w:after="0" w:line="24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from continuing operations for 2017 and 2016 include incremental SourceGas Acquisition costs, after-tax of $2.8 million and $30 million, respectively and after-tax internal labor costs attributable to the SourceGas Acquisition of $0.5 million and $9.1 million, respectively, that otherwise would have been charged to other business segments.</w:t>
      </w:r>
    </w:p>
    <w:p>
      <w:pPr>
        <w:spacing w:after="0" w:line="1" w:lineRule="exact"/>
        <w:rPr>
          <w:rFonts w:ascii="Arial" w:cs="Arial" w:eastAsia="Arial" w:hAnsi="Arial"/>
          <w:sz w:val="16"/>
          <w:szCs w:val="16"/>
          <w:color w:val="auto"/>
        </w:rPr>
      </w:pPr>
    </w:p>
    <w:p>
      <w:pPr>
        <w:ind w:left="340" w:right="540" w:hanging="332"/>
        <w:spacing w:after="0" w:line="24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from continuing operations for 2016 included tax benefits of approximately $4.4 million as a result of the re-measurement of the liability for uncertain tax positions predicated on an agreement reached with IRS Appeals in early 2016.</w:t>
      </w:r>
    </w:p>
    <w:p>
      <w:pPr>
        <w:ind w:left="340" w:right="420" w:hanging="332"/>
        <w:spacing w:after="0" w:line="25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from discontinued operations in 2017 and 2016 included non-cash after-tax impairments of crude oil and natural gas properties of $13 million and $67 million, respectively. See Note 21 of the Notes to the Consolidated Financial Statements in this Annual Report on Form 10-K.</w:t>
      </w:r>
    </w:p>
    <w:p>
      <w:pPr>
        <w:spacing w:after="0" w:line="3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following business group and segment information does not include intercompany eliminations and all amounts are presented on a pre-tax basis unless otherwise indicated. Per share information references diluted shares unless otherwise noted.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96"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2018 Compared to 2017</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from continuing operations available for common stock was $265 million, or $4.78 per diluted share in 2018 compared to $194 million, or $3.52 per diluted share in 2017. The variance to the prior year was primarily due to:</w:t>
      </w:r>
    </w:p>
    <w:p>
      <w:pPr>
        <w:spacing w:after="0" w:line="170" w:lineRule="exact"/>
        <w:rPr>
          <w:sz w:val="20"/>
          <w:szCs w:val="20"/>
          <w:color w:val="auto"/>
        </w:rPr>
      </w:pPr>
    </w:p>
    <w:p>
      <w:pPr>
        <w:ind w:left="660" w:hanging="328"/>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Gas Utilities’ earnings, excluding tax reform impacts, increased approximately $87 million primarily due to the recognition of a $73 million tax benefit resulting from legal entity restructuring (See Note 15 of the Notes to the Consolidated Financial Statements in this Annual Report on Form 10-K for more information); earnings also benefited from colder winter weather and increased sales of natural gas, offset by an increase in operating expenses;</w:t>
      </w:r>
    </w:p>
    <w:p>
      <w:pPr>
        <w:spacing w:after="0" w:line="2"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Earnings at our Mining segment, excluding tax reform impacts, increased $1.7 million primarily due to increased price per ton sold and lower operating expenses;</w:t>
      </w:r>
    </w:p>
    <w:p>
      <w:pPr>
        <w:jc w:val="both"/>
        <w:ind w:left="660" w:right="80" w:hanging="328"/>
        <w:spacing w:after="0" w:line="26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Electric Utilities’ earnings, excluding tax reform impacts, decreased by $3.5 million due primarily to a settlement agreement with the WPSC which decreased gross margins by $2.6 million; other variances to the prior year were due to higher operating expenses driven by facility costs, employee costs, contractor and consulting expenses, and vegetation management expenses, partially offset by higher rider revenues from recent transmission investments, higher power marketing and wholesale margins, and favorable weather;</w:t>
      </w: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Earnings at our Power Generation segment, excluding tax reform impacts, decreased $1.2 million primarily due to higher operating expenses;</w:t>
      </w:r>
    </w:p>
    <w:p>
      <w:pPr>
        <w:spacing w:after="0" w:line="20" w:lineRule="exact"/>
        <w:rPr>
          <w:rFonts w:ascii="Arial" w:cs="Arial" w:eastAsia="Arial" w:hAnsi="Arial"/>
          <w:sz w:val="17"/>
          <w:szCs w:val="17"/>
          <w:color w:val="auto"/>
        </w:rPr>
      </w:pPr>
    </w:p>
    <w:p>
      <w:pPr>
        <w:ind w:left="660" w:right="560" w:hanging="328"/>
        <w:spacing w:after="0" w:line="28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Corporate and Other expenses, excluding tax reform impacts, increased by approximately $1.3 million primarily due to higher intercompany allocations of tax expense, partially offset by a decrease in acquisition and transition costs occurring in the prior year; and</w:t>
      </w:r>
    </w:p>
    <w:p>
      <w:pPr>
        <w:spacing w:after="0" w:line="1" w:lineRule="exact"/>
        <w:rPr>
          <w:rFonts w:ascii="Arial" w:cs="Arial" w:eastAsia="Arial" w:hAnsi="Arial"/>
          <w:sz w:val="16"/>
          <w:szCs w:val="16"/>
          <w:color w:val="auto"/>
        </w:rPr>
      </w:pPr>
    </w:p>
    <w:p>
      <w:pPr>
        <w:ind w:left="660" w:right="120" w:hanging="328"/>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2018, we recorded $4.0 million of income tax (expense) associated with changes in the prior estimated impact of tax reform on regulatory liabilities and deferred income taxes compared to a net tax benefit of approximately $7.6 million as a result of the revaluation of deferred tax balances due to the decrease in the statutory Federal income tax rate as a result of the TCJA. The impacts to our operating segments and Corporate and Other for 2018 and 2017 were (in millions):</w:t>
      </w:r>
    </w:p>
    <w:p>
      <w:pPr>
        <w:spacing w:after="0" w:line="136" w:lineRule="exact"/>
        <w:rPr>
          <w:sz w:val="20"/>
          <w:szCs w:val="20"/>
          <w:color w:val="auto"/>
        </w:rPr>
      </w:pPr>
    </w:p>
    <w:tbl>
      <w:tblPr>
        <w:tblLayout w:type="fixed"/>
        <w:tblInd w:w="2380" w:type="dxa"/>
        <w:tblCellMar>
          <w:top w:w="0" w:type="dxa"/>
          <w:left w:w="0" w:type="dxa"/>
          <w:bottom w:w="0" w:type="dxa"/>
          <w:right w:w="0" w:type="dxa"/>
        </w:tblCellMar>
      </w:tblP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Segment</w:t>
            </w: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2017</w:t>
            </w:r>
          </w:p>
        </w:tc>
      </w:tr>
      <w:tr>
        <w:trPr>
          <w:trHeight w:val="27"/>
        </w:trPr>
        <w:tc>
          <w:tcPr>
            <w:tcW w:w="2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 Utilities</w:t>
            </w:r>
          </w:p>
        </w:tc>
        <w:tc>
          <w:tcPr>
            <w:tcW w:w="4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2820" w:type="dxa"/>
            <w:vAlign w:val="bottom"/>
          </w:tcPr>
          <w:p>
            <w:pPr>
              <w:ind w:left="160"/>
              <w:spacing w:after="0"/>
              <w:rPr>
                <w:sz w:val="20"/>
                <w:szCs w:val="20"/>
                <w:color w:val="auto"/>
              </w:rPr>
            </w:pPr>
            <w:r>
              <w:rPr>
                <w:rFonts w:ascii="Arial" w:cs="Arial" w:eastAsia="Arial" w:hAnsi="Arial"/>
                <w:sz w:val="18"/>
                <w:szCs w:val="18"/>
                <w:color w:val="auto"/>
              </w:rPr>
              <w:t>Gas Utilities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8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Power Generation</w:t>
            </w:r>
          </w:p>
        </w:tc>
        <w:tc>
          <w:tcPr>
            <w:tcW w:w="44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2820" w:type="dxa"/>
            <w:vAlign w:val="bottom"/>
          </w:tcPr>
          <w:p>
            <w:pPr>
              <w:ind w:left="160"/>
              <w:spacing w:after="0"/>
              <w:rPr>
                <w:sz w:val="20"/>
                <w:szCs w:val="20"/>
                <w:color w:val="auto"/>
              </w:rPr>
            </w:pPr>
            <w:r>
              <w:rPr>
                <w:rFonts w:ascii="Arial" w:cs="Arial" w:eastAsia="Arial" w:hAnsi="Arial"/>
                <w:sz w:val="18"/>
                <w:szCs w:val="18"/>
                <w:color w:val="auto"/>
              </w:rPr>
              <w:t>Mining</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8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Corporate and Other</w:t>
            </w:r>
          </w:p>
        </w:tc>
        <w:tc>
          <w:tcPr>
            <w:tcW w:w="44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0.9</w:t>
            </w:r>
          </w:p>
        </w:tc>
        <w:tc>
          <w:tcPr>
            <w:tcW w:w="46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(35.5)</w:t>
            </w:r>
          </w:p>
        </w:tc>
      </w:tr>
      <w:tr>
        <w:trPr>
          <w:trHeight w:val="257"/>
        </w:trPr>
        <w:tc>
          <w:tcPr>
            <w:tcW w:w="2820" w:type="dxa"/>
            <w:vAlign w:val="bottom"/>
          </w:tcPr>
          <w:p>
            <w:pPr>
              <w:ind w:left="260"/>
              <w:spacing w:after="0"/>
              <w:rPr>
                <w:sz w:val="20"/>
                <w:szCs w:val="20"/>
                <w:color w:val="auto"/>
              </w:rPr>
            </w:pPr>
            <w:r>
              <w:rPr>
                <w:rFonts w:ascii="Arial" w:cs="Arial" w:eastAsia="Arial" w:hAnsi="Arial"/>
                <w:sz w:val="18"/>
                <w:szCs w:val="18"/>
                <w:color w:val="auto"/>
              </w:rPr>
              <w:t>Total tax (expense) benefit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2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available for common stock was $258 million, or $4.66 per diluted share in 2018, compared to $177 million, or $3.21 per share in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 from discontinued operations was $(6.9) million or $(0.12) per diluted share in 2018 compared to $(17) million or $(0.31) per diluted share in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in 2017 included an after-tax fair value impairment of assets of approximately $13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Overview of Business Segments and Corporate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25" w:lineRule="exact"/>
        <w:rPr>
          <w:sz w:val="20"/>
          <w:szCs w:val="20"/>
          <w:color w:val="auto"/>
        </w:rPr>
      </w:pPr>
    </w:p>
    <w:p>
      <w:pPr>
        <w:jc w:val="both"/>
        <w:ind w:left="660" w:right="360" w:hanging="328"/>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December 17, 2018, South Dakota Electric and Wyoming Electric filed for approval with the SDPUC and WPSC, new voluntary renewable energy tariffs to serve customer requests for renewable energy resources. In addition, South Dakota Electric and Wyoming Electric filed a joint application with the WPSC for a CPCN to construct a $57 million, 40 MW wind generation project near Cheyenne, Wyoming.</w:t>
      </w:r>
    </w:p>
    <w:p>
      <w:pPr>
        <w:spacing w:after="0" w:line="146"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December 6, 2018, Wyoming Electric set a new all-time winter peak load of 238 MW, exceeding the previous winter peak of 230 MW set on December 7, 2016.</w:t>
      </w:r>
    </w:p>
    <w:p>
      <w:pPr>
        <w:spacing w:after="0" w:line="170"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November 30, 2018, Wyoming Electric submitted its 2018 integrated resource plan to the WPSC, which included the recommendation that Wyoming Electric acquire Wygen I. Review of Wyoming Electric’s integrated resource plan is subject to an open public process governed by the WPSC. The purchase of Wygen I would require approval of a CPCN by the WPSC and approval by FERC. The review process is expected to be completed by year-end 2019.</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580" w:right="319" w:bottom="1440" w:gutter="0" w:footer="0" w:header="0"/>
        </w:sectPr>
      </w:pPr>
    </w:p>
    <w:bookmarkStart w:id="51" w:name="page52"/>
    <w:bookmarkEnd w:id="51"/>
    <w:p>
      <w:pPr>
        <w:ind w:left="660" w:right="12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October 31, 2018, Wyoming Electric received approval from the WPSC for a comprehensive, multi-year settlement regarding its PCA Application filed earlier in 2018. Wyoming Electric will provide a total of $7.0 million in customer credits through the PCA mechanism in 2018, 2019 and 2020 to resolve several years of disputed issues related to PCA dockets before the commission. The settlement also stipulates that the adjustment for the variable cost segment of the Wygen I Power Purchase Agreement with Wyoming Electric (an affiliate company) will escalate by 3% annually through 2022.</w:t>
      </w:r>
    </w:p>
    <w:p>
      <w:pPr>
        <w:spacing w:after="0" w:line="188"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October 3, 2018, Colorado Electric set a new all-time winter peak load of 313 MW, exceeding the previous winter peak of 310 MW set in February 2011.</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Cooling degree days for the year ended December 31, 2018 were 29% higher than the 30-year average (normal) compared to 14% higher than normal in 2017.</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Heating degree days for the year ended December 31, 2018 were 3% higher than normal compared to 11% lower than normal in 2017.</w:t>
      </w:r>
    </w:p>
    <w:p>
      <w:pPr>
        <w:spacing w:after="0" w:line="23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Wyoming Electric and Colorado Electric set new summer peak loads:</w:t>
      </w:r>
    </w:p>
    <w:p>
      <w:pPr>
        <w:spacing w:after="0" w:line="225" w:lineRule="exact"/>
        <w:rPr>
          <w:rFonts w:ascii="Arial" w:cs="Arial" w:eastAsia="Arial" w:hAnsi="Arial"/>
          <w:sz w:val="18"/>
          <w:szCs w:val="18"/>
          <w:color w:val="auto"/>
        </w:rPr>
      </w:pPr>
    </w:p>
    <w:p>
      <w:pPr>
        <w:ind w:left="1300" w:right="8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On July 10, 2018, Wyoming Electric set a new all-time peak load of 254 MW, exceeding the previous summer peak of 249 MW set in July 2017.</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On June 27, 2018, Colorado Electric set a new all-time peak load of 413 MW, exceeding the previous summer peak of 412 MW set in July 2016.</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November 20, 2018, South Dakota Electric placed in service a 33-mile segment of a $70 million, 175-mile, 230-kV transmission line from Rapid City, South Dakota, to Stegall, Nebraska. The first 48-mile segment was placed in service on July 25, 2018. The remaining 94-mile segment is expected to be in service by the end of 2019.</w:t>
      </w:r>
    </w:p>
    <w:p>
      <w:pPr>
        <w:spacing w:after="0" w:line="181"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April 25, 2018, Colorado Electric received approval from the CPUC to contract with Black Hills Electric Generation for the 60 MW Busch Ranch II wind project. The project is currently under construction and is expected to be in service by the end of 2019. This renewable energy will enable Colorado Electric to comply with Colorado's Renewable Energy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Rate Review updates:</w:t>
      </w:r>
    </w:p>
    <w:p>
      <w:pPr>
        <w:spacing w:after="0" w:line="225" w:lineRule="exact"/>
        <w:rPr>
          <w:rFonts w:ascii="Arial" w:cs="Arial" w:eastAsia="Arial" w:hAnsi="Arial"/>
          <w:sz w:val="18"/>
          <w:szCs w:val="18"/>
          <w:color w:val="auto"/>
        </w:rPr>
      </w:pPr>
    </w:p>
    <w:p>
      <w:pPr>
        <w:jc w:val="both"/>
        <w:ind w:left="1300" w:right="6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February 1, 2019, Colorado Gas filed a rate review with the CPUC requesting approval to consolidate the base rate areas, tariffs, terms and conditions and adjustment clauses of its two legacy utilities. The rate review also requests $2.5 million in new revenue to recover costs and investments, in safety, reliability and system integrity. See Note 13 for additional details.</w:t>
      </w:r>
    </w:p>
    <w:p>
      <w:pPr>
        <w:spacing w:after="0" w:line="181" w:lineRule="exact"/>
        <w:rPr>
          <w:rFonts w:ascii="Arial" w:cs="Arial" w:eastAsia="Arial" w:hAnsi="Arial"/>
          <w:sz w:val="18"/>
          <w:szCs w:val="18"/>
          <w:color w:val="auto"/>
        </w:rPr>
      </w:pPr>
    </w:p>
    <w:p>
      <w:pPr>
        <w:ind w:left="1300" w:hanging="320"/>
        <w:spacing w:after="0" w:line="25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October 5, 2018, Arkansas Gas received approval from the APSC for a general rate increase. The new rates will generate approximately $12 million of new revenue. The APSC’s approval also allows Arkansas Gas to include $11 million of revenue that is currently being collected through certain rider mechanisms in the new base rates. The new revenue increase is based on a return on equity of 9.61% and a capital structure of 49.1% equity and 50.9% debt. New rates, inclusive of customer benefits related to the TCJA, were effective October 15, 2018.</w:t>
      </w:r>
    </w:p>
    <w:p>
      <w:pPr>
        <w:spacing w:after="0" w:line="18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July 16, 2018, the WPSC approved our Wyoming Gas (Northwest Wyoming) settlement and stipulation with the OCA. The settlement provides for $1.0 million of new revenue, a return on equity of 9.6%, and a capital structure of 54.0% equity and 46.0% debt. New rates, inclusive of customer benefits related to the TCJA, were effective September 1, 2018.</w:t>
      </w:r>
    </w:p>
    <w:p>
      <w:pPr>
        <w:spacing w:after="0" w:line="181" w:lineRule="exact"/>
        <w:rPr>
          <w:rFonts w:ascii="Arial" w:cs="Arial" w:eastAsia="Arial" w:hAnsi="Arial"/>
          <w:sz w:val="18"/>
          <w:szCs w:val="18"/>
          <w:color w:val="auto"/>
        </w:rPr>
      </w:pPr>
    </w:p>
    <w:p>
      <w:pPr>
        <w:ind w:left="1300" w:right="140" w:hanging="320"/>
        <w:spacing w:after="0" w:line="259"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Colorado, RMNG implemented new rates after approval of a settlement of a rate review filed in October 2017. The settlement included $1.1 million in annual revenue increases and an extension of SSIR to recover costs from 2018 through 2021. The annual increase is based on a return on equity of 9.9% and a capital structure of 46.63% equity and 53.37% debt. New rates are inclusive of customer benefits related to the TCJA.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2" w:name="page53"/>
    <w:bookmarkEnd w:id="52"/>
    <w:p>
      <w:pPr>
        <w:ind w:left="660" w:right="1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November 20, 2018, Wyoming Gas received approval from the WPSC for a CPCN to construct a new $54 million, 35-mile natural gas pipeline to enhance supply reliability and delivery capacity for approximately 57,000 customers in central Wyoming. The pipeline, known as the Natural Bridge Pipeline, is planned to be in service in late 2019.</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legal entity restructuring transactions occurred on March 31, 2018 and December 31, 2018 as part of the Company’s ongoing efforts to continue to integrate the legal entities that the Company has acquired in recent years. As a result of these transactions, additional deferred income tax assets of $73 million, related to goodwill that is amortizable for tax purposes, were recorded with a corresponding deferred tax benefit recorded on the Consolidated Statements of Income.</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Heating degree days at the Gas Utilities for the year ended December 31, 2018 were 2% higher than the 30-year average (normal) compared to 10% lower than normal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25" w:lineRule="exact"/>
        <w:rPr>
          <w:sz w:val="20"/>
          <w:szCs w:val="20"/>
          <w:color w:val="auto"/>
        </w:rPr>
      </w:pPr>
    </w:p>
    <w:p>
      <w:pPr>
        <w:ind w:left="660" w:right="2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December 11, 2018, Black Hills Electric Generation purchased a 50% ownership interest in the 29 MW Busch Ranch I Wind Farm, previously owned by AltaGas, for $16 million.</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April 25, 2018, Black Hills Electric Generation was selected to provide 60 MW of renewable energy to Colorado Electric from the Busch Ranch II wind project, which is expected to be in service by the end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right="60" w:hanging="328"/>
        <w:spacing w:after="0" w:line="31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November 1, 2018, we completed settlement of the stock purchase contracts that are components of the Equity Units issued in November 2015. Upon settlement of all outstanding stock purchase obligations, the Company received gross proceeds of $299 million in exchange for approximately 6.372 million shares of common stock. Proceeds were used to pay off $250 million of debt maturing in January 2019 and other short-term debt.</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October 11, 2018, Fitch affirmed Black Hills’ credit rating at BBB+ and maintained a Stable outlook.</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August 17, 2018, we completed a public debt offering of $400 million principal amount of 4.350% senior unsecured notes. The proceeds were used to repay the $299 million principal amount of our RSNs due 2028 and pay down short-term debt.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August 9, 2018, S&amp;P upgraded Black Hills’ credit rating to BBB+ with a Stable outlook and South Dakota Electric’s credit rating to A.</w:t>
      </w:r>
    </w:p>
    <w:p>
      <w:pPr>
        <w:spacing w:after="0" w:line="236"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July 30, 2018, we amended and restated our corporate Revolving Credit Facility, maintaining total commitments of$750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the banks increasing or providing new commitments, to increase total commitments of the facility up to $1.0 billion.</w:t>
      </w:r>
    </w:p>
    <w:p>
      <w:pPr>
        <w:spacing w:after="0" w:line="171"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July 30, 2018, we amended and restated our unsecured term loan due August 2019. This amended and restated term loan, with $300 million outstanding at December 31, 2018, matures on July 30,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July 19, 2018, Fitch affirmed South Dakota Electric’s credit rating at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November 1, 2017, the BHC board of directors approved a complete divestiture of our Oil and Gas segment. As of December 31, 2018, we have completed the divestiture of our oil and gas assets. See Note 21 of the Notes to the Consolidated Financial Statements in this Annual Report on Form 10-K for more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80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2017 Compared to 2016</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from continuing operations available for common stock was $194 million, or $3.52 per diluted share in 2017 compared to $137 million, or $2.57 per diluted share in 2016. The variance to the prior year was primarily due to:</w:t>
      </w:r>
    </w:p>
    <w:p>
      <w:pPr>
        <w:spacing w:after="0" w:line="170" w:lineRule="exact"/>
        <w:rPr>
          <w:sz w:val="20"/>
          <w:szCs w:val="20"/>
          <w:color w:val="auto"/>
        </w:rPr>
      </w:pPr>
    </w:p>
    <w:p>
      <w:pPr>
        <w:ind w:left="660" w:right="10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Corporate and Other, excluding tax reform impacts, decreased by approximately $37 million compared to the same period in the prior year driven primarily by a $27 million reduction of after-tax external acquisition and transition costs, a reduction of approximately $8.6 million of internal labor attributed to the SourceGas Acquisition and lower reallocated discontinued operation expenses of approximately $2.9 million, partially offset by a $4.4 million tax benefit in 2016;</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Gas Utilities’ earnings, excluding tax reform impacts, increased approximately $13 million, with a full year of earnings from our acquired SourceGas utilities compared to approximately 10.5 months in 2016; and a $4.1 million tax benefit recognized in 2017;</w:t>
      </w:r>
    </w:p>
    <w:p>
      <w:pPr>
        <w:ind w:left="660" w:right="200" w:hanging="328"/>
        <w:spacing w:after="0" w:line="26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recorded a net tax benefit of approximately $8 million as a result of the revaluation of deferred tax balances due to the decrease in the statutory Federal income tax rate as a result of the TCJA. This benefit’s impact to our operating segments and Corporate and Other was:</w:t>
      </w: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Electric Utilities - $23 million tax benefit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Gas Utilities - $6.8 million tax expense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Power Generation - $24 million tax benefit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Mining - $2.7 million tax benefit</w:t>
      </w:r>
    </w:p>
    <w:p>
      <w:pPr>
        <w:spacing w:after="0" w:line="9" w:lineRule="exact"/>
        <w:rPr>
          <w:rFonts w:ascii="Arial" w:cs="Arial" w:eastAsia="Arial" w:hAnsi="Arial"/>
          <w:sz w:val="18"/>
          <w:szCs w:val="18"/>
          <w:color w:val="auto"/>
        </w:rPr>
      </w:pPr>
    </w:p>
    <w:p>
      <w:pPr>
        <w:ind w:left="1300" w:right="440" w:hanging="320"/>
        <w:spacing w:after="0" w:line="265"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Corporate and Other - $35 million tax expense consisting of $28 million of tax expense from the revaluation of Corporate deferred tax balances and $7 million of tax expense from the revaluation of deferred taxes that were originally recorded to AOCI.</w:t>
      </w:r>
    </w:p>
    <w:p>
      <w:pPr>
        <w:ind w:left="660" w:right="64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Electric Utilities’ earnings, excluding tax reform impacts, were comparable to the prior year reflecting an increase from returns on prior year generation investments, offset by higher employee costs and higher generation maintenance expenses;</w:t>
      </w:r>
    </w:p>
    <w:p>
      <w:pPr>
        <w:ind w:left="660" w:right="660" w:hanging="328"/>
        <w:spacing w:after="0" w:line="26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Earnings at our Power Generation segment, excluding tax reform impacts, decreased $3.5 million primarily due to an increase in net income attributable to noncontrolling interests, reflecting a full year in 2017 compared to approximately 8.5 months in 2016; and</w:t>
      </w:r>
    </w:p>
    <w:p>
      <w:pPr>
        <w:ind w:left="660" w:right="8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at our Mining segment, excluding tax reform impacts, increased approximately $1.6 million due to an increase in tons sold as a result of an extended outage in the prior year.</w:t>
      </w:r>
    </w:p>
    <w:p>
      <w:pPr>
        <w:spacing w:after="0" w:line="18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Net income (loss) available for common stock was $177 million, or $3.21 per diluted share in 2017, compared to $73 million, or $1.37 per share in 2016. (Loss) from discontinued operations was $(17) million or $(0.31) per diluted share in 2017 compared to $(64) million or $(1.20) per diluted share in 2016. Discontinued operations in 2017 included an after-tax fair value impairment of assets of approximately $13 million compared to 2016 which included non-cash after-tax oil and gas property impairment charges of $67 million. Also included in 2016 discontinued operations was a $5.8 million tax benefit recognized from additional percentage depletion deductions that were claimed with respect to our oil and gas properties involving prior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Overview of Business Segments and Corporate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25" w:lineRule="exact"/>
        <w:rPr>
          <w:sz w:val="20"/>
          <w:szCs w:val="20"/>
          <w:color w:val="auto"/>
        </w:rPr>
      </w:pPr>
    </w:p>
    <w:p>
      <w:pPr>
        <w:ind w:left="660" w:right="12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our Electric Utilities service territories, winter weather was mostly comparable to the prior year and the summer was milder in 2017 compared to the prior year. Heating degree days in 2017 were 3% lower than normal compared to 11% lower than normal in 2016. Cooling degree days for the full year of 2017 were 29% higher than normal compared to 14% higher than normal in 2016.</w:t>
      </w:r>
    </w:p>
    <w:p>
      <w:pPr>
        <w:spacing w:after="0" w:line="181"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January 17, 2017, Colorado Electric received approval from the CPUC on a settlement agreement for its electric resource plan which provides for the addition of 60 MW of renewable energy to be in service by 2019. The resource plan was filed June 3, 2016, to meet requirements under the Colorado Renewable Energy Standard. In the second quarter of 2017, Colorado Electric issued a request for proposals to acquire renewable energy resources to comply with the Colorado Renewable Energy Standard and presented the results to the CPUC on February 9, 2018. See the Electric Utilities 2018 highlights above for the outcome of this proposal.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96" w:right="239" w:bottom="1440" w:gutter="0" w:footer="0" w:header="0"/>
        </w:sectPr>
      </w:pPr>
    </w:p>
    <w:bookmarkStart w:id="54" w:name="page55"/>
    <w:bookmarkEnd w:id="54"/>
    <w:p>
      <w:pPr>
        <w:jc w:val="both"/>
        <w:ind w:left="660" w:right="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Construction was completed on the 144 mile transmission line connecting the Teckla Substation in northeast Wyoming to the Lange Substation near Rapid City, South Dakota. The first segment of this project connecting Teckla to Osage, WY was placed in service on August 31, 2016. The second segment connecting Osage to Lange was placed in service on May 30, 2017.</w:t>
      </w:r>
    </w:p>
    <w:p>
      <w:pPr>
        <w:spacing w:after="0" w:line="181" w:lineRule="exact"/>
        <w:rPr>
          <w:rFonts w:ascii="Arial" w:cs="Arial" w:eastAsia="Arial" w:hAnsi="Arial"/>
          <w:sz w:val="18"/>
          <w:szCs w:val="18"/>
          <w:color w:val="auto"/>
        </w:rPr>
      </w:pPr>
    </w:p>
    <w:p>
      <w:pPr>
        <w:ind w:right="280" w:firstLine="332"/>
        <w:spacing w:after="0" w:line="501"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On July 19, 2017, Wyoming Electric set a new summer load peak of 249 MW, exceeding the previous summer peak of 236 MW set in July 2016. </w:t>
      </w:r>
      <w:r>
        <w:rPr>
          <w:rFonts w:ascii="Arial" w:cs="Arial" w:eastAsia="Arial" w:hAnsi="Arial"/>
          <w:sz w:val="18"/>
          <w:szCs w:val="18"/>
          <w:u w:val="single" w:color="auto"/>
          <w:color w:val="auto"/>
        </w:rPr>
        <w:t>Gas Utilities</w:t>
      </w:r>
    </w:p>
    <w:p>
      <w:pPr>
        <w:ind w:left="660" w:right="22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service territories reported comparable year-over-year winter weather as measured by heating degree days compared to the 30-year average. Combined heating degree days for the full year in 2017 were 10% less than normal compared to 11% less than normal in the same period in 2016.</w:t>
      </w:r>
    </w:p>
    <w:p>
      <w:pPr>
        <w:spacing w:after="0" w:line="123"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7"/>
          <w:szCs w:val="17"/>
          <w:color w:val="auto"/>
        </w:rPr>
        <w:t>The Gas Utilities also experienced cooler summer temperatures and higher precipitation levels during the third quarter of 2017 compared to the same period in 2016, which reduced the irrigation load delivered to agricultural customers, primarily in our Nebraska service territory.</w:t>
      </w:r>
    </w:p>
    <w:p>
      <w:pPr>
        <w:spacing w:after="0" w:line="146" w:lineRule="exact"/>
        <w:rPr>
          <w:rFonts w:ascii="Arial" w:cs="Arial" w:eastAsia="Arial" w:hAnsi="Arial"/>
          <w:sz w:val="16"/>
          <w:szCs w:val="16"/>
          <w:color w:val="auto"/>
        </w:rPr>
      </w:pPr>
    </w:p>
    <w:p>
      <w:pPr>
        <w:ind w:left="660" w:right="9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fourth quarter of 2017, Arkansas Gas, Wyoming Gas and RMNG all filed rate review applications with their respective state commissions. See the Gas Utilities 2018 highlights above for the outcomes of these rate reviews.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right="140" w:hanging="328"/>
        <w:spacing w:after="0" w:line="31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August 4, 2017, we renewed the ATM equity offering program, which reset the size of the program to an aggregate value of up to $300 million. The renewed program, which allows us to sell shares of our common stock, is the same as the prior year program other than the aggregate value increased from $200 million to $300 million. We did not issue any common shares during the twelve months ended December 31, 2017.</w:t>
      </w:r>
    </w:p>
    <w:p>
      <w:pPr>
        <w:spacing w:after="0" w:line="146"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2017 credit rating updates: On December 12, 2017, Moody’s affirmed Black Hills’ credit rating at Baa2 with a Stable outlook. On October 4, 2017, Fitch affirmed Black Hills’ credit rating at BBB+ rating and maintained a Stable outlook, and on July 21, 2017, S&amp;P affirmed Black Hills’ credit rating at BBB rating and maintained a Stable outlook.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left="660" w:right="3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November 1, 2017, the BHC board of directors approved a complete divestiture of our Oil and Gas segment. See Note 21 of the Notes to the Consolidated Financial Statements in this Annual Report on Form 10-K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business segments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All amounts are presented on a pre-tax basis unless otherwise indicated.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our Management Discussion and Analysis of Results of Operations, gross margin for our Electric Utilities is calculated as operating revenue less cost of fuel and purchased power. Gross margin for our Gas Utilities is calculated as operating revenues less cost of gas sold. Our gross margin is impacted by the fluctuations in power purchases and natural gas and other fuel supply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5" w:name="page56"/>
    <w:bookmarkEnd w:id="55"/>
    <w:p>
      <w:pPr>
        <w:ind w:right="500"/>
        <w:spacing w:after="0" w:line="277" w:lineRule="auto"/>
        <w:rPr>
          <w:sz w:val="20"/>
          <w:szCs w:val="20"/>
          <w:color w:val="auto"/>
        </w:rPr>
      </w:pPr>
      <w:r>
        <w:rPr>
          <w:rFonts w:ascii="Arial" w:cs="Arial" w:eastAsia="Arial" w:hAnsi="Arial"/>
          <w:sz w:val="18"/>
          <w:szCs w:val="18"/>
          <w:color w:val="auto"/>
        </w:rPr>
        <w:t>costs. However, while these fluctuating costs impact gross margin as a percentage of revenue, they only impact total gross margin if the costs cannot be passed through to our customers.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Utilities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the years ended December 31 for the Electric Utilities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711,451</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6,801</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704,650</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27,369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677,281</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277,093</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8,688</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268,405</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7,056</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261,349</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EFFE7"/>
          </w:tcPr>
          <w:p>
            <w:pPr>
              <w:ind w:left="500"/>
              <w:spacing w:after="0" w:line="264"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(b) (c) (d)</w:t>
            </w:r>
          </w:p>
        </w:tc>
        <w:tc>
          <w:tcPr>
            <w:tcW w:w="360" w:type="dxa"/>
            <w:vAlign w:val="bottom"/>
            <w:tcBorders>
              <w:bottom w:val="single" w:sz="8" w:color="auto"/>
            </w:tcBorders>
            <w:shd w:val="clear" w:color="auto" w:fill="CEFFE7"/>
          </w:tcPr>
          <w:p>
            <w:pPr>
              <w:spacing w:after="0"/>
              <w:rPr>
                <w:sz w:val="22"/>
                <w:szCs w:val="22"/>
                <w:color w:val="auto"/>
              </w:rPr>
            </w:pP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434,358</w:t>
            </w:r>
          </w:p>
        </w:tc>
        <w:tc>
          <w:tcPr>
            <w:tcW w:w="30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(1,887)</w:t>
            </w:r>
          </w:p>
        </w:tc>
        <w:tc>
          <w:tcPr>
            <w:tcW w:w="340" w:type="dxa"/>
            <w:vAlign w:val="bottom"/>
            <w:tcBorders>
              <w:bottom w:val="single" w:sz="8" w:color="auto"/>
            </w:tcBorders>
            <w:shd w:val="clear" w:color="auto" w:fill="CEFFE7"/>
          </w:tcPr>
          <w:p>
            <w:pPr>
              <w:spacing w:after="0"/>
              <w:rPr>
                <w:sz w:val="22"/>
                <w:szCs w:val="22"/>
                <w:color w:val="auto"/>
              </w:rPr>
            </w:pP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436,245</w:t>
            </w:r>
          </w:p>
        </w:tc>
        <w:tc>
          <w:tcPr>
            <w:tcW w:w="28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20,313</w:t>
            </w:r>
          </w:p>
        </w:tc>
        <w:tc>
          <w:tcPr>
            <w:tcW w:w="340" w:type="dxa"/>
            <w:vAlign w:val="bottom"/>
            <w:tcBorders>
              <w:bottom w:val="single" w:sz="8" w:color="auto"/>
            </w:tcBorders>
            <w:shd w:val="clear" w:color="auto" w:fill="CEFFE7"/>
          </w:tcPr>
          <w:p>
            <w:pPr>
              <w:spacing w:after="0"/>
              <w:rPr>
                <w:sz w:val="22"/>
                <w:szCs w:val="22"/>
                <w:color w:val="auto"/>
              </w:rPr>
            </w:pP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415,932</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186,175</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13,868</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172,307</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14,173</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158,134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98,639</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93,315</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8,670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84,645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284,814</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19,192</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265,622</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22,843</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242,779</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149,544</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(21,079)</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170,623</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173,153</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(52,667)</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(52,274)</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(1,983)</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EFFE7"/>
          </w:tcPr>
          <w:p>
            <w:pPr>
              <w:spacing w:after="0"/>
              <w:rPr>
                <w:sz w:val="23"/>
                <w:szCs w:val="23"/>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(16,702)</w:t>
            </w:r>
          </w:p>
        </w:tc>
        <w:tc>
          <w:tcPr>
            <w:tcW w:w="30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(6,705)</w:t>
            </w:r>
          </w:p>
        </w:tc>
        <w:tc>
          <w:tcPr>
            <w:tcW w:w="340" w:type="dxa"/>
            <w:vAlign w:val="bottom"/>
            <w:tcBorders>
              <w:bottom w:val="single" w:sz="8" w:color="auto"/>
            </w:tcBorders>
            <w:shd w:val="clear" w:color="auto" w:fill="CEFFE7"/>
          </w:tcPr>
          <w:p>
            <w:pPr>
              <w:spacing w:after="0"/>
              <w:rPr>
                <w:sz w:val="23"/>
                <w:szCs w:val="23"/>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(9,997)</w:t>
            </w:r>
          </w:p>
        </w:tc>
        <w:tc>
          <w:tcPr>
            <w:tcW w:w="2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30,231</w:t>
            </w:r>
          </w:p>
        </w:tc>
        <w:tc>
          <w:tcPr>
            <w:tcW w:w="340" w:type="dxa"/>
            <w:vAlign w:val="bottom"/>
            <w:tcBorders>
              <w:bottom w:val="single" w:sz="8" w:color="auto"/>
            </w:tcBorders>
            <w:shd w:val="clear" w:color="auto" w:fill="CEFFE7"/>
          </w:tcPr>
          <w:p>
            <w:pPr>
              <w:spacing w:after="0"/>
              <w:rPr>
                <w:sz w:val="23"/>
                <w:szCs w:val="23"/>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(40,228)</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78,940</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(31,142)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110,082</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24,255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85,827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estimated and recorded a reserve to revenue of approximately $22.3 million during year ended December 31, 2018 to reflect the lower federal income tax rate from the TCJA on our existing rate tariffs. This reduction to revenues is offset by lower tax expense and has no impact on overall results.</w:t>
      </w: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year ended December 31, 2018 includes Horizon Point shared facility revenues of approximately $11 million, which are allocated to all of our operating segments as facility expenses. This shared facility agreement has no impact on BHC’s consolidated operating results.</w:t>
      </w: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Gross margin was impacted for the year ended December 31, 2018 by ($4.3) million as a result of the Wyoming Electric PCA settlement.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Regulated power plant fleet availability:</w:t>
            </w: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 (b)</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93.9%</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88.9%</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90.2%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Natural gas fired plants and Other plants</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96.4%</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96.1%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(c)</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96.9%</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93.3%</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79.3%</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Total availability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95.6%</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93.6%</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Wind capacity factor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39.2%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36.7%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36.6%</w:t>
            </w:r>
          </w:p>
        </w:tc>
        <w:tc>
          <w:tcPr>
            <w:tcW w:w="0" w:type="dxa"/>
            <w:vAlign w:val="bottom"/>
          </w:tcPr>
          <w:p>
            <w:pPr>
              <w:spacing w:after="0"/>
              <w:rPr>
                <w:sz w:val="1"/>
                <w:szCs w:val="1"/>
                <w:color w:val="auto"/>
              </w:rPr>
            </w:pPr>
          </w:p>
        </w:tc>
      </w:tr>
      <w:tr>
        <w:trPr>
          <w:trHeight w:val="220"/>
        </w:trPr>
        <w:tc>
          <w:tcPr>
            <w:tcW w:w="6980" w:type="dxa"/>
            <w:vAlign w:val="bottom"/>
          </w:tcPr>
          <w:p>
            <w:pPr>
              <w:spacing w:after="0"/>
              <w:rPr>
                <w:sz w:val="20"/>
                <w:szCs w:val="20"/>
                <w:color w:val="auto"/>
              </w:rPr>
            </w:pPr>
            <w:r>
              <w:rPr>
                <w:rFonts w:ascii="Arial" w:cs="Arial" w:eastAsia="Arial" w:hAnsi="Arial"/>
                <w:sz w:val="16"/>
                <w:szCs w:val="16"/>
                <w:color w:val="auto"/>
              </w:rPr>
              <w:t>____________________</w:t>
            </w: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2017 reflects planned outages at Neil Simpson II, Wyodak, and Wygen 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2016 reflects a planned outage at Wygen III, an extended planned outage at Wyodak and an unplanned outage at Neil Simpson 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2017 and 2016 were lower due to the addition of Peak View Wind Project with ownership transfer in November,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decreased over the prior year as a result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TCJA revenue reserve</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Wyoming Electric PCA Stipulation</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Horizon Point shared facility revenue </w:t>
            </w:r>
            <w:r>
              <w:rPr>
                <w:rFonts w:ascii="Arial" w:cs="Arial" w:eastAsia="Arial" w:hAnsi="Arial"/>
                <w:sz w:val="25"/>
                <w:szCs w:val="25"/>
                <w:color w:val="auto"/>
                <w:vertAlign w:val="superscript"/>
              </w:rPr>
              <w:t>(b)</w:t>
            </w:r>
          </w:p>
        </w:tc>
        <w:tc>
          <w:tcPr>
            <w:tcW w:w="4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Rider recovery</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Weather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Marketing, ancillary wheeling and Tech Services</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Residential customer growth</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EFFE7"/>
            </w:tcBorders>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Total increase (decrease) in Gross margin </w:t>
            </w:r>
            <w:r>
              <w:rPr>
                <w:rFonts w:ascii="Arial" w:cs="Arial" w:eastAsia="Arial" w:hAnsi="Arial"/>
                <w:sz w:val="25"/>
                <w:szCs w:val="25"/>
                <w:color w:val="auto"/>
                <w:vertAlign w:val="superscript"/>
              </w:rPr>
              <w:t>(a)</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Horizon Point shared facility revenue is offset by facility expenses at our operating segments and has no impact on consolidated results.</w:t>
      </w:r>
    </w:p>
    <w:p>
      <w:pPr>
        <w:spacing w:after="0" w:line="20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higher facility costs of $4.5 million and higher employee costs of $3.6 million driven primarily by labor and benefits. Vegetation management expenses increased over the prior year by $2.9 million, contractor and consulting expenses increased by $1.2 million and property taxes increased by $1.0 million due to a higher asset base.</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higher asset base driven by the prior year additions of Horizon Point and the Teckla-Lange transmission line as well as the current year completion of the first segment of the Rapid City-Stegall transmission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u w:val="single" w:color="auto"/>
          <w:color w:val="auto"/>
        </w:rPr>
        <w:t>Other (expense) income, net</w:t>
      </w:r>
      <w:r>
        <w:rPr>
          <w:rFonts w:ascii="Arial" w:cs="Arial" w:eastAsia="Arial" w:hAnsi="Arial"/>
          <w:sz w:val="17"/>
          <w:szCs w:val="17"/>
          <w:color w:val="auto"/>
        </w:rPr>
        <w:t xml:space="preserve"> decreased due to the presentation change of non-service pension costs to Other income (expense) in the current year, previously reported in Operations and maintenance, and higher prior year AFUDC associated with higher prior year capital spend.</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u w:val="single" w:color="auto"/>
          <w:color w:val="auto"/>
        </w:rPr>
        <w:t>Income tax benefit (expense)</w:t>
      </w:r>
      <w:r>
        <w:rPr>
          <w:rFonts w:ascii="Arial" w:cs="Arial" w:eastAsia="Arial" w:hAnsi="Arial"/>
          <w:sz w:val="17"/>
          <w:szCs w:val="17"/>
          <w:color w:val="auto"/>
        </w:rPr>
        <w:t>: The effective tax rate increased in 2018 due to a prior year $23 million benefit resulting from revaluation of net deferred tax liabilities in accordance with ASC 740 and the enactment of the TCJA on December 22, 2017. In addition, current year expense increased due to $4.2 million of tax expense associated with changes in the prior estimated impact of tax reform on regulatory liabilities and deferred income taxes. This was partially offset by the reduction in the federal corporate income tax rate from 35% to 21% from the TCJA, effective January 1,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6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2017 Compared to 2016</w:t>
            </w:r>
          </w:p>
        </w:tc>
        <w:tc>
          <w:tcPr>
            <w:tcW w:w="7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140" w:type="dxa"/>
            <w:vAlign w:val="bottom"/>
            <w:gridSpan w:val="3"/>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increased over the prior year as a result of:</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Peak View Wind Project return on investment</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Rider recovery</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gridSpan w:val="3"/>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(b)</w:t>
            </w:r>
          </w:p>
        </w:tc>
        <w:tc>
          <w:tcPr>
            <w:tcW w:w="400" w:type="dxa"/>
            <w:vAlign w:val="bottom"/>
            <w:shd w:val="clear" w:color="auto" w:fill="CEFFE7"/>
          </w:tcPr>
          <w:p>
            <w:pPr>
              <w:spacing w:after="0"/>
              <w:rPr>
                <w:sz w:val="23"/>
                <w:szCs w:val="23"/>
                <w:color w:val="auto"/>
              </w:rPr>
            </w:pPr>
          </w:p>
        </w:tc>
        <w:tc>
          <w:tcPr>
            <w:tcW w:w="1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demand</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EFFE7"/>
            </w:tcBorders>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Total increase in Gross margin </w:t>
            </w:r>
            <w:r>
              <w:rPr>
                <w:rFonts w:ascii="Arial" w:cs="Arial" w:eastAsia="Arial" w:hAnsi="Arial"/>
                <w:sz w:val="25"/>
                <w:szCs w:val="25"/>
                <w:color w:val="auto"/>
                <w:vertAlign w:val="superscript"/>
              </w:rPr>
              <w:t>(a)</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w w:val="97"/>
              </w:rPr>
              <w:t>____________________</w:t>
            </w: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760" w:type="dxa"/>
            <w:vAlign w:val="bottom"/>
            <w:gridSpan w:val="2"/>
            <w:vMerge w:val="continue"/>
          </w:tcPr>
          <w:p>
            <w:pPr>
              <w:spacing w:after="0"/>
              <w:rPr>
                <w:sz w:val="15"/>
                <w:szCs w:val="15"/>
                <w:color w:val="auto"/>
              </w:rPr>
            </w:pPr>
          </w:p>
        </w:tc>
        <w:tc>
          <w:tcPr>
            <w:tcW w:w="7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approximately 1.5 months of Horizon Point shared facility revenue.</w:t>
      </w:r>
    </w:p>
    <w:p>
      <w:pPr>
        <w:spacing w:after="0" w:line="2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$4.8 million of higher employee costs as a result of prior year integration activities and transition expenses charged to Corporate and Other, $2.6 million of higher generation outage expenses, $1.9 million of higher property taxes with an increased asset base, and $1.7 million of higher operating expenses from the Peak View Wind Project and the 40 MW gas turbine at the Pueblo Airport Generating Station. An additional $1.3 million of indirect corporate costs are included at the Electric Utilities; these costs were previously charged to our Oil and Gas segment, now reported as discontinued operations.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partially by the addition of the Peak View Wind Project and the 40 MW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decreased due to reduced AFUDC with lower capital spend.</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u w:val="single" w:color="auto"/>
          <w:color w:val="auto"/>
        </w:rPr>
        <w:t>Income tax benefit (expense)</w:t>
      </w:r>
      <w:r>
        <w:rPr>
          <w:rFonts w:ascii="Arial" w:cs="Arial" w:eastAsia="Arial" w:hAnsi="Arial"/>
          <w:sz w:val="17"/>
          <w:szCs w:val="17"/>
          <w:color w:val="auto"/>
        </w:rPr>
        <w:t>: The effective tax rate was lower in 2017 primarily due to a $23 million benefit resulting from revaluation of net deferred tax liabilities in accordance with ASC 740 and the enactment of the TCJA on December 22, 2017. This benefit was primarily related to the revaluation of net operating losses and other tax basis items not included in the ratemaking construct. Production tax credits associated with the Peak View Wind Project increased by $4.0 million reflecting a full year of production tax credits compared to two months in 2016. The prior year included a $1.3 million benefit related to the flow-through treatment of a treasury grant related to the Busch Ranch I Wind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83"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Gas Utilities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500" w:type="dxa"/>
            <w:vAlign w:val="bottom"/>
            <w:gridSpan w:val="6"/>
          </w:tcPr>
          <w:p>
            <w:pPr>
              <w:spacing w:after="0"/>
              <w:rPr>
                <w:sz w:val="20"/>
                <w:szCs w:val="20"/>
                <w:color w:val="auto"/>
              </w:rPr>
            </w:pPr>
            <w:r>
              <w:rPr>
                <w:rFonts w:ascii="Arial" w:cs="Arial" w:eastAsia="Arial" w:hAnsi="Arial"/>
                <w:sz w:val="18"/>
                <w:szCs w:val="18"/>
                <w:color w:val="auto"/>
                <w:w w:val="91"/>
              </w:rPr>
              <w:t>Operating results for the years ended December 31 for the Gas Utilities were as follows (in thousands):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540" w:type="dxa"/>
            <w:vAlign w:val="bottom"/>
          </w:tcPr>
          <w:p>
            <w:pPr>
              <w:spacing w:after="0"/>
              <w:rPr>
                <w:sz w:val="24"/>
                <w:szCs w:val="24"/>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w w:val="99"/>
              </w:rPr>
              <w:t>2017</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38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70"/>
        </w:trPr>
        <w:tc>
          <w:tcPr>
            <w:tcW w:w="40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Natural gas - regulated </w:t>
            </w:r>
            <w:r>
              <w:rPr>
                <w:rFonts w:ascii="Arial" w:cs="Arial" w:eastAsia="Arial" w:hAnsi="Arial"/>
                <w:sz w:val="25"/>
                <w:szCs w:val="25"/>
                <w:color w:val="auto"/>
                <w:vertAlign w:val="superscript"/>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942,924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77,093</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865,831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96,749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769,082</w:t>
            </w:r>
          </w:p>
        </w:tc>
      </w:tr>
      <w:tr>
        <w:trPr>
          <w:trHeight w:val="270"/>
        </w:trPr>
        <w:tc>
          <w:tcPr>
            <w:tcW w:w="4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Other - non-regulated</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82,383</w:t>
            </w:r>
          </w:p>
        </w:tc>
        <w:tc>
          <w:tcPr>
            <w:tcW w:w="3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584</w:t>
            </w:r>
          </w:p>
        </w:tc>
        <w:tc>
          <w:tcPr>
            <w:tcW w:w="5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81,799</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12,538</w:t>
            </w:r>
          </w:p>
        </w:tc>
        <w:tc>
          <w:tcPr>
            <w:tcW w:w="38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69,261</w:t>
            </w: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1,025,307</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77,677</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947,630</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109,287</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838,343</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20"/>
          </w:cols>
          <w:pgMar w:left="240" w:top="796" w:right="239" w:bottom="1440" w:gutter="0" w:footer="0" w:header="0"/>
        </w:sectPr>
      </w:pPr>
    </w:p>
    <w:p>
      <w:pPr>
        <w:ind w:left="40"/>
        <w:spacing w:after="0"/>
        <w:rPr>
          <w:sz w:val="20"/>
          <w:szCs w:val="20"/>
          <w:color w:val="auto"/>
        </w:rPr>
      </w:pPr>
      <w:r>
        <w:rPr>
          <w:rFonts w:ascii="Arial" w:cs="Arial" w:eastAsia="Arial" w:hAnsi="Arial"/>
          <w:sz w:val="18"/>
          <w:szCs w:val="18"/>
          <w:color w:val="auto"/>
        </w:rPr>
        <w:t>Cost of natural gas sold: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Natural gas - regulated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 non-regulated</w:t>
      </w:r>
    </w:p>
    <w:p>
      <w:pPr>
        <w:spacing w:after="0" w:line="77"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Total cost of natural gas sold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(b)</w:t>
      </w:r>
      <w:r>
        <w:rPr>
          <w:rFonts w:ascii="Arial" w:cs="Arial" w:eastAsia="Arial" w:hAnsi="Arial"/>
          <w:sz w:val="18"/>
          <w:szCs w:val="18"/>
          <w:color w:val="auto"/>
        </w:rPr>
        <w:t>:</w:t>
      </w:r>
    </w:p>
    <w:p>
      <w:pPr>
        <w:ind w:left="180"/>
        <w:spacing w:after="0"/>
        <w:rPr>
          <w:sz w:val="20"/>
          <w:szCs w:val="20"/>
          <w:color w:val="auto"/>
        </w:rPr>
      </w:pPr>
      <w:r>
        <w:rPr>
          <w:rFonts w:ascii="Arial" w:cs="Arial" w:eastAsia="Arial" w:hAnsi="Arial"/>
          <w:sz w:val="18"/>
          <w:szCs w:val="18"/>
          <w:color w:val="auto"/>
        </w:rPr>
        <w:t>Natural gas - regulated</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 non-regulated</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Total gross margin </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442,530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61,271</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381,259</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65,641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315,618</w:t>
            </w:r>
          </w:p>
        </w:tc>
      </w:tr>
      <w:tr>
        <w:trPr>
          <w:trHeight w:val="270"/>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19,623</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(8,721)</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28,344</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(8,203)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36,547</w:t>
            </w:r>
          </w:p>
        </w:tc>
      </w:tr>
      <w:tr>
        <w:trPr>
          <w:trHeight w:val="27"/>
        </w:trPr>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462,153</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52,550</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409,603</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57,438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352,165</w:t>
            </w:r>
          </w:p>
        </w:tc>
      </w:tr>
      <w:tr>
        <w:trPr>
          <w:trHeight w:val="27"/>
        </w:trPr>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831"/>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500,394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15,822</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484,572</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31,108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453,464</w:t>
            </w:r>
          </w:p>
        </w:tc>
      </w:tr>
      <w:tr>
        <w:trPr>
          <w:trHeight w:val="270"/>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62,760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9,305</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53,455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20,741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32,714</w:t>
            </w:r>
          </w:p>
        </w:tc>
      </w:tr>
      <w:tr>
        <w:trPr>
          <w:trHeight w:val="27"/>
        </w:trPr>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jc w:val="right"/>
              <w:ind w:right="410"/>
              <w:spacing w:after="0"/>
              <w:rPr>
                <w:sz w:val="20"/>
                <w:szCs w:val="20"/>
                <w:color w:val="auto"/>
              </w:rPr>
            </w:pPr>
            <w:r>
              <w:rPr>
                <w:rFonts w:ascii="Arial" w:cs="Arial" w:eastAsia="Arial" w:hAnsi="Arial"/>
                <w:sz w:val="18"/>
                <w:szCs w:val="18"/>
                <w:color w:val="auto"/>
              </w:rPr>
              <w:t>563,154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25,127</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538,027</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51,849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486,178</w:t>
            </w:r>
          </w:p>
        </w:tc>
      </w:tr>
      <w:tr>
        <w:trPr>
          <w:trHeight w:val="27"/>
        </w:trPr>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-1440180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-1097280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-702310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-8255</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280" w:space="720"/>
            <w:col w:w="7420"/>
          </w:cols>
          <w:pgMar w:left="240" w:top="796" w:right="2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Operations and maintenance</w:t>
            </w:r>
          </w:p>
        </w:tc>
        <w:tc>
          <w:tcPr>
            <w:tcW w:w="4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291,481</w:t>
            </w:r>
          </w:p>
        </w:tc>
        <w:tc>
          <w:tcPr>
            <w:tcW w:w="5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22,291</w:t>
            </w: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269,190</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23,364</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245,826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86,434</w:t>
            </w:r>
          </w:p>
        </w:tc>
        <w:tc>
          <w:tcPr>
            <w:tcW w:w="52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2,702</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83,732</w:t>
            </w:r>
          </w:p>
        </w:tc>
        <w:tc>
          <w:tcPr>
            <w:tcW w:w="4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5,397</w:t>
            </w:r>
          </w:p>
        </w:tc>
        <w:tc>
          <w:tcPr>
            <w:tcW w:w="46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78,335</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377,915</w:t>
            </w: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24,993</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352,922</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28,761</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324,161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185,239</w:t>
            </w: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185,105</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23,088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162,017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(80,180)</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(1,605)</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(78,575)</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(3,562)</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(431)</w:t>
            </w:r>
          </w:p>
        </w:tc>
        <w:tc>
          <w:tcPr>
            <w:tcW w:w="5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398</w:t>
            </w: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(829)</w:t>
            </w:r>
          </w:p>
        </w:tc>
        <w:tc>
          <w:tcPr>
            <w:tcW w:w="4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(1,013)</w:t>
            </w:r>
          </w:p>
        </w:tc>
        <w:tc>
          <w:tcPr>
            <w:tcW w:w="4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(a)</w:t>
            </w: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55,655</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95,454</w:t>
            </w: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(39,799)</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(27,462)</w:t>
            </w:r>
          </w:p>
        </w:tc>
        <w:tc>
          <w:tcPr>
            <w:tcW w:w="0" w:type="dxa"/>
            <w:vAlign w:val="bottom"/>
          </w:tcPr>
          <w:p>
            <w:pPr>
              <w:spacing w:after="0"/>
              <w:rPr>
                <w:sz w:val="1"/>
                <w:szCs w:val="1"/>
                <w:color w:val="auto"/>
              </w:rPr>
            </w:pPr>
          </w:p>
        </w:tc>
      </w:tr>
      <w:tr>
        <w:trPr>
          <w:trHeight w:val="318"/>
        </w:trPr>
        <w:tc>
          <w:tcPr>
            <w:tcW w:w="4000" w:type="dxa"/>
            <w:vAlign w:val="bottom"/>
            <w:shd w:val="clear" w:color="auto" w:fill="CEFFE7"/>
          </w:tcPr>
          <w:p>
            <w:pPr>
              <w:spacing w:after="0"/>
              <w:rPr>
                <w:sz w:val="24"/>
                <w:szCs w:val="24"/>
                <w:color w:val="auto"/>
              </w:rPr>
            </w:pPr>
          </w:p>
        </w:tc>
        <w:tc>
          <w:tcPr>
            <w:tcW w:w="460" w:type="dxa"/>
            <w:vAlign w:val="bottom"/>
            <w:tcBorders>
              <w:bottom w:val="single" w:sz="8" w:color="auto"/>
            </w:tcBorders>
            <w:shd w:val="clear" w:color="auto" w:fill="CEFFE7"/>
          </w:tcPr>
          <w:p>
            <w:pPr>
              <w:spacing w:after="0"/>
              <w:rPr>
                <w:sz w:val="24"/>
                <w:szCs w:val="24"/>
                <w:color w:val="auto"/>
              </w:rPr>
            </w:pPr>
          </w:p>
        </w:tc>
        <w:tc>
          <w:tcPr>
            <w:tcW w:w="1040" w:type="dxa"/>
            <w:vAlign w:val="bottom"/>
            <w:tcBorders>
              <w:bottom w:val="single" w:sz="8" w:color="auto"/>
            </w:tcBorders>
            <w:shd w:val="clear" w:color="auto" w:fill="CEFFE7"/>
          </w:tcPr>
          <w:p>
            <w:pPr>
              <w:spacing w:after="0"/>
              <w:rPr>
                <w:sz w:val="24"/>
                <w:szCs w:val="24"/>
                <w:color w:val="auto"/>
              </w:rPr>
            </w:pPr>
          </w:p>
        </w:tc>
        <w:tc>
          <w:tcPr>
            <w:tcW w:w="520" w:type="dxa"/>
            <w:vAlign w:val="bottom"/>
            <w:tcBorders>
              <w:bottom w:val="single" w:sz="8" w:color="auto"/>
            </w:tcBorders>
            <w:shd w:val="clear" w:color="auto" w:fill="CEFFE7"/>
          </w:tcPr>
          <w:p>
            <w:pPr>
              <w:spacing w:after="0"/>
              <w:rPr>
                <w:sz w:val="24"/>
                <w:szCs w:val="24"/>
                <w:color w:val="auto"/>
              </w:rPr>
            </w:pPr>
          </w:p>
        </w:tc>
        <w:tc>
          <w:tcPr>
            <w:tcW w:w="980" w:type="dxa"/>
            <w:vAlign w:val="bottom"/>
            <w:tcBorders>
              <w:bottom w:val="single" w:sz="8" w:color="auto"/>
            </w:tcBorders>
            <w:shd w:val="clear" w:color="auto" w:fill="CEFFE7"/>
          </w:tcPr>
          <w:p>
            <w:pPr>
              <w:spacing w:after="0"/>
              <w:rPr>
                <w:sz w:val="24"/>
                <w:szCs w:val="24"/>
                <w:color w:val="auto"/>
              </w:rPr>
            </w:pPr>
          </w:p>
        </w:tc>
        <w:tc>
          <w:tcPr>
            <w:tcW w:w="460" w:type="dxa"/>
            <w:vAlign w:val="bottom"/>
            <w:tcBorders>
              <w:bottom w:val="single" w:sz="8" w:color="auto"/>
            </w:tcBorders>
            <w:shd w:val="clear" w:color="auto" w:fill="CEFFE7"/>
          </w:tcPr>
          <w:p>
            <w:pPr>
              <w:spacing w:after="0"/>
              <w:rPr>
                <w:sz w:val="24"/>
                <w:szCs w:val="24"/>
                <w:color w:val="auto"/>
              </w:rPr>
            </w:pPr>
          </w:p>
        </w:tc>
        <w:tc>
          <w:tcPr>
            <w:tcW w:w="1000" w:type="dxa"/>
            <w:vAlign w:val="bottom"/>
            <w:tcBorders>
              <w:bottom w:val="single" w:sz="8" w:color="auto"/>
            </w:tcBorders>
            <w:shd w:val="clear" w:color="auto" w:fill="CEFFE7"/>
          </w:tcPr>
          <w:p>
            <w:pPr>
              <w:spacing w:after="0"/>
              <w:rPr>
                <w:sz w:val="24"/>
                <w:szCs w:val="24"/>
                <w:color w:val="auto"/>
              </w:rPr>
            </w:pPr>
          </w:p>
        </w:tc>
        <w:tc>
          <w:tcPr>
            <w:tcW w:w="480" w:type="dxa"/>
            <w:vAlign w:val="bottom"/>
            <w:tcBorders>
              <w:bottom w:val="single" w:sz="8" w:color="auto"/>
            </w:tcBorders>
            <w:shd w:val="clear" w:color="auto" w:fill="CEFFE7"/>
          </w:tcPr>
          <w:p>
            <w:pPr>
              <w:spacing w:after="0"/>
              <w:rPr>
                <w:sz w:val="24"/>
                <w:szCs w:val="24"/>
                <w:color w:val="auto"/>
              </w:rPr>
            </w:pPr>
          </w:p>
        </w:tc>
        <w:tc>
          <w:tcPr>
            <w:tcW w:w="1000" w:type="dxa"/>
            <w:vAlign w:val="bottom"/>
            <w:tcBorders>
              <w:bottom w:val="single" w:sz="8" w:color="auto"/>
            </w:tcBorders>
            <w:shd w:val="clear" w:color="auto" w:fill="CEFFE7"/>
          </w:tcPr>
          <w:p>
            <w:pPr>
              <w:spacing w:after="0"/>
              <w:rPr>
                <w:sz w:val="24"/>
                <w:szCs w:val="24"/>
                <w:color w:val="auto"/>
              </w:rPr>
            </w:pPr>
          </w:p>
        </w:tc>
        <w:tc>
          <w:tcPr>
            <w:tcW w:w="460" w:type="dxa"/>
            <w:vAlign w:val="bottom"/>
            <w:tcBorders>
              <w:bottom w:val="single" w:sz="8" w:color="auto"/>
            </w:tcBorders>
            <w:shd w:val="clear" w:color="auto" w:fill="CEFFE7"/>
          </w:tcPr>
          <w:p>
            <w:pPr>
              <w:spacing w:after="0"/>
              <w:rPr>
                <w:sz w:val="24"/>
                <w:szCs w:val="24"/>
                <w:color w:val="auto"/>
              </w:rPr>
            </w:pPr>
          </w:p>
        </w:tc>
        <w:tc>
          <w:tcPr>
            <w:tcW w:w="1020" w:type="dxa"/>
            <w:vAlign w:val="bottom"/>
            <w:tcBorders>
              <w:bottom w:val="single" w:sz="8" w:color="auto"/>
            </w:tcBorders>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160,283</w:t>
            </w:r>
          </w:p>
        </w:tc>
        <w:tc>
          <w:tcPr>
            <w:tcW w:w="5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94,381</w:t>
            </w: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65,902</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6,176</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59,726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46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w:t>
            </w:r>
          </w:p>
        </w:tc>
        <w:tc>
          <w:tcPr>
            <w:tcW w:w="46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income available for common stock</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160,283</w:t>
            </w: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94,488</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65,795</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6,171</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59,624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estimated and recorded a reserve to revenue of approximately $20.5 million during the year ended December 31, 2018 to reflect the lower federal income tax rate from the TCJA on our existing rate tariffs. This reduction to revenues is offset by lower tax expense and has no impact on overall results.</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96"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2018 Compared to 2017</w:t>
            </w:r>
          </w:p>
        </w:tc>
        <w:tc>
          <w:tcPr>
            <w:tcW w:w="7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140" w:type="dxa"/>
            <w:vAlign w:val="bottom"/>
            <w:gridSpan w:val="3"/>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increased over the prior year as a result of:</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Weather </w:t>
            </w:r>
            <w:r>
              <w:rPr>
                <w:rFonts w:ascii="Arial" w:cs="Arial" w:eastAsia="Arial" w:hAnsi="Arial"/>
                <w:sz w:val="25"/>
                <w:szCs w:val="25"/>
                <w:color w:val="auto"/>
                <w:vertAlign w:val="superscript"/>
              </w:rPr>
              <w:t>(b)</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Mark-to-market gains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Transport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Natural gas volumes sold</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Non-utility - Choice Gas, Tech Services and appliance repair</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TCJA revenue reserve</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4"/>
        </w:trPr>
        <w:tc>
          <w:tcPr>
            <w:tcW w:w="9140" w:type="dxa"/>
            <w:vAlign w:val="bottom"/>
            <w:gridSpan w:val="3"/>
          </w:tcPr>
          <w:p>
            <w:pPr>
              <w:ind w:left="40"/>
              <w:spacing w:after="0" w:line="264" w:lineRule="exact"/>
              <w:rPr>
                <w:sz w:val="20"/>
                <w:szCs w:val="20"/>
                <w:color w:val="auto"/>
              </w:rPr>
            </w:pPr>
            <w:r>
              <w:rPr>
                <w:rFonts w:ascii="Arial" w:cs="Arial" w:eastAsia="Arial" w:hAnsi="Arial"/>
                <w:sz w:val="18"/>
                <w:szCs w:val="18"/>
                <w:color w:val="auto"/>
              </w:rPr>
              <w:t xml:space="preserve">Total increase (decrease) in Gross margin </w:t>
            </w:r>
            <w:r>
              <w:rPr>
                <w:rFonts w:ascii="Arial" w:cs="Arial" w:eastAsia="Arial" w:hAnsi="Arial"/>
                <w:sz w:val="25"/>
                <w:szCs w:val="25"/>
                <w:color w:val="auto"/>
                <w:vertAlign w:val="superscript"/>
              </w:rPr>
              <w:t>(a)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___________________</w:t>
            </w: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60" w:type="dxa"/>
            <w:vAlign w:val="bottom"/>
            <w:gridSpan w:val="2"/>
            <w:vMerge w:val="continue"/>
          </w:tcPr>
          <w:p>
            <w:pPr>
              <w:spacing w:after="0"/>
              <w:rPr>
                <w:sz w:val="16"/>
                <w:szCs w:val="16"/>
                <w:color w:val="auto"/>
              </w:rPr>
            </w:pPr>
          </w:p>
        </w:tc>
        <w:tc>
          <w:tcPr>
            <w:tcW w:w="7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15" w:lineRule="exact"/>
        <w:rPr>
          <w:rFonts w:ascii="Arial" w:cs="Arial" w:eastAsia="Arial" w:hAnsi="Arial"/>
          <w:sz w:val="16"/>
          <w:szCs w:val="16"/>
          <w:color w:val="auto"/>
        </w:rPr>
      </w:pPr>
    </w:p>
    <w:p>
      <w:pPr>
        <w:ind w:left="340" w:right="100" w:hanging="332"/>
        <w:spacing w:after="0" w:line="257"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Heating degree days at the Gas Utilities for the year ended December 31, 2018 were 2% higher than the 30-year average (normal) compared to 10% lower than normal in 2017.</w:t>
      </w:r>
    </w:p>
    <w:p>
      <w:pPr>
        <w:spacing w:after="0" w:line="18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higher employee costs of $11.8 million driven by labor, benefits and additional headcount. Outside services, consulting, and contractor expenses increased by $4.0 million due primarily to expenses related to jurisdictional simplification. In addition, facility costs increased by $4.7 million and bad debt expense increased by $2.1 million driven by the current year increase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higher asset base driven by previous and current year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due to higher corporate allocations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decrease was due to legal restructuring to enable jurisdictional simplification that resulted in the recognition of a deferred tax benefit of approximately $73 million associated with amortizable goodwill for tax purposes. The current year rate also reflects the reduction in the federal corporate income tax rate from 35% to 21% from the TCJA, effective January 1, 2018. In the prior year there was additional tax expense of $6.8 million as a result of the TCJA enacted on December 22, 2017, partially offset by $4.1 million tax benefit recognized in the prior year from a true-up to the filed 2016 SourceGas tax returns related to the SourceGas acquisition.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67"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2017 Compared to 2016</w:t>
            </w:r>
          </w:p>
        </w:tc>
        <w:tc>
          <w:tcPr>
            <w:tcW w:w="7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140" w:type="dxa"/>
            <w:vAlign w:val="bottom"/>
            <w:gridSpan w:val="3"/>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increased over the prior year as a result of:</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12 months of SourceGas utilities’ margins in 2017 compared to 10.5 months in 2016</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EFFE7"/>
            </w:tcBorders>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Total increase (decrease) in Gross margin </w:t>
            </w:r>
            <w:r>
              <w:rPr>
                <w:rFonts w:ascii="Arial" w:cs="Arial" w:eastAsia="Arial" w:hAnsi="Arial"/>
                <w:sz w:val="25"/>
                <w:szCs w:val="25"/>
                <w:color w:val="auto"/>
                <w:vertAlign w:val="superscript"/>
              </w:rPr>
              <w:t>(a)</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___________________</w:t>
            </w: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60" w:type="dxa"/>
            <w:vAlign w:val="bottom"/>
            <w:gridSpan w:val="2"/>
            <w:vMerge w:val="continue"/>
          </w:tcPr>
          <w:p>
            <w:pPr>
              <w:spacing w:after="0"/>
              <w:rPr>
                <w:sz w:val="16"/>
                <w:szCs w:val="16"/>
                <w:color w:val="auto"/>
              </w:rPr>
            </w:pPr>
          </w:p>
        </w:tc>
        <w:tc>
          <w:tcPr>
            <w:tcW w:w="7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140" w:type="dxa"/>
            <w:vAlign w:val="bottom"/>
            <w:gridSpan w:val="3"/>
          </w:tcPr>
          <w:p>
            <w:pPr>
              <w:spacing w:after="0"/>
              <w:rPr>
                <w:sz w:val="20"/>
                <w:szCs w:val="20"/>
                <w:color w:val="auto"/>
              </w:rPr>
            </w:pPr>
            <w:r>
              <w:rPr>
                <w:rFonts w:ascii="Arial" w:cs="Arial" w:eastAsia="Arial" w:hAnsi="Arial"/>
                <w:sz w:val="16"/>
                <w:szCs w:val="16"/>
                <w:color w:val="auto"/>
              </w:rPr>
              <w:t>(a)  Non-GAAP measure</w:t>
            </w: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additional operating costs of approximately $19 million for the acquired SourceGas utilities, reflecting a full twelve months of results in 2017 as compared to approximately 10.5 months in 2016. Employee-related expenses increased $6.2 million for the Black Hills legacy Gas Utilities as a result of prior year integration activities and transition expenses charged to Corporate and Other. An additional $1.6 million of indirect corporate costs are included at the Gas Utilities; these costs were previously charged to our Oil and Gas segment, now reported as discontinued operations. A variety of smaller items contribute to the partially offsetting decrease in operations and maintenance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additional depreciation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from the acquired SourceGas utilities.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increased in 2017 primarily due to additional tax expense of $6.8 million as a result of the TCJA enacted on December 22, 2017 and from a $2.2 million tax benefit recognized in the prior year primarily related to favorable flow-through adjustments recognized in accordance with prescribed regulatory treatment. Partially offsetting these is a $4.1 million tax benefit recognized in the current year from a true-up to the filed 2016 SourceGas tax returns related to the SourceGas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Power Generation segment operating results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w w:val="95"/>
              </w:rPr>
              <w:t>Variance</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88,952</w:t>
            </w:r>
          </w:p>
        </w:tc>
        <w:tc>
          <w:tcPr>
            <w:tcW w:w="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(2,594)</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91,546</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415</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91,131</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33,727</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1,345</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32,382</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32,636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6,913</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5,993</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4,104</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40,640</w:t>
            </w:r>
          </w:p>
        </w:tc>
        <w:tc>
          <w:tcPr>
            <w:tcW w:w="3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2,265</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38,375</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1,635</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36,740</w:t>
            </w:r>
          </w:p>
        </w:tc>
      </w:tr>
      <w:tr>
        <w:trPr>
          <w:trHeight w:val="277"/>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48,312</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(4,859)</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53,171</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54,391</w:t>
            </w:r>
          </w:p>
        </w:tc>
      </w:tr>
      <w:tr>
        <w:trPr>
          <w:trHeight w:val="28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(4,995)</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(2,159)</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(2,836)</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(1,061)</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(8,267)</w:t>
            </w:r>
          </w:p>
        </w:tc>
        <w:tc>
          <w:tcPr>
            <w:tcW w:w="3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(18,600)</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10,333</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27,462</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(17,129)</w:t>
            </w:r>
          </w:p>
        </w:tc>
      </w:tr>
      <w:tr>
        <w:trPr>
          <w:trHeight w:val="277"/>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34,997</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(25,617)</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60,614</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25,125</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35,489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(14,220)</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20,777</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(25,702)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46,479</w:t>
            </w:r>
          </w:p>
        </w:tc>
        <w:tc>
          <w:tcPr>
            <w:tcW w:w="28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20,549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25,930</w:t>
            </w: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61" w:name="page62"/>
    <w:bookmarkEnd w:id="61"/>
    <w:p>
      <w:pPr>
        <w:ind w:right="440"/>
        <w:spacing w:after="0" w:line="259" w:lineRule="auto"/>
        <w:rPr>
          <w:sz w:val="20"/>
          <w:szCs w:val="20"/>
          <w:color w:val="auto"/>
        </w:rPr>
      </w:pPr>
      <w:r>
        <w:rPr>
          <w:rFonts w:ascii="Arial" w:cs="Arial" w:eastAsia="Arial" w:hAnsi="Arial"/>
          <w:sz w:val="18"/>
          <w:szCs w:val="18"/>
          <w:color w:val="auto"/>
        </w:rPr>
        <w:t>On April 14, 2016, Black Hills Electric Generation sold a 49.9%, noncontrolling interest in Black Hills Colorado IPP. Black Hills Electric Generation continues to be the majority owner and operator of the facility, which is contracted to provide capacity and energy through 2031 to Black Hills Colorado Electric. The net income allocable to the noncontrolling interest holders is based on ownership interests with the exception of certain agreed upon adjustments.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vMerge w:val="restart"/>
          </w:tcPr>
          <w:p>
            <w:pPr>
              <w:ind w:left="20"/>
              <w:spacing w:after="0"/>
              <w:rPr>
                <w:sz w:val="20"/>
                <w:szCs w:val="20"/>
                <w:color w:val="auto"/>
              </w:rPr>
            </w:pPr>
            <w:r>
              <w:rPr>
                <w:rFonts w:ascii="Arial" w:cs="Arial" w:eastAsia="Arial" w:hAnsi="Arial"/>
                <w:sz w:val="18"/>
                <w:szCs w:val="18"/>
                <w:color w:val="auto"/>
              </w:rPr>
              <w:t>Contracted fleet plant availability:</w:t>
            </w: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Gas-fired plants</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3"/>
              </w:rPr>
              <w:t>99.4%</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99.2%</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85.8%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96.9%</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3"/>
              </w:rPr>
              <w:t>95.9%</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98.6%</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___________</w:t>
            </w: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Wygen I experienced a planned outage in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income available for common stock for the Power Generation segment was $21 million for the year ended December 31, 2018, compared to Net income available for common stock of $46 million for the same period in 2017. Revenue decreased in the current year due to a decrease in MWh sold, primarily from a planned outage at Wygen I. Operating expenses increased due to higher maintenance expenses primarily related to outage costs at Wygen I and higher depreciation. Interest expense increased from the same period in the prior year due to higher interest rates. The variance in tax expense is primarily due to a prior year $24 million tax benefit recognized from the revaluation of deferred tax liabilities in accordance with the TCJA enacted on December 22, 2017 partially offset by the reduction in the federal corporate income tax rate from 35% to 21% from the TCJA, effective January 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available for common stock for the Power Generation segment was $46 million for the year ended December 31, 2017, compared to Net income available for common stock of $26 million for the same period in 2016. Revenue and operating expenses were comparable to the same period in the prior year and depreciation expense increased on non-leased assets. The variance to the prior year was primarily driven by a $24 million tax benefit recognized from the revaluation of deferred tax liabilities in accordance with the TCJA enacted on December 22, 2017.</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Mining operating results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w w:val="95"/>
              </w:rPr>
              <w:t>Variance</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68,033</w:t>
            </w:r>
          </w:p>
        </w:tc>
        <w:tc>
          <w:tcPr>
            <w:tcW w:w="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1,412</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66,621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6,341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60,280</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43,728</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44,882</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5,306</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39,576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9,346</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51,693</w:t>
            </w:r>
          </w:p>
        </w:tc>
        <w:tc>
          <w:tcPr>
            <w:tcW w:w="3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(1,428)</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53,121</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4,199</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48,922</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16,340</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2,840</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13,500</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2,142</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11,358</w:t>
            </w:r>
          </w:p>
        </w:tc>
      </w:tr>
      <w:tr>
        <w:trPr>
          <w:trHeight w:val="32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(536)</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(331)</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2,209</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(3,069)</w:t>
            </w:r>
          </w:p>
        </w:tc>
        <w:tc>
          <w:tcPr>
            <w:tcW w:w="3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(1,969)</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2,037</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(3,137)</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12,899</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(1,487)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14,386</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4,333</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10,053</w:t>
            </w: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w w:val="93"/>
              </w:rPr>
              <w:t>The following table provides certain operating statistics for the Mining segment (in thousands):</w:t>
            </w: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2017</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20" w:type="dxa"/>
            <w:vAlign w:val="bottom"/>
          </w:tcPr>
          <w:p>
            <w:pPr>
              <w:spacing w:after="0"/>
              <w:rPr>
                <w:sz w:val="2"/>
                <w:szCs w:val="2"/>
                <w:color w:val="auto"/>
              </w:rPr>
            </w:pPr>
          </w:p>
        </w:tc>
        <w:tc>
          <w:tcPr>
            <w:tcW w:w="6960" w:type="dxa"/>
            <w:vAlign w:val="bottom"/>
            <w:tcBorders>
              <w:bottom w:val="single" w:sz="8" w:color="CEFFE7"/>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Tons of coal sold</w:t>
            </w:r>
          </w:p>
        </w:tc>
        <w:tc>
          <w:tcPr>
            <w:tcW w:w="17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4,085</w:t>
            </w:r>
          </w:p>
        </w:tc>
        <w:tc>
          <w:tcPr>
            <w:tcW w:w="148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4,183</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3,817</w:t>
            </w:r>
          </w:p>
        </w:tc>
      </w:tr>
      <w:tr>
        <w:trPr>
          <w:trHeight w:val="270"/>
        </w:trPr>
        <w:tc>
          <w:tcPr>
            <w:tcW w:w="20" w:type="dxa"/>
            <w:vAlign w:val="bottom"/>
          </w:tcPr>
          <w:p>
            <w:pPr>
              <w:spacing w:after="0"/>
              <w:rPr>
                <w:sz w:val="23"/>
                <w:szCs w:val="23"/>
                <w:color w:val="auto"/>
              </w:rPr>
            </w:pPr>
          </w:p>
        </w:tc>
        <w:tc>
          <w:tcPr>
            <w:tcW w:w="69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Cubic yards of overburden moved </w:t>
            </w:r>
            <w:r>
              <w:rPr>
                <w:rFonts w:ascii="Arial" w:cs="Arial" w:eastAsia="Arial" w:hAnsi="Arial"/>
                <w:sz w:val="25"/>
                <w:szCs w:val="25"/>
                <w:color w:val="auto"/>
                <w:vertAlign w:val="superscript"/>
              </w:rPr>
              <w:t>(a)</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8,970</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9,018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7,916</w:t>
            </w: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Coal reserves at year-end</w:t>
            </w:r>
          </w:p>
        </w:tc>
        <w:tc>
          <w:tcPr>
            <w:tcW w:w="17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189,164</w:t>
            </w:r>
          </w:p>
        </w:tc>
        <w:tc>
          <w:tcPr>
            <w:tcW w:w="148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194,909</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199,905</w:t>
            </w:r>
          </w:p>
        </w:tc>
      </w:tr>
      <w:tr>
        <w:trPr>
          <w:trHeight w:val="22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____________</w:t>
            </w: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Increase in overburden in 2018 and 2017 compared to 2016 was due to relocating mining operations to areas of the mine with higher overburden.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income available for common stock for the Mining segment was $13 million for the year ended December 31, 2018, compared to Net income available for common stock of $14 million for the same period in 2017. Revenue increased primarily due to a 1% increase in price per ton sold. Current year revenue is also reflective of lease and rental revenue, previously reported in Other income, net. During the current period, approximately 50% of the mine’s production was sold under contracts that include price adjustments based on actual mining costs, including 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expenses decreased primarily due to lower major maintenance expenses and lower overburden removal. Other income, net decreased from the prior year due to the presentation change of lease and rental revenue to Revenue in the current year, previously reported in Other income, net. The variance in tax expense is primarily due to a prior year $2.7 million benefit resulting from revaluation of net deferred tax liabilities in accordance with the enactment of the TCJA on December 22, 2017, partially offset by the reduction in the federal corporate income tax rate from 35 percent to 21 percent from the TCJA, effective Jan. 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income available for common stock for the Mining segment was $14 million for the year ended December 31, 2017, compared to Net income available for common stock of $10 million for the same period in 2016. The variance to the prior year was driven by an increase in revenue and lower tax expense, partially offset by higher operating expenses. Revenue increased due to a 10% increase in tons sold driven primarily by an 11-week outage at the Wyodak plant in 2016.</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Operations and maintenance expenses increased due to higher equipment major maintenance, higher overburden moved and higher royalties and production taxes on increased revenues, partially offset by lower depreciation, depletion and amortization expense primarily due to lower plant in service and lower asset retirement obligation costs. The effective tax rate is lower in 2017 primarily due to a $2.7 million benefit resulting from revaluation of net deferred tax liabilities in accordance with the enactment of the TCJA on December 22,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Corporate and Other represents certain unallocated expenses for corporate and other administrative activities, interest and taxes that support our reportable operating segments. Below is a summary of operating expenses and tax (expenses) benefits included in Corporate and Other for the years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3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(2,398)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3,265</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(5,663)</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59,075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(64,738)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(1,597)</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(3,212)</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1,305</w:t>
            </w:r>
          </w:p>
        </w:tc>
        <w:tc>
          <w:tcPr>
            <w:tcW w:w="3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264</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28,854</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(32,804)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(61,659)</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Net income (loss) available for common stock</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(7,570)</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35,039</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(42,609)</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1,693</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(44,302)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jc w:val="right"/>
              <w:ind w:right="2850"/>
              <w:spacing w:after="0"/>
              <w:rPr>
                <w:sz w:val="20"/>
                <w:szCs w:val="20"/>
                <w:color w:val="auto"/>
              </w:rPr>
            </w:pPr>
            <w:r>
              <w:rPr>
                <w:rFonts w:ascii="Arial" w:cs="Arial" w:eastAsia="Arial" w:hAnsi="Arial"/>
                <w:sz w:val="18"/>
                <w:szCs w:val="18"/>
                <w:color w:val="auto"/>
                <w:w w:val="88"/>
              </w:rPr>
              <w:t>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certain general and administrative and interest expenses that are not reported as discontinued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Net loss available for common stock was $(7.6) million for the year ended December 31, 2018, compared to Net loss available for common stock of $(43) million for the same period in 2017. The variance from the prior year was driven primarily by a decrease in income tax expense, as well as lower operating and interest expenses. The variance from the prior year was due to:</w:t>
      </w:r>
    </w:p>
    <w:p>
      <w:pPr>
        <w:spacing w:after="0" w:line="181" w:lineRule="exact"/>
        <w:rPr>
          <w:sz w:val="20"/>
          <w:szCs w:val="20"/>
          <w:color w:val="auto"/>
        </w:rPr>
      </w:pPr>
    </w:p>
    <w:p>
      <w:pPr>
        <w:ind w:left="660" w:right="160" w:hanging="328"/>
        <w:spacing w:after="0" w:line="25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year tax expense of $35 million not attributable to our operating segments reflecting the revaluation of deferred tax balances as a result of the TCJA;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current year state income tax expense of $4.6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corporate expenses from prior year acquisition costs; and</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interest costs due to interest expenses originally charged to our Oil and Gas Segment in 2017 which were not reclassified to discontinued operations in 2017, and were allocated to our operating segments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(loss) available for common stock was $(43) million for the year ended December 31, 2017, compared to net (loss) available for common stock of $(44)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same period in 2016. The variance from the prior year was due to:</w:t>
      </w:r>
    </w:p>
    <w:p>
      <w:pPr>
        <w:spacing w:after="0" w:line="21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Tax expense of $35 million not attributable to our operating segments reflecting the revaluation of deferred tax balances as a result of the TCJA;</w:t>
      </w:r>
    </w:p>
    <w:p>
      <w:pPr>
        <w:spacing w:after="0" w:line="46" w:lineRule="exact"/>
        <w:rPr>
          <w:rFonts w:ascii="Arial" w:cs="Arial" w:eastAsia="Arial" w:hAnsi="Arial"/>
          <w:sz w:val="16"/>
          <w:szCs w:val="16"/>
          <w:color w:val="auto"/>
        </w:rPr>
      </w:pPr>
    </w:p>
    <w:p>
      <w:pPr>
        <w:ind w:left="660" w:right="54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in after-tax acquisition and transition expenses of approximately $36 million, driven by lower external acquisition costs and lower internal labor attributed to the SourceGas Acquisition;</w:t>
      </w:r>
    </w:p>
    <w:p>
      <w:pPr>
        <w:ind w:left="660" w:right="180" w:hanging="328"/>
        <w:spacing w:after="0" w:line="28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a result of the Oil and Gas segment being reported as discontinued operations in 2017, indirect operating costs that would have been charged to this segment were reallocated to other business segments in 2017. These same costs in 2016 are reported as Corporate and Other;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of approximately $4.4 million in tax benefits;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in other corporate expenses.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80"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40" w:type="dxa"/>
            <w:vAlign w:val="bottom"/>
            <w:gridSpan w:val="9"/>
          </w:tcPr>
          <w:p>
            <w:pPr>
              <w:spacing w:after="0"/>
              <w:rPr>
                <w:sz w:val="20"/>
                <w:szCs w:val="20"/>
                <w:color w:val="auto"/>
              </w:rPr>
            </w:pPr>
            <w:r>
              <w:rPr>
                <w:rFonts w:ascii="Arial" w:cs="Arial" w:eastAsia="Arial" w:hAnsi="Arial"/>
                <w:sz w:val="18"/>
                <w:szCs w:val="18"/>
                <w:color w:val="auto"/>
                <w:w w:val="94"/>
              </w:rPr>
              <w:t>Oil and Gas operating results included in discontinued operations for the years ended December 31 were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5,897</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(19,485)</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25,382</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(8,676)</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34,058</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11,014</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(11,858)</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22,872</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(4,315)</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27,187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7,521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Loss on sale of asset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3,259</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3,259</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(20,385)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(86,572)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106,957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15,573</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(35,205)</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50,778</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(96,876)</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147,654</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(9,676)</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15,720</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(25,396)</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88,200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(113,596)</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2,618</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(5,795)</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8,413</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(40,213)</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48,626</w:t>
            </w:r>
          </w:p>
        </w:tc>
        <w:tc>
          <w:tcPr>
            <w:tcW w:w="0" w:type="dxa"/>
            <w:vAlign w:val="bottom"/>
          </w:tcPr>
          <w:p>
            <w:pPr>
              <w:spacing w:after="0"/>
              <w:rPr>
                <w:sz w:val="1"/>
                <w:szCs w:val="1"/>
                <w:color w:val="auto"/>
              </w:rPr>
            </w:pPr>
          </w:p>
        </w:tc>
      </w:tr>
      <w:tr>
        <w:trPr>
          <w:trHeight w:val="277"/>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EFFE7"/>
          </w:tcPr>
          <w:p>
            <w:pPr>
              <w:ind w:left="40"/>
              <w:spacing w:after="0"/>
              <w:rPr>
                <w:sz w:val="20"/>
                <w:szCs w:val="20"/>
                <w:color w:val="auto"/>
              </w:rPr>
            </w:pPr>
            <w:r>
              <w:rPr>
                <w:rFonts w:ascii="Arial" w:cs="Arial" w:eastAsia="Arial" w:hAnsi="Arial"/>
                <w:sz w:val="18"/>
                <w:szCs w:val="18"/>
                <w:color w:val="auto"/>
              </w:rPr>
              <w:t>(Loss) from discontinued operations available for</w:t>
            </w:r>
          </w:p>
        </w:tc>
        <w:tc>
          <w:tcPr>
            <w:tcW w:w="360" w:type="dxa"/>
            <w:vAlign w:val="bottom"/>
            <w:vMerge w:val="restart"/>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(6,887)</w:t>
            </w:r>
          </w:p>
        </w:tc>
        <w:tc>
          <w:tcPr>
            <w:tcW w:w="30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10,212</w:t>
            </w:r>
          </w:p>
        </w:tc>
        <w:tc>
          <w:tcPr>
            <w:tcW w:w="340" w:type="dxa"/>
            <w:vAlign w:val="bottom"/>
            <w:vMerge w:val="restart"/>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(17,099)</w:t>
            </w:r>
          </w:p>
        </w:tc>
        <w:tc>
          <w:tcPr>
            <w:tcW w:w="28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47,063</w:t>
            </w:r>
          </w:p>
        </w:tc>
        <w:tc>
          <w:tcPr>
            <w:tcW w:w="340" w:type="dxa"/>
            <w:vAlign w:val="bottom"/>
            <w:vMerge w:val="restart"/>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(64,162)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auto"/>
            </w:tcBorders>
            <w:vMerge w:val="continue"/>
            <w:shd w:val="clear" w:color="auto" w:fill="CEFFE7"/>
          </w:tcPr>
          <w:p>
            <w:pPr>
              <w:spacing w:after="0"/>
              <w:rPr>
                <w:sz w:val="20"/>
                <w:szCs w:val="20"/>
                <w:color w:val="auto"/>
              </w:rPr>
            </w:pPr>
          </w:p>
        </w:tc>
        <w:tc>
          <w:tcPr>
            <w:tcW w:w="1140" w:type="dxa"/>
            <w:vAlign w:val="bottom"/>
            <w:tcBorders>
              <w:bottom w:val="single" w:sz="8" w:color="auto"/>
            </w:tcBorders>
            <w:vMerge w:val="continue"/>
            <w:shd w:val="clear" w:color="auto" w:fill="CEFFE7"/>
          </w:tcPr>
          <w:p>
            <w:pPr>
              <w:spacing w:after="0"/>
              <w:rPr>
                <w:sz w:val="20"/>
                <w:szCs w:val="20"/>
                <w:color w:val="auto"/>
              </w:rPr>
            </w:pPr>
          </w:p>
        </w:tc>
        <w:tc>
          <w:tcPr>
            <w:tcW w:w="300" w:type="dxa"/>
            <w:vAlign w:val="bottom"/>
            <w:tcBorders>
              <w:bottom w:val="single" w:sz="8" w:color="auto"/>
            </w:tcBorders>
            <w:vMerge w:val="continue"/>
            <w:shd w:val="clear" w:color="auto" w:fill="CEFFE7"/>
          </w:tcPr>
          <w:p>
            <w:pPr>
              <w:spacing w:after="0"/>
              <w:rPr>
                <w:sz w:val="20"/>
                <w:szCs w:val="20"/>
                <w:color w:val="auto"/>
              </w:rPr>
            </w:pPr>
          </w:p>
        </w:tc>
        <w:tc>
          <w:tcPr>
            <w:tcW w:w="1200" w:type="dxa"/>
            <w:vAlign w:val="bottom"/>
            <w:tcBorders>
              <w:bottom w:val="single" w:sz="8" w:color="auto"/>
            </w:tcBorders>
            <w:vMerge w:val="continue"/>
            <w:shd w:val="clear" w:color="auto" w:fill="CEFFE7"/>
          </w:tcPr>
          <w:p>
            <w:pPr>
              <w:spacing w:after="0"/>
              <w:rPr>
                <w:sz w:val="20"/>
                <w:szCs w:val="20"/>
                <w:color w:val="auto"/>
              </w:rPr>
            </w:pPr>
          </w:p>
        </w:tc>
        <w:tc>
          <w:tcPr>
            <w:tcW w:w="340" w:type="dxa"/>
            <w:vAlign w:val="bottom"/>
            <w:tcBorders>
              <w:bottom w:val="single" w:sz="8" w:color="auto"/>
            </w:tcBorders>
            <w:vMerge w:val="continue"/>
            <w:shd w:val="clear" w:color="auto" w:fill="CEFFE7"/>
          </w:tcPr>
          <w:p>
            <w:pPr>
              <w:spacing w:after="0"/>
              <w:rPr>
                <w:sz w:val="20"/>
                <w:szCs w:val="20"/>
                <w:color w:val="auto"/>
              </w:rPr>
            </w:pPr>
          </w:p>
        </w:tc>
        <w:tc>
          <w:tcPr>
            <w:tcW w:w="1120" w:type="dxa"/>
            <w:vAlign w:val="bottom"/>
            <w:tcBorders>
              <w:bottom w:val="single" w:sz="8" w:color="auto"/>
            </w:tcBorders>
            <w:vMerge w:val="continue"/>
            <w:shd w:val="clear" w:color="auto" w:fill="CEFFE7"/>
          </w:tcPr>
          <w:p>
            <w:pPr>
              <w:spacing w:after="0"/>
              <w:rPr>
                <w:sz w:val="20"/>
                <w:szCs w:val="20"/>
                <w:color w:val="auto"/>
              </w:rPr>
            </w:pPr>
          </w:p>
        </w:tc>
        <w:tc>
          <w:tcPr>
            <w:tcW w:w="280" w:type="dxa"/>
            <w:vAlign w:val="bottom"/>
            <w:tcBorders>
              <w:bottom w:val="single" w:sz="8" w:color="auto"/>
            </w:tcBorders>
            <w:vMerge w:val="continue"/>
            <w:shd w:val="clear" w:color="auto" w:fill="CEFFE7"/>
          </w:tcPr>
          <w:p>
            <w:pPr>
              <w:spacing w:after="0"/>
              <w:rPr>
                <w:sz w:val="20"/>
                <w:szCs w:val="20"/>
                <w:color w:val="auto"/>
              </w:rPr>
            </w:pPr>
          </w:p>
        </w:tc>
        <w:tc>
          <w:tcPr>
            <w:tcW w:w="1200" w:type="dxa"/>
            <w:vAlign w:val="bottom"/>
            <w:tcBorders>
              <w:bottom w:val="single" w:sz="8" w:color="auto"/>
            </w:tcBorders>
            <w:vMerge w:val="continue"/>
            <w:shd w:val="clear" w:color="auto" w:fill="CEFFE7"/>
          </w:tcPr>
          <w:p>
            <w:pPr>
              <w:spacing w:after="0"/>
              <w:rPr>
                <w:sz w:val="20"/>
                <w:szCs w:val="20"/>
                <w:color w:val="auto"/>
              </w:rPr>
            </w:pPr>
          </w:p>
        </w:tc>
        <w:tc>
          <w:tcPr>
            <w:tcW w:w="340" w:type="dxa"/>
            <w:vAlign w:val="bottom"/>
            <w:tcBorders>
              <w:bottom w:val="single" w:sz="8" w:color="auto"/>
            </w:tcBorders>
            <w:vMerge w:val="continue"/>
            <w:shd w:val="clear" w:color="auto" w:fill="CEFFE7"/>
          </w:tcPr>
          <w:p>
            <w:pPr>
              <w:spacing w:after="0"/>
              <w:rPr>
                <w:sz w:val="20"/>
                <w:szCs w:val="20"/>
                <w:color w:val="auto"/>
              </w:rPr>
            </w:pPr>
          </w:p>
        </w:tc>
        <w:tc>
          <w:tcPr>
            <w:tcW w:w="114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loss from discontinued operations was $(6.9) million for 2018, compared to Net loss from discontinued operations of $(17) million for the same period in 2017. The variance is driven by lower revenues due to property sales and higher losses on sales of operating assets, partially offset by lower oil and gas operating expenses and lower employee costs. Current year depreciation expense is representative of the amortization of the remaining book value of accounting software. Depreciation and depletion expense was recorded under full cost accounting, which ceased November 1, 2017 due to reclassification to assets held for sale. There were no impairments during 2018 compared to a $20 million non-cash fair value impairment of assets held for sale in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loss from discontinued operations was $(17) million for 2017, compared to Net loss from discontinued operations of $(64) million for the same period in 2016. The variance is driven by decreased revenues primarily due to lower commodity prices and decreased production offset by lower operating expenses due to lower employee costs as a result of reduced staffing. Depreciation and depletion decreased due to the reduction of our full cost pool resulting from 2016 ceiling test impairments and no depletion recorded on assets held for sale beginning on November 1, 2017.</w:t>
      </w:r>
    </w:p>
    <w:p>
      <w:pPr>
        <w:spacing w:after="0" w:line="17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2017, we recorded a $20 million non-cash fair value impairment of assets held for sale compared to 2016 impairments that included a $14 million write-down of depreciable properties excluded from our full-cost pool and a ceiling test write-down of $93 million, offset by lower income tax benefit in 2017 compared to 2016. Interest expense decreased primarily due to lower capitalized interest expense in 2017 compared to 2016. Each period reflects a tax benefit. The effective tax rate for 2016 was impacted by a benefit of approximately $5.8 million from additional percentage depletion deductions being claimed with respect to a change in estimate for tax purposes. Such deductions are primarily the result of a change in the application of the maximum daily limitation of 1,000 Bbls of oil equivalent allowed under the Internal Revenue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Critical Accounting Policies Involving Significant Accounting Estimates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discussion of our critical accounting estimates should be read in conjunction with Note 1, “Business Description and Significant Accounting Policies” of our Notes to Consolidated Financial Statements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Our utility operations are subject to regulation with respect to rates, service area, accounting, and various other matters by state and federal regulatory authorities. The accounting regulations provide that rate-regulated public utilities account for and report assets and liabilities consistent with the economic effects in the manner of which independent third-party regulators establish rates. Regulatory assets generally represent incurred or accrued costs that have been deferred when future recovery from customers is probable. Regulatory liabilities generally represent amounts that are expected to be refunded to customers in future rates or amounts collected in current rates for future costs.</w:t>
      </w:r>
    </w:p>
    <w:p>
      <w:pPr>
        <w:spacing w:after="0" w:line="17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standards for testing goodwill for impairment require a two-step process be performed to analyze whether or not goodwill has been impaired. Goodwill is tested for impairment at the reporting unit level. The first step of this test, used to identify potential impairment, compares the estimated fair value of a reporting unit with its carrying amount, including goodwill. If the carrying amount exceeds fair value under the first step, then the second step of the impairment test is performed to measure the amount of any impairment loss.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segment management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5% to 6% and long-term growth rate projections in the 1% to 2% range were utilized in the goodwill impairment test performed in the fourth quarter of 2018. Although 1% to 2% was used for a long-term growth rate projection, the short-term projected growth rate is higher with planned recovery of capital investments through rider mechanisms and rate reviews, as well as other improved efficiency and cost reduction initiatives. Under the market approach, we estimate fair value using multiples derived from comparable sales transactions and enterprise value to EBITDA for comparative peer companies for each respective reporting unit. These multiples are applied to operating data for each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estimates and assumptions used in the impairment assessments are based on available market information, and we believe they are reasonable. However, variations in any of the assumptions could result in materially different calculations of fair value and determinations of whether or not an impairment is indicated. For the years ended December 31, 2018, 2017, and 2016, there were no impairment losses recorded. At December 31, 2018, the fair value substantially exceeded the carrying value at all reporting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described in Note 18 of the Notes to the Consolidated Financial Statements in this Annual Report on Form 10-K, we have one defined benefit pension plan, and several defined post-retirement healthcare plans and non-qualified retirement plans. A Master Trust holds the assets for the pension plan. Trusts for the funded portion of the post-retirement healthcare plans have also been established.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pension benefit cost for 2019 for our non-contributory funded pension plan is expected to be $2.1 million compared to $6.3 million in 2018. The decrease in pension benefit cost is driven primarily by an increase in the discount rate.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effect of hypothetical changes to selected assumptions on the pension and other postretirement benefit plans would be as follows in thousands of dollars:</w:t>
      </w:r>
    </w:p>
    <w:p>
      <w:pPr>
        <w:spacing w:after="0" w:line="194"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75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8"/>
              </w:rPr>
              <w:t>Increase/(Decrease)</w:t>
            </w:r>
          </w:p>
        </w:tc>
        <w:tc>
          <w:tcPr>
            <w:tcW w:w="2080" w:type="dxa"/>
            <w:vAlign w:val="bottom"/>
          </w:tcPr>
          <w:p>
            <w:pPr>
              <w:ind w:left="400"/>
              <w:spacing w:after="0"/>
              <w:rPr>
                <w:sz w:val="20"/>
                <w:szCs w:val="20"/>
                <w:color w:val="auto"/>
              </w:rPr>
            </w:pPr>
            <w:r>
              <w:rPr>
                <w:rFonts w:ascii="Arial" w:cs="Arial" w:eastAsia="Arial" w:hAnsi="Arial"/>
                <w:sz w:val="18"/>
                <w:szCs w:val="18"/>
                <w:color w:val="auto"/>
              </w:rPr>
              <w:t>Increase/(Decrease)</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Assumptions</w:t>
            </w:r>
          </w:p>
        </w:tc>
        <w:tc>
          <w:tcPr>
            <w:tcW w:w="314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86"/>
              </w:rPr>
              <w:t>Percentage Change</w:t>
            </w:r>
          </w:p>
        </w:tc>
        <w:tc>
          <w:tcPr>
            <w:tcW w:w="2020" w:type="dxa"/>
            <w:vAlign w:val="bottom"/>
            <w:tcBorders>
              <w:bottom w:val="single" w:sz="8" w:color="auto"/>
            </w:tcBorders>
          </w:tcPr>
          <w:p>
            <w:pPr>
              <w:jc w:val="center"/>
              <w:ind w:right="150"/>
              <w:spacing w:after="0" w:line="257" w:lineRule="exact"/>
              <w:rPr>
                <w:sz w:val="20"/>
                <w:szCs w:val="20"/>
                <w:color w:val="auto"/>
              </w:rPr>
            </w:pPr>
            <w:r>
              <w:rPr>
                <w:rFonts w:ascii="Arial" w:cs="Arial" w:eastAsia="Arial" w:hAnsi="Arial"/>
                <w:sz w:val="18"/>
                <w:szCs w:val="18"/>
                <w:color w:val="auto"/>
                <w:w w:val="89"/>
              </w:rPr>
              <w:t xml:space="preserve">PBO/APBO </w:t>
            </w:r>
            <w:r>
              <w:rPr>
                <w:rFonts w:ascii="Arial" w:cs="Arial" w:eastAsia="Arial" w:hAnsi="Arial"/>
                <w:sz w:val="25"/>
                <w:szCs w:val="25"/>
                <w:color w:val="auto"/>
                <w:w w:val="89"/>
                <w:vertAlign w:val="superscript"/>
              </w:rPr>
              <w:t>(a)</w:t>
            </w: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Expense - Pretax</w:t>
            </w:r>
          </w:p>
        </w:tc>
        <w:tc>
          <w:tcPr>
            <w:tcW w:w="0" w:type="dxa"/>
            <w:vAlign w:val="bottom"/>
          </w:tcPr>
          <w:p>
            <w:pPr>
              <w:spacing w:after="0"/>
              <w:rPr>
                <w:sz w:val="1"/>
                <w:szCs w:val="1"/>
                <w:color w:val="auto"/>
              </w:rPr>
            </w:pP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Pension</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EFFE7"/>
          </w:tcPr>
          <w:p>
            <w:pPr>
              <w:ind w:left="44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140" w:type="dxa"/>
            <w:vAlign w:val="bottom"/>
            <w:shd w:val="clear" w:color="auto" w:fill="CEFFE7"/>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1"/>
              </w:rPr>
              <w:t>(25,221)/27,665</w:t>
            </w:r>
          </w:p>
        </w:tc>
        <w:tc>
          <w:tcPr>
            <w:tcW w:w="208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1"/>
              </w:rPr>
              <w:t>(3,597)/3,906</w:t>
            </w:r>
          </w:p>
        </w:tc>
        <w:tc>
          <w:tcPr>
            <w:tcW w:w="0" w:type="dxa"/>
            <w:vAlign w:val="bottom"/>
          </w:tcPr>
          <w:p>
            <w:pPr>
              <w:spacing w:after="0"/>
              <w:rPr>
                <w:sz w:val="1"/>
                <w:szCs w:val="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140" w:type="dxa"/>
            <w:vAlign w:val="bottom"/>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1"/>
              </w:rPr>
              <w:t>(2,033)/2,035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EFFE7"/>
          </w:tcPr>
          <w:p>
            <w:pPr>
              <w:spacing w:after="0"/>
              <w:rPr>
                <w:sz w:val="24"/>
                <w:szCs w:val="24"/>
                <w:color w:val="auto"/>
              </w:rPr>
            </w:pPr>
          </w:p>
        </w:tc>
        <w:tc>
          <w:tcPr>
            <w:tcW w:w="314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20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OPEB</w:t>
            </w:r>
          </w:p>
        </w:tc>
        <w:tc>
          <w:tcPr>
            <w:tcW w:w="3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3900" w:type="dxa"/>
            <w:vAlign w:val="bottom"/>
            <w:shd w:val="clear" w:color="auto" w:fill="CEFFE7"/>
          </w:tcPr>
          <w:p>
            <w:pPr>
              <w:ind w:left="440"/>
              <w:spacing w:after="0"/>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140" w:type="dxa"/>
            <w:vAlign w:val="bottom"/>
            <w:vMerge w:val="restart"/>
            <w:shd w:val="clear" w:color="auto" w:fill="CEFFE7"/>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vMerge w:val="restart"/>
            <w:shd w:val="clear" w:color="auto" w:fill="CEFFE7"/>
          </w:tcPr>
          <w:p>
            <w:pPr>
              <w:jc w:val="center"/>
              <w:ind w:right="150"/>
              <w:spacing w:after="0"/>
              <w:rPr>
                <w:sz w:val="20"/>
                <w:szCs w:val="20"/>
                <w:color w:val="auto"/>
              </w:rPr>
            </w:pPr>
            <w:r>
              <w:rPr>
                <w:rFonts w:ascii="Arial" w:cs="Arial" w:eastAsia="Arial" w:hAnsi="Arial"/>
                <w:sz w:val="18"/>
                <w:szCs w:val="18"/>
                <w:color w:val="auto"/>
                <w:w w:val="91"/>
              </w:rPr>
              <w:t>(2,525)/2,743</w:t>
            </w:r>
          </w:p>
        </w:tc>
        <w:tc>
          <w:tcPr>
            <w:tcW w:w="2080" w:type="dxa"/>
            <w:vAlign w:val="bottom"/>
            <w:vMerge w:val="restart"/>
            <w:shd w:val="clear" w:color="auto" w:fill="CEFFE7"/>
          </w:tcPr>
          <w:p>
            <w:pPr>
              <w:jc w:val="center"/>
              <w:ind w:left="10"/>
              <w:spacing w:after="0"/>
              <w:rPr>
                <w:sz w:val="20"/>
                <w:szCs w:val="20"/>
                <w:color w:val="auto"/>
              </w:rPr>
            </w:pPr>
            <w:r>
              <w:rPr>
                <w:rFonts w:ascii="Arial" w:cs="Arial" w:eastAsia="Arial" w:hAnsi="Arial"/>
                <w:sz w:val="18"/>
                <w:szCs w:val="18"/>
                <w:color w:val="auto"/>
                <w:w w:val="94"/>
              </w:rPr>
              <w:t>89/(98)</w:t>
            </w:r>
          </w:p>
        </w:tc>
        <w:tc>
          <w:tcPr>
            <w:tcW w:w="0" w:type="dxa"/>
            <w:vAlign w:val="bottom"/>
          </w:tcPr>
          <w:p>
            <w:pPr>
              <w:spacing w:after="0"/>
              <w:rPr>
                <w:sz w:val="1"/>
                <w:szCs w:val="1"/>
                <w:color w:val="auto"/>
              </w:rPr>
            </w:pPr>
          </w:p>
        </w:tc>
      </w:tr>
      <w:tr>
        <w:trPr>
          <w:trHeight w:val="125"/>
        </w:trPr>
        <w:tc>
          <w:tcPr>
            <w:tcW w:w="3900" w:type="dxa"/>
            <w:vAlign w:val="bottom"/>
            <w:tcBorders>
              <w:bottom w:val="single" w:sz="8" w:color="CEFFE7"/>
            </w:tcBorders>
            <w:shd w:val="clear" w:color="auto" w:fill="CEFFE7"/>
          </w:tcPr>
          <w:p>
            <w:pPr>
              <w:spacing w:after="0"/>
              <w:rPr>
                <w:sz w:val="10"/>
                <w:szCs w:val="10"/>
                <w:color w:val="auto"/>
              </w:rPr>
            </w:pPr>
          </w:p>
        </w:tc>
        <w:tc>
          <w:tcPr>
            <w:tcW w:w="3140" w:type="dxa"/>
            <w:vAlign w:val="bottom"/>
            <w:tcBorders>
              <w:bottom w:val="single" w:sz="8" w:color="CEFFE7"/>
            </w:tcBorders>
            <w:vMerge w:val="continue"/>
            <w:shd w:val="clear" w:color="auto" w:fill="CEFFE7"/>
          </w:tcPr>
          <w:p>
            <w:pPr>
              <w:spacing w:after="0"/>
              <w:rPr>
                <w:sz w:val="10"/>
                <w:szCs w:val="10"/>
                <w:color w:val="auto"/>
              </w:rPr>
            </w:pPr>
          </w:p>
        </w:tc>
        <w:tc>
          <w:tcPr>
            <w:tcW w:w="2020" w:type="dxa"/>
            <w:vAlign w:val="bottom"/>
            <w:tcBorders>
              <w:bottom w:val="single" w:sz="8" w:color="CEFFE7"/>
            </w:tcBorders>
            <w:vMerge w:val="continue"/>
            <w:shd w:val="clear" w:color="auto" w:fill="CEFFE7"/>
          </w:tcPr>
          <w:p>
            <w:pPr>
              <w:spacing w:after="0"/>
              <w:rPr>
                <w:sz w:val="10"/>
                <w:szCs w:val="10"/>
                <w:color w:val="auto"/>
              </w:rPr>
            </w:pPr>
          </w:p>
        </w:tc>
        <w:tc>
          <w:tcPr>
            <w:tcW w:w="2080" w:type="dxa"/>
            <w:vAlign w:val="bottom"/>
            <w:tcBorders>
              <w:bottom w:val="single" w:sz="8" w:color="CEFFE7"/>
            </w:tcBorders>
            <w:vMerge w:val="continue"/>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140" w:type="dxa"/>
            <w:vAlign w:val="bottom"/>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4"/>
              </w:rPr>
              <w:t>(38)/38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3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Projected benefit obligation (PBO) for the pension plan and accumulated postretirement benefit obligation (APBO) for OPEB plans.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Impact on service cost, interest cost and amortization of gains or losses.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and its subsidiaries file consolidated federal income tax returns. As a result of the SourceGas transaction, certain acquired subsidiaries file as a separate consolidated group. Each tax-paying entity records income taxes as if it were a separate taxpayer and consolidating adjustments are allocated to the subsidiaries based on separate company computations of taxable income or loss.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makes broad and complex changes to the U.S. tax code, including, but not limited to reducing the U.S. federal corporate tax rate from 35% to 21%. 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ind w:right="200"/>
        <w:spacing w:after="0" w:line="277" w:lineRule="auto"/>
        <w:rPr>
          <w:sz w:val="20"/>
          <w:szCs w:val="20"/>
          <w:color w:val="auto"/>
        </w:rPr>
      </w:pPr>
      <w:r>
        <w:rPr>
          <w:rFonts w:ascii="Arial" w:cs="Arial" w:eastAsia="Arial" w:hAnsi="Arial"/>
          <w:sz w:val="18"/>
          <w:szCs w:val="18"/>
          <w:color w:val="auto"/>
        </w:rPr>
        <w:t>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financial position, or cash flows.</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has revalued the deferred income taxes at the 21% federal tax rate as of December 31, 2017 and as a result, deferred tax assets and liabilities were reduced by approximately $309 million. Of the $309 million, approximately $301 million is related to our regulated utilities and is reclassified to a regulatory liability. As of December 31, 2018 we have a regulatory liability associated with TCJA related items of $311 million, completing the revaluation of deferred taxes pursuant to the TCJA. A significant portion of the excess deferred taxes are subject to the average rate assumption method, as prescribed by the IRS, and will generally be amortized as a reduction of customer rates over the remaining lives of the related assets.</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December 31, 2018, the Company has amortized $2.1 million of regulatory liability associated with TCJA related items. The portion that was eligible for amortization under the average rate assumption method in 2018,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190"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charged to income in the period such determination was made.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15 in the Notes to Consolidated Financial Statements in this Annual Report on Form 10-K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record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identifiable assets acquired and liabilities assumed recorded at their estimated fair values on the acquisition date. The excess of the purchase price over the estimated fair values of the net tangible and net intangible assets acquired is recorded as goodwill. The application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management to make significant estimates and assumptions in the determination of the fair value of assets acquired and liabilities assumed in order to properly allocate purchase price consideration between goodwill and assets that are depreciated and amortized. Pertaining to our 2016 acquisition of SourceGas, substantially all of SourceGas’ operations are subject to the rate-setting authority of state regulatory commissions, and are accounted for in accordance with GAAP for regulated operations. SourceGas’ assets and liabilities subject to rate setting provisions provide revenues derived from costs, including a return on investment of assets and liabilities included in rate base. As such, the fair value of these assets and liabilities equal their historical net book values.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estimates are based on historical experience, information obtained from the management of the acquired companies and, when appropriate, include assistance from independent third-party appraisal firms. These estimates are inherently uncertain and unpredictable. In addition, unanticipated events or circumstances may occur which may affect the accuracy or validity of such estimates. See Note 2 in the Notes to Consolidated Financial Statements in this Annual Report on Form 10-K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Oil and Gas Activities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completed the divestiture of our Oil and Gas segment in 2018. For 2016, our Oil and Gas Activities were significant. Accounting for oil and gas activities in 2017 and 2016 was a significant accounting policy and included significant accounting estimates as disclosed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 of assets held for sale</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2017, we performed a fair value assessment of the assets and liabilities classified as held for sale. We evaluated our disposal groups classified as held for sale based on the lower of carrying value or fair value less cost to sell. For the assets that have not yet been sold, the estimated fair value of our oil and gas assets was determined using the market approach. The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8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approach was based on the fourth quarter 2017 sale of our Powder River Basin assets and other sale transactions of our other properties.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is risk involved when determining the fair value of assets, as there may be unforeseen events and changes in circumstances and market conditions that have a material impact on the estimated amount and timing of future cash flows. In 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2017, the fair value of our held-for-sale assets was less than our carrying value, which required an after-tax write down of $13 million. For additional information, see Note 21 of our Notes to Consolidated Financial Statements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Cost Method of Accounting for Oil and Gas Activities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the November 1, 2017 decision to divest our oil and gas business, we accounted for oil and gas activities under the full cost method of accounting, whereby all productive and nonproductive costs related to acquisition, exploration, development, abandonment and reclamation activities were capitalized. Accounting for oil and gas activities is subject to industry-specific rules. These costs are amortized using a unit-of-production method based on volumes produced and proved reserves. Any conveyances of properties, including gains or losses on abandonments of properties, are generally treated as adjustments to the cost of the properties with no gain or loss recognized. Net capitalized costs are subject to a ceiling test that limits such costs to the aggregate of the present value of future net revenues of proved reserves and the lower of cost or fair value of unproved properties. This method values the reserves based upon SEC-defined prices for oil and gas as of the end of each reporting period adjusted for contracted price changes. The prices, as well as costs and development capital, are assumed to remain constant for the remaining life of the properties. If the net capitalized costs exceed the full-cost ceiling, then a permanent non-cash write-down is required to be charged to earnings in that reporting period. Under these SEC-defined product prices, our net capitalized costs were more than the full cost ceiling throughout 2016, which required an after-tax write-down of $58 million for the year ended December 31, 2016. Reserves in 2016 were determined consistent with SEC requirements using a 12-month average price calculated using the first-day-of-the-month price for each of the 12 months in the reporting period held constant for the life of the properties adjusted for contracted price changes.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Natural Gas, and Natural Gas Liquids Reserve Estimates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Estimates of our proved crude oil, natural gas and NGL reserves are based on the quantities of each that geological and engineering data demonstrate with reasonable certainty to be recoverable in future years from known reservoirs under existing economic and operating conditions. Prior to November 1, 2017, an independent petroleum engineering company prepared reports that estimate our proved oil, natural gas and NGL reserves annually. The accuracy of any crude oil, natural gas and NGL reserve estimate is a function of the quality of available data, engineering judgment and geological interpretation. For example, we must estimate the amount and timing of future operating costs, severance taxes, development costs and work-over costs, all of which may in fact vary considerably from actual results. In addition, as crude oil, natural gas and NGL prices and cost levels change from year to year, the estimate of proved reserves may also change. Any significant variance in these assumptions could materially affect the estimated quantity and value of our reserves.</w:t>
      </w:r>
    </w:p>
    <w:p>
      <w:pPr>
        <w:spacing w:after="0" w:line="16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Estimates for our crude oil, natural gas, and NGL reserves are used throughout our financial statements. For example, since we used the unit-of-production method of calculating depletion expense, the amortization rate of our capitalized oil and gas properties incorporated the estimated unit-of-production attributable to the estimates of proved reserves. Under full-cost accounting, the net book value of our crude oil and gas properties was also subject to a “ceiling” limitation based in large part on the value of our proved reserves. Finally, these reserves are the basis for our supplemental oil and gas disclosures.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584" w:right="2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company requires significant cash to support and grow our businesses.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experienced an increase in working capital requirements as a result of complying with the TCJA and the impact of providing TCJA benefits to customers.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most significant uses of cash are for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informational summary of our financial position as of December 31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Financial Position Summary</w:t>
            </w:r>
          </w:p>
        </w:tc>
        <w:tc>
          <w:tcPr>
            <w:tcW w:w="21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2017</w:t>
            </w:r>
          </w:p>
        </w:tc>
      </w:tr>
      <w:tr>
        <w:trPr>
          <w:trHeight w:val="27"/>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20,776</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15,420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Restricted cash and equivalents</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2,820</w:t>
            </w:r>
          </w:p>
        </w:tc>
      </w:tr>
      <w:tr>
        <w:trPr>
          <w:trHeight w:val="27"/>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Notes payable</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211,300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Short-term debt, including current maturities of long-term debt</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5,743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5,743</w:t>
            </w:r>
          </w:p>
        </w:tc>
      </w:tr>
      <w:tr>
        <w:trPr>
          <w:trHeight w:val="27"/>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21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2,950,835</w:t>
            </w:r>
          </w:p>
        </w:tc>
        <w:tc>
          <w:tcPr>
            <w:tcW w:w="48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3,109,400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2,181,588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1,708,974</w:t>
            </w:r>
          </w:p>
        </w:tc>
      </w:tr>
      <w:tr>
        <w:trPr>
          <w:trHeight w:val="27"/>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6340" w:type="dxa"/>
            <w:vAlign w:val="bottom"/>
            <w:shd w:val="clear" w:color="auto" w:fill="CEFFE7"/>
          </w:tcPr>
          <w:p>
            <w:pPr>
              <w:spacing w:after="0"/>
              <w:rPr>
                <w:sz w:val="24"/>
                <w:szCs w:val="24"/>
                <w:color w:val="auto"/>
              </w:rPr>
            </w:pPr>
          </w:p>
        </w:tc>
        <w:tc>
          <w:tcPr>
            <w:tcW w:w="21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Ratios</w:t>
            </w:r>
          </w:p>
        </w:tc>
        <w:tc>
          <w:tcPr>
            <w:tcW w:w="3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60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Long-term debt ratio</w:t>
            </w:r>
          </w:p>
        </w:tc>
        <w:tc>
          <w:tcPr>
            <w:tcW w:w="328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57%</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Total debt ratio</w:t>
            </w:r>
          </w:p>
        </w:tc>
        <w:tc>
          <w:tcPr>
            <w:tcW w:w="3280" w:type="dxa"/>
            <w:vAlign w:val="bottom"/>
          </w:tcPr>
          <w:p>
            <w:pPr>
              <w:jc w:val="right"/>
              <w:ind w:right="590"/>
              <w:spacing w:after="0"/>
              <w:rPr>
                <w:sz w:val="20"/>
                <w:szCs w:val="20"/>
                <w:color w:val="auto"/>
              </w:rPr>
            </w:pPr>
            <w:r>
              <w:rPr>
                <w:rFonts w:ascii="Arial" w:cs="Arial" w:eastAsia="Arial" w:hAnsi="Arial"/>
                <w:sz w:val="18"/>
                <w:szCs w:val="18"/>
                <w:color w:val="auto"/>
              </w:rPr>
              <w:t>59%</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3"/>
        </w:trPr>
        <w:tc>
          <w:tcPr>
            <w:tcW w:w="7100" w:type="dxa"/>
            <w:vAlign w:val="bottom"/>
            <w:gridSpan w:val="3"/>
          </w:tcPr>
          <w:p>
            <w:pPr>
              <w:spacing w:after="0"/>
              <w:rPr>
                <w:sz w:val="20"/>
                <w:szCs w:val="20"/>
                <w:color w:val="auto"/>
              </w:rPr>
            </w:pPr>
            <w:r>
              <w:rPr>
                <w:rFonts w:ascii="Arial" w:cs="Arial" w:eastAsia="Arial" w:hAnsi="Arial"/>
                <w:sz w:val="18"/>
                <w:szCs w:val="18"/>
                <w:color w:val="auto"/>
              </w:rPr>
              <w:t>______________</w:t>
            </w:r>
          </w:p>
        </w:tc>
        <w:tc>
          <w:tcPr>
            <w:tcW w:w="3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6"/>
        </w:trPr>
        <w:tc>
          <w:tcPr>
            <w:tcW w:w="7100" w:type="dxa"/>
            <w:vAlign w:val="bottom"/>
            <w:gridSpan w:val="3"/>
          </w:tcPr>
          <w:p>
            <w:pPr>
              <w:spacing w:after="0"/>
              <w:rPr>
                <w:sz w:val="20"/>
                <w:szCs w:val="20"/>
                <w:color w:val="auto"/>
              </w:rPr>
            </w:pPr>
            <w:r>
              <w:rPr>
                <w:rFonts w:ascii="Arial" w:cs="Arial" w:eastAsia="Arial" w:hAnsi="Arial"/>
                <w:sz w:val="16"/>
                <w:szCs w:val="16"/>
                <w:color w:val="auto"/>
              </w:rPr>
              <w:t>(a)  Carrying amount of long-term debt is net of deferred financing costs.</w:t>
            </w:r>
          </w:p>
        </w:tc>
        <w:tc>
          <w:tcPr>
            <w:tcW w:w="32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2018, we had sufficient liquidity to cover collateral that could be required to be posted under these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Weather Seasonality, Commodity Pricing and Associated Hedging Strategies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liquidity needs through hedging activities, primarily in connection with seasonal needs of our utility operations (including seasonal peaks in fuel requirements), interest rate movements and commodity price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Utility Factors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cash flows, and in turn liquidity needs in many of our regulated jurisdictions, can be subject to fluctuations in weather and commodity prices. Since weather conditions are uncontrollable, we have implemented commission-approved natural gas hedging and storage programs in many of our regulated jurisdictions to mitigate significant changes in natural gas commodity pricing. We target hedging of approximately 40% to 70% of our forecasted natural gas supply using options, futures and basis swaps.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Several of our debt instruments have a variable interest rate component which can change significantly depending on the economic climate. We don’t have any interest rate swap agreements at December 31, 2018; 84% of our interest rate exposure has been mitigated through fixed interest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structured as a utility holding company which owns several regulated utilities. Within this structure, we are subject to various regulations by our commissions that can influence our liquidity. As an example, the issuance of debt by our regulated subsidiaries and the use of our utility assets as collateral generally require prior approval of the state regulators in the state in which the utility assets are located. Furthermore, as a result of our holding company structure, our right as a common shareholder to receive assets of any of our direct or indirect subsidiaries upon a subsidiary's liquidation or reorganization is subordinate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TCJA required revaluation of federal deferred tax assets and liabilities using the new lower corporate tax rate of 21%.</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reached agreements with regulators in six states and are working with regulators in our seventh state, as well as FERC. Our working capital requirements increased as a result of complying with the TCJA and providing the benefits of the TCJA to customers, negatively impacted our cash flows by approximately $40 million to $45 million annually for the next several years. See Notes 1 and 13 for more information on regulatory matters and Note 15 for revaluations of deferred taxes under the TCJA.</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Acceleration of depreciation for tax purposes, including 50% bonus depreciation, was previously available for certain property placed in service through September 27, 2017. The TCJA enacted 100% bonus depreciation generally to qualifying property acquired and placed in service after September 27, 2017 and before January 1, 2023. After 2022, bonus depreciation would reduce 20% per year for qualifying property placed in service through 2026. The provision expands the property that is eligible for this immediate expensing by repealing the requirement that the original use of the property begin with the taxpayer. Instead, the property is eligible for the additional depreciation if it is the taxpayer’s first use. Under the provision, qualified property eligible for bonus depreciation, including immediate expensing, does not include any property used by a regulated public utility company or any property used in a real property trade or business. These depreciation provisions resulted in cash tax benefits for BHC as indicated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3200" w:type="dxa"/>
            <w:vAlign w:val="bottom"/>
          </w:tcPr>
          <w:p>
            <w:pPr>
              <w:jc w:val="right"/>
              <w:ind w:right="1150"/>
              <w:spacing w:after="0"/>
              <w:rPr>
                <w:sz w:val="20"/>
                <w:szCs w:val="20"/>
                <w:color w:val="auto"/>
              </w:rPr>
            </w:pPr>
            <w:r>
              <w:rPr>
                <w:rFonts w:ascii="Arial" w:cs="Arial" w:eastAsia="Arial" w:hAnsi="Arial"/>
                <w:sz w:val="18"/>
                <w:szCs w:val="18"/>
                <w:color w:val="auto"/>
              </w:rPr>
              <w:t>2018</w:t>
            </w:r>
          </w:p>
        </w:tc>
        <w:tc>
          <w:tcPr>
            <w:tcW w:w="2860" w:type="dxa"/>
            <w:vAlign w:val="bottom"/>
          </w:tcPr>
          <w:p>
            <w:pPr>
              <w:jc w:val="right"/>
              <w:ind w:right="1170"/>
              <w:spacing w:after="0"/>
              <w:rPr>
                <w:sz w:val="20"/>
                <w:szCs w:val="20"/>
                <w:color w:val="auto"/>
              </w:rPr>
            </w:pPr>
            <w:r>
              <w:rPr>
                <w:rFonts w:ascii="Arial" w:cs="Arial" w:eastAsia="Arial" w:hAnsi="Arial"/>
                <w:sz w:val="18"/>
                <w:szCs w:val="18"/>
                <w:color w:val="auto"/>
              </w:rPr>
              <w:t>2017</w:t>
            </w:r>
          </w:p>
        </w:tc>
        <w:tc>
          <w:tcPr>
            <w:tcW w:w="2840" w:type="dxa"/>
            <w:vAlign w:val="bottom"/>
          </w:tcPr>
          <w:p>
            <w:pPr>
              <w:jc w:val="right"/>
              <w:ind w:right="1150"/>
              <w:spacing w:after="0"/>
              <w:rPr>
                <w:sz w:val="20"/>
                <w:szCs w:val="20"/>
                <w:color w:val="auto"/>
              </w:rPr>
            </w:pPr>
            <w:r>
              <w:rPr>
                <w:rFonts w:ascii="Arial" w:cs="Arial" w:eastAsia="Arial" w:hAnsi="Arial"/>
                <w:sz w:val="18"/>
                <w:szCs w:val="18"/>
                <w:color w:val="auto"/>
              </w:rPr>
              <w:t>2016</w:t>
            </w:r>
          </w:p>
        </w:tc>
      </w:tr>
      <w:tr>
        <w:trPr>
          <w:trHeight w:val="27"/>
        </w:trPr>
        <w:tc>
          <w:tcPr>
            <w:tcW w:w="25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Tax benefit</w:t>
            </w:r>
          </w:p>
        </w:tc>
        <w:tc>
          <w:tcPr>
            <w:tcW w:w="32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EFFE7"/>
          </w:tcPr>
          <w:p>
            <w:pPr>
              <w:jc w:val="right"/>
              <w:ind w:right="1210"/>
              <w:spacing w:after="0"/>
              <w:rPr>
                <w:sz w:val="20"/>
                <w:szCs w:val="20"/>
                <w:color w:val="auto"/>
              </w:rPr>
            </w:pPr>
            <w:r>
              <w:rPr>
                <w:rFonts w:ascii="Arial" w:cs="Arial" w:eastAsia="Arial" w:hAnsi="Arial"/>
                <w:sz w:val="18"/>
                <w:szCs w:val="18"/>
                <w:color w:val="auto"/>
              </w:rPr>
              <w:t>$37</w:t>
            </w:r>
          </w:p>
        </w:tc>
        <w:tc>
          <w:tcPr>
            <w:tcW w:w="2840" w:type="dxa"/>
            <w:vAlign w:val="bottom"/>
            <w:shd w:val="clear" w:color="auto" w:fill="CEFFE7"/>
          </w:tcPr>
          <w:p>
            <w:pPr>
              <w:jc w:val="right"/>
              <w:ind w:right="1190"/>
              <w:spacing w:after="0"/>
              <w:rPr>
                <w:sz w:val="20"/>
                <w:szCs w:val="20"/>
                <w:color w:val="auto"/>
              </w:rPr>
            </w:pPr>
            <w:r>
              <w:rPr>
                <w:rFonts w:ascii="Arial" w:cs="Arial" w:eastAsia="Arial" w:hAnsi="Arial"/>
                <w:sz w:val="18"/>
                <w:szCs w:val="18"/>
                <w:color w:val="auto"/>
              </w:rPr>
              <w:t>$81</w:t>
            </w:r>
          </w:p>
        </w:tc>
      </w:tr>
      <w:tr>
        <w:trPr>
          <w:trHeight w:val="27"/>
        </w:trPr>
        <w:tc>
          <w:tcPr>
            <w:tcW w:w="2520" w:type="dxa"/>
            <w:vAlign w:val="bottom"/>
            <w:shd w:val="clear" w:color="auto" w:fill="CEFFE7"/>
          </w:tcPr>
          <w:p>
            <w:pPr>
              <w:spacing w:after="0"/>
              <w:rPr>
                <w:sz w:val="2"/>
                <w:szCs w:val="2"/>
                <w:color w:val="auto"/>
              </w:rPr>
            </w:pPr>
          </w:p>
        </w:tc>
        <w:tc>
          <w:tcPr>
            <w:tcW w:w="3200" w:type="dxa"/>
            <w:vAlign w:val="bottom"/>
            <w:shd w:val="clear" w:color="auto" w:fill="CEFFE7"/>
          </w:tcPr>
          <w:p>
            <w:pPr>
              <w:spacing w:after="0"/>
              <w:rPr>
                <w:sz w:val="2"/>
                <w:szCs w:val="2"/>
                <w:color w:val="auto"/>
              </w:rPr>
            </w:pPr>
          </w:p>
        </w:tc>
        <w:tc>
          <w:tcPr>
            <w:tcW w:w="2860" w:type="dxa"/>
            <w:vAlign w:val="bottom"/>
            <w:shd w:val="clear" w:color="auto" w:fill="CEFFE7"/>
          </w:tcPr>
          <w:p>
            <w:pPr>
              <w:spacing w:after="0"/>
              <w:rPr>
                <w:sz w:val="2"/>
                <w:szCs w:val="2"/>
                <w:color w:val="auto"/>
              </w:rPr>
            </w:pPr>
          </w:p>
        </w:tc>
        <w:tc>
          <w:tcPr>
            <w:tcW w:w="284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addition, bonus depreciation will apply to qualifying property whose construction and completion period encompasses multiple tax years. The exception being with respect to costs that would be incurred in 2027 when, under current law, bonus depreciation is scheduled to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1" w:name="page72"/>
    <w:bookmarkEnd w:id="71"/>
    <w:p>
      <w:pPr>
        <w:ind w:right="120"/>
        <w:spacing w:after="0" w:line="277" w:lineRule="auto"/>
        <w:rPr>
          <w:sz w:val="20"/>
          <w:szCs w:val="20"/>
          <w:color w:val="auto"/>
        </w:rPr>
      </w:pPr>
      <w:r>
        <w:rPr>
          <w:rFonts w:ascii="Arial" w:cs="Arial" w:eastAsia="Arial" w:hAnsi="Arial"/>
          <w:sz w:val="18"/>
          <w:szCs w:val="18"/>
          <w:color w:val="auto"/>
        </w:rPr>
        <w:t>The effect of additional depreciation deductions as a result of bonus depreciation will serve to reduce taxable income and contribute to extending the tax loss carryforwards from being fully utilized until 2022 based on current projections.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Consolidated Financial Statements in this Annual Report on Form 10-K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GENERATION AND 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Generation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primary sources of cash are generated from operating activities, our five-year Revolving Credit Facility expiring in 2023, our CP Program and our ability to access the public and private capital markets through debt and equity securities offerings when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Collateral</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contractual agreements and exchange requirements, BHC or its subsidiaries have collateral requirements, which if triggered, require us to post cash collateral with the counterparty to meet these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We have posted the following amounts of cash collateral with counterparties at December 31 (in thousands):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9160" w:type="dxa"/>
            <w:vAlign w:val="bottom"/>
          </w:tcPr>
          <w:p>
            <w:pPr>
              <w:ind w:left="40"/>
              <w:spacing w:after="0"/>
              <w:rPr>
                <w:sz w:val="20"/>
                <w:szCs w:val="20"/>
                <w:color w:val="auto"/>
              </w:rPr>
            </w:pPr>
            <w:r>
              <w:rPr>
                <w:rFonts w:ascii="Arial" w:cs="Arial" w:eastAsia="Arial" w:hAnsi="Arial"/>
                <w:sz w:val="18"/>
                <w:szCs w:val="18"/>
                <w:color w:val="auto"/>
              </w:rPr>
              <w:t>Purpose of Cash Collateral</w:t>
            </w:r>
          </w:p>
        </w:tc>
        <w:tc>
          <w:tcPr>
            <w:tcW w:w="24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Futures and Basis Swaps Pursuant to Utility Commission Approved Hedging Programs</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7,266</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7,694</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Natural Gas Over-the-Counter Swaps Pursuant to Master Agreements for Derivative Instruments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916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Cash Collateral</w:t>
            </w: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7,266</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8,256</w:t>
            </w:r>
          </w:p>
        </w:tc>
      </w:tr>
      <w:tr>
        <w:trPr>
          <w:trHeight w:val="20"/>
        </w:trPr>
        <w:tc>
          <w:tcPr>
            <w:tcW w:w="9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principal liquidity sources to meet day-to-day operating cash requirements are cash from operations, our CP Program and our corporate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2300"/>
        <w:spacing w:after="0" w:line="255" w:lineRule="auto"/>
        <w:rPr>
          <w:sz w:val="20"/>
          <w:szCs w:val="20"/>
          <w:color w:val="auto"/>
        </w:rPr>
      </w:pPr>
      <w:r>
        <w:rPr>
          <w:rFonts w:ascii="Arial" w:cs="Arial" w:eastAsia="Arial" w:hAnsi="Arial"/>
          <w:sz w:val="18"/>
          <w:szCs w:val="18"/>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See Note 7 for more information.</w:t>
      </w:r>
    </w:p>
    <w:p>
      <w:pPr>
        <w:spacing w:after="0" w:line="193" w:lineRule="exact"/>
        <w:rPr>
          <w:sz w:val="20"/>
          <w:szCs w:val="20"/>
          <w:color w:val="auto"/>
        </w:rPr>
      </w:pPr>
    </w:p>
    <w:p>
      <w:pPr>
        <w:ind w:right="2420"/>
        <w:spacing w:after="0" w:line="264" w:lineRule="auto"/>
        <w:rPr>
          <w:sz w:val="20"/>
          <w:szCs w:val="20"/>
          <w:color w:val="auto"/>
        </w:rPr>
      </w:pPr>
      <w:r>
        <w:rPr>
          <w:rFonts w:ascii="Arial" w:cs="Arial" w:eastAsia="Arial" w:hAnsi="Arial"/>
          <w:sz w:val="18"/>
          <w:szCs w:val="18"/>
          <w:color w:val="auto"/>
        </w:rPr>
        <w:t>We have a $750 million, unsecured CP Program that is backstopped by the Revolving Credit Facility. Amounts outstanding under the Revolving Credit Facility and the CP Program, either individually or in the aggregate, cannot exceed $750 million. See Note 7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260" w:type="dxa"/>
            <w:vAlign w:val="bottom"/>
          </w:tcPr>
          <w:p>
            <w:pPr>
              <w:spacing w:after="0"/>
              <w:rPr>
                <w:sz w:val="20"/>
                <w:szCs w:val="20"/>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2"/>
              </w:rPr>
              <w:t>at</w:t>
            </w:r>
          </w:p>
        </w:tc>
        <w:tc>
          <w:tcPr>
            <w:tcW w:w="20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0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Expiration</w:t>
            </w:r>
          </w:p>
        </w:tc>
        <w:tc>
          <w:tcPr>
            <w:tcW w:w="16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22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8"/>
              </w:rPr>
              <w:t>December 31, 2018</w:t>
            </w:r>
          </w:p>
        </w:tc>
        <w:tc>
          <w:tcPr>
            <w:tcW w:w="260" w:type="dxa"/>
            <w:vAlign w:val="bottom"/>
          </w:tcPr>
          <w:p>
            <w:pPr>
              <w:spacing w:after="0"/>
              <w:rPr>
                <w:sz w:val="23"/>
                <w:szCs w:val="23"/>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89"/>
              </w:rPr>
              <w:t>December 31, 2018</w:t>
            </w:r>
          </w:p>
        </w:tc>
        <w:tc>
          <w:tcPr>
            <w:tcW w:w="200" w:type="dxa"/>
            <w:vAlign w:val="bottom"/>
          </w:tcPr>
          <w:p>
            <w:pPr>
              <w:spacing w:after="0"/>
              <w:rPr>
                <w:sz w:val="23"/>
                <w:szCs w:val="23"/>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89"/>
              </w:rPr>
              <w:t>December 31, 2018</w:t>
            </w:r>
          </w:p>
        </w:tc>
        <w:tc>
          <w:tcPr>
            <w:tcW w:w="200" w:type="dxa"/>
            <w:vAlign w:val="bottom"/>
          </w:tcPr>
          <w:p>
            <w:pPr>
              <w:spacing w:after="0"/>
              <w:rPr>
                <w:sz w:val="23"/>
                <w:szCs w:val="23"/>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2018</w:t>
            </w:r>
          </w:p>
        </w:tc>
      </w:tr>
      <w:tr>
        <w:trPr>
          <w:trHeight w:val="27"/>
        </w:trPr>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2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7"/>
        </w:trPr>
        <w:tc>
          <w:tcPr>
            <w:tcW w:w="1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240" w:type="dxa"/>
            <w:vAlign w:val="bottom"/>
            <w:tcBorders>
              <w:bottom w:val="single" w:sz="8" w:color="CEFFE7"/>
            </w:tcBorders>
            <w:shd w:val="clear" w:color="auto" w:fill="CEFFE7"/>
          </w:tcPr>
          <w:p>
            <w:pPr>
              <w:jc w:val="center"/>
              <w:ind w:left="50"/>
              <w:spacing w:after="0"/>
              <w:rPr>
                <w:sz w:val="20"/>
                <w:szCs w:val="20"/>
                <w:color w:val="auto"/>
              </w:rPr>
            </w:pPr>
            <w:r>
              <w:rPr>
                <w:rFonts w:ascii="Arial" w:cs="Arial" w:eastAsia="Arial" w:hAnsi="Arial"/>
                <w:sz w:val="18"/>
                <w:szCs w:val="18"/>
                <w:color w:val="auto"/>
                <w:w w:val="91"/>
              </w:rPr>
              <w:t>July 30, 2023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ind w:left="1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542</w:t>
            </w:r>
          </w:p>
        </w:tc>
      </w:tr>
      <w:tr>
        <w:trPr>
          <w:trHeight w:val="675"/>
        </w:trPr>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72</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72" w:name="page73"/>
    <w:bookmarkEnd w:id="72"/>
    <w:p>
      <w:pPr>
        <w:ind w:right="560"/>
        <w:spacing w:after="0" w:line="277" w:lineRule="auto"/>
        <w:rPr>
          <w:sz w:val="20"/>
          <w:szCs w:val="20"/>
          <w:color w:val="auto"/>
        </w:rPr>
      </w:pPr>
      <w:r>
        <w:rPr>
          <w:rFonts w:ascii="Arial" w:cs="Arial" w:eastAsia="Arial" w:hAnsi="Arial"/>
          <w:sz w:val="18"/>
          <w:szCs w:val="18"/>
          <w:color w:val="auto"/>
        </w:rPr>
        <w:t>The weighted average interest rate on CP Program borrowings at December 31, 2018 was 2.88%. Revolving Credit Facility and CP Program financing activity for the twelve months ended December 31, 2018 was: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(dollars in millions)</w:t>
            </w:r>
          </w:p>
        </w:tc>
      </w:tr>
      <w:tr>
        <w:trPr>
          <w:trHeight w:val="27"/>
        </w:trPr>
        <w:tc>
          <w:tcPr>
            <w:tcW w:w="7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12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231</w:t>
            </w:r>
          </w:p>
        </w:tc>
      </w:tr>
      <w:tr>
        <w:trPr>
          <w:trHeight w:val="243"/>
        </w:trPr>
        <w:tc>
          <w:tcPr>
            <w:tcW w:w="792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792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commercial paper (based on daily outstanding balances)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120</w:t>
            </w:r>
          </w:p>
        </w:tc>
      </w:tr>
      <w:tr>
        <w:trPr>
          <w:trHeight w:val="243"/>
        </w:trPr>
        <w:tc>
          <w:tcPr>
            <w:tcW w:w="7920" w:type="dxa"/>
            <w:vAlign w:val="bottom"/>
          </w:tcPr>
          <w:p>
            <w:pPr>
              <w:ind w:left="12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79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commercial paper</w:t>
            </w:r>
          </w:p>
        </w:tc>
        <w:tc>
          <w:tcPr>
            <w:tcW w:w="126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7920" w:type="dxa"/>
            <w:vAlign w:val="bottom"/>
          </w:tcPr>
          <w:p>
            <w:pPr>
              <w:ind w:left="120"/>
              <w:spacing w:after="0"/>
              <w:rPr>
                <w:sz w:val="20"/>
                <w:szCs w:val="20"/>
                <w:color w:val="auto"/>
              </w:rPr>
            </w:pPr>
            <w:r>
              <w:rPr>
                <w:rFonts w:ascii="Arial" w:cs="Arial" w:eastAsia="Arial" w:hAnsi="Arial"/>
                <w:sz w:val="18"/>
                <w:szCs w:val="18"/>
                <w:color w:val="auto"/>
              </w:rPr>
              <w:t>Weighted average interest rates - revolving credit facility</w:t>
            </w:r>
          </w:p>
        </w:tc>
        <w:tc>
          <w:tcPr>
            <w:tcW w:w="1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26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ind w:left="340" w:right="200" w:hanging="332"/>
        <w:spacing w:after="0" w:line="263"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commercial paper was issued from November 1, 2018 to December 11, 2018 due to excess cash on hand from the Equity Units settlement until we paid off the $250 million, 2.5% Senior unsecured notes due January 11, 2019.</w:t>
      </w:r>
    </w:p>
    <w:p>
      <w:pPr>
        <w:spacing w:after="0" w:line="1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and certain guarantees issued), by (ii) Capital, which is Consolidated Indebtedness plus Consolidated Net Worth (which excludes noncontrolling interests in subsidiaries).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December 31, 2018.</w:t>
      </w:r>
    </w:p>
    <w:p>
      <w:pPr>
        <w:spacing w:after="0" w:line="17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Our principal sources for our long-term capital needs have been issuances of long-term debt securities by the Company and its subsidiaries along with proceeds obtained from public and private offerings of equity and proceeds from our ATM equity offering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in 2018 consisted of the following:</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Short-term borrowings from our CP Program.</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December 12, 2018, we paid off the $250 million, 2.5% senior unsecured notes due January 11, 2019. Proceeds from the November 1, 2018 Equity Unit conversion were used to repay this obligation.</w:t>
      </w:r>
    </w:p>
    <w:p>
      <w:pPr>
        <w:spacing w:after="0" w:line="170"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November 1, 2018, we completed settlement of the stock purchase contracts that are components of the Equity Units issued November 23, 2015. Upon settlement of all outstanding stock purchase obligations, the Company received gross proceeds of approximately $299 million in exchange for approximately 6.372 million shares of common stock. See Note 12 for more information.</w:t>
      </w:r>
    </w:p>
    <w:p>
      <w:pPr>
        <w:spacing w:after="0" w:line="181"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August 17, 2018, we completed a public debt offering of $400 million principal amount, 4.350% senior unsecured notes due 2033. The proceeds were used to repay the $299 million principal amount of our RSNs due 2028 and pay down short-term debt. Through this offering, we successfully remarketed the $299 million principal amount of the existing subordinated notes, which were originally issued as a part of the Company's Equity Units on November 23, 2015. See Note 6 for more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ind w:left="660" w:right="34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July 30, 2018, we amended and restated our unsecured term loan due August 2019. This amended and restated term loan, with $300 million outstanding at December 31, 2018, will now mature July 30, 2020 and has substantially similar terms and covenants as the amended and restated Revolving Credit Facility. See Note 6 for more information.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did not issue any shares of common stock under our ATM equity offering program in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for 2017 consisted of short-term borrowings from our Revolving Credit Facility and CP Program. We also made principal payments of</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$50 million each on May 16, 2017 and July 17, 2017 on our Corporate term loan due August 9, 2019. Short-term borrowings from our CP program were used to fund the payments on the Corporate term loan. On August 4, 2017, we renewed the ATM equity offering program which reset the size of the ATM equity offering program to an aggregate value of up to $300 million. We did not issue any shares of common stock under our ATM equity offering program during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will evaluate refinancing options for our $200 million senior notes due July 15, 2020 and the $300 million Corporate term loan due July 30,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Cross-Default Provisions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$300 million and $13 million Corporate term loans contain cross-default provisions that could result in a default under such agreements if BHC or its material subsidiaries failed to make timely payments of debt obligations or triggered other default provisions under any debt agreement totaling, in the aggregate principal amount of $50 million or more that permits the acceleration of debt maturities or mandatory debt prepayment. Our Revolving Credit Facility contains the same provisions and a threshold principal amount is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prohibits us from paying cash dividends if we are in default or if paying dividends would cause us to be in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Based on our current disclosed capital spending forecast, we anticipate the need for issuing $25 million to $50 million of equity annually, in 2019 and 2020 under our ATM equity offering program. Aside from our ATM equity offering program, we do not anticipate any other need to further access the equity capital markets in the next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an effective automatic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We renewed our shelf registration on August 4, 2017. Our articles of incorporation authorize the issuance of 100 million shares of common stock and 25 million shares of preferred stock. As of December 31, 2018, we had approximately 60 million shares of common stock outstanding and no shares of preferred stock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cash dividends, if any, will be dependent on our results of operations, financial position, cash flows, reinvestment opportunities and other factors, and will be evaluated and approved by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January 30, 2019, our Board of Directors declared a quarterly dividend of $0.505 per share or an annualized equivalent dividend rate of $2.02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our historical three-year dividend payout ratio and dividends paid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520" w:type="dxa"/>
            <w:vAlign w:val="bottom"/>
            <w:gridSpan w:val="2"/>
          </w:tcPr>
          <w:p>
            <w:pPr>
              <w:jc w:val="center"/>
              <w:ind w:left="2710"/>
              <w:spacing w:after="0"/>
              <w:rPr>
                <w:sz w:val="20"/>
                <w:szCs w:val="20"/>
                <w:color w:val="auto"/>
              </w:rPr>
            </w:pPr>
            <w:r>
              <w:rPr>
                <w:rFonts w:ascii="Arial" w:cs="Arial" w:eastAsia="Arial" w:hAnsi="Arial"/>
                <w:sz w:val="18"/>
                <w:szCs w:val="18"/>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3660" w:type="dxa"/>
            <w:vAlign w:val="bottom"/>
            <w:tcBorders>
              <w:bottom w:val="single" w:sz="8" w:color="CEFFE7"/>
            </w:tcBorders>
          </w:tcPr>
          <w:p>
            <w:pPr>
              <w:spacing w:after="0"/>
              <w:rPr>
                <w:sz w:val="2"/>
                <w:szCs w:val="2"/>
                <w:color w:val="auto"/>
              </w:rPr>
            </w:pPr>
          </w:p>
        </w:tc>
        <w:tc>
          <w:tcPr>
            <w:tcW w:w="274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Payout Ratio</w:t>
            </w:r>
          </w:p>
        </w:tc>
        <w:tc>
          <w:tcPr>
            <w:tcW w:w="4520" w:type="dxa"/>
            <w:vAlign w:val="bottom"/>
            <w:tcBorders>
              <w:bottom w:val="single" w:sz="8" w:color="CEFFE7"/>
            </w:tcBorders>
            <w:gridSpan w:val="2"/>
            <w:shd w:val="clear" w:color="auto" w:fill="CEFFE7"/>
          </w:tcPr>
          <w:p>
            <w:pPr>
              <w:jc w:val="center"/>
              <w:ind w:left="2710"/>
              <w:spacing w:after="0"/>
              <w:rPr>
                <w:sz w:val="20"/>
                <w:szCs w:val="20"/>
                <w:color w:val="auto"/>
              </w:rPr>
            </w:pPr>
            <w:r>
              <w:rPr>
                <w:rFonts w:ascii="Arial" w:cs="Arial" w:eastAsia="Arial" w:hAnsi="Arial"/>
                <w:sz w:val="18"/>
                <w:szCs w:val="18"/>
                <w:color w:val="auto"/>
                <w:w w:val="88"/>
              </w:rPr>
              <w:t>40%</w:t>
            </w:r>
          </w:p>
        </w:tc>
        <w:tc>
          <w:tcPr>
            <w:tcW w:w="16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50%</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65%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4520" w:type="dxa"/>
            <w:vAlign w:val="bottom"/>
            <w:gridSpan w:val="2"/>
          </w:tcPr>
          <w:p>
            <w:pPr>
              <w:jc w:val="center"/>
              <w:ind w:left="2710"/>
              <w:spacing w:after="0"/>
              <w:rPr>
                <w:sz w:val="20"/>
                <w:szCs w:val="20"/>
                <w:color w:val="auto"/>
              </w:rPr>
            </w:pPr>
            <w:r>
              <w:rPr>
                <w:rFonts w:ascii="Arial" w:cs="Arial" w:eastAsia="Arial" w:hAnsi="Arial"/>
                <w:sz w:val="18"/>
                <w:szCs w:val="18"/>
                <w:color w:val="auto"/>
                <w:w w:val="88"/>
              </w:rPr>
              <w:t>$1.93</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$1.68</w:t>
            </w:r>
          </w:p>
        </w:tc>
      </w:tr>
      <w:tr>
        <w:trPr>
          <w:trHeight w:val="486"/>
        </w:trPr>
        <w:tc>
          <w:tcPr>
            <w:tcW w:w="3660" w:type="dxa"/>
            <w:vAlign w:val="bottom"/>
          </w:tcPr>
          <w:p>
            <w:pPr>
              <w:spacing w:after="0"/>
              <w:rPr>
                <w:sz w:val="24"/>
                <w:szCs w:val="24"/>
                <w:color w:val="auto"/>
              </w:rPr>
            </w:pPr>
          </w:p>
        </w:tc>
        <w:tc>
          <w:tcPr>
            <w:tcW w:w="2740" w:type="dxa"/>
            <w:vAlign w:val="bottom"/>
          </w:tcPr>
          <w:p>
            <w:pPr>
              <w:jc w:val="right"/>
              <w:ind w:right="510"/>
              <w:spacing w:after="0"/>
              <w:rPr>
                <w:sz w:val="20"/>
                <w:szCs w:val="20"/>
                <w:color w:val="auto"/>
              </w:rPr>
            </w:pPr>
            <w:r>
              <w:rPr>
                <w:rFonts w:ascii="Arial" w:cs="Arial" w:eastAsia="Arial" w:hAnsi="Arial"/>
                <w:sz w:val="18"/>
                <w:szCs w:val="18"/>
                <w:color w:val="auto"/>
              </w:rPr>
              <w:t>74</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Our three-year compound annualized dividend growth rate was 6.0% and all dividends were paid out of available operating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and Nebraska have regulatory agreements in which they cannot pay dividends if they have issued debt to third parties and the payment of a dividend would reduce their equity ratio to below 40% of their total capitalization; and neither Black Hills Utility Holdings nor its utility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our holding company structure, our right as a common shareholder to receive assets from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See additional information in Note 6 of our Notes to Consolidated Financial Statements in this Annual Report on Form 10-K.</w:t>
      </w:r>
    </w:p>
    <w:p>
      <w:pPr>
        <w:spacing w:after="0" w:line="1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credit facilities and other debt obligations contain restrictions on the payment of cash dividends upon a default or event of default. An event of default would be deemed to have occurred if we did not comply with certain financial or other covenants. See additional information in Note 7 of our Notes to Consolidated Financial Statements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were in compliance with these 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Money Pool</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via a utility money pool at market-based rates (3.056% and 1.962% at December 31, 2018 and 2017, respectively).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At December 31, money pool balances included (in thousands):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gridSpan w:val="2"/>
          </w:tcPr>
          <w:p>
            <w:pPr>
              <w:jc w:val="right"/>
              <w:ind w:right="270"/>
              <w:spacing w:after="0"/>
              <w:rPr>
                <w:sz w:val="20"/>
                <w:szCs w:val="20"/>
                <w:color w:val="auto"/>
              </w:rPr>
            </w:pPr>
            <w:r>
              <w:rPr>
                <w:rFonts w:ascii="Arial" w:cs="Arial" w:eastAsia="Arial" w:hAnsi="Arial"/>
                <w:sz w:val="18"/>
                <w:szCs w:val="18"/>
                <w:color w:val="auto"/>
              </w:rPr>
              <w:t>Borrowings From</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gridSpan w:val="2"/>
          </w:tcPr>
          <w:p>
            <w:pPr>
              <w:jc w:val="right"/>
              <w:ind w:right="10"/>
              <w:spacing w:after="0"/>
              <w:rPr>
                <w:sz w:val="20"/>
                <w:szCs w:val="20"/>
                <w:color w:val="auto"/>
              </w:rPr>
            </w:pPr>
            <w:r>
              <w:rPr>
                <w:rFonts w:ascii="Arial" w:cs="Arial" w:eastAsia="Arial" w:hAnsi="Arial"/>
                <w:sz w:val="18"/>
                <w:szCs w:val="18"/>
                <w:color w:val="auto"/>
              </w:rPr>
              <w:t>Money Pool Outstanding</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Subsidiary</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tcPr>
          <w:p>
            <w:pPr>
              <w:jc w:val="right"/>
              <w:ind w:right="990"/>
              <w:spacing w:after="0"/>
              <w:rPr>
                <w:sz w:val="20"/>
                <w:szCs w:val="20"/>
                <w:color w:val="auto"/>
              </w:rPr>
            </w:pPr>
            <w:r>
              <w:rPr>
                <w:rFonts w:ascii="Arial" w:cs="Arial" w:eastAsia="Arial" w:hAnsi="Arial"/>
                <w:sz w:val="18"/>
                <w:szCs w:val="18"/>
                <w:color w:val="auto"/>
              </w:rPr>
              <w:t>2018</w:t>
            </w:r>
          </w:p>
        </w:tc>
        <w:tc>
          <w:tcPr>
            <w:tcW w:w="1000" w:type="dxa"/>
            <w:vAlign w:val="bottom"/>
          </w:tcPr>
          <w:p>
            <w:pPr>
              <w:spacing w:after="0"/>
              <w:rPr>
                <w:sz w:val="23"/>
                <w:szCs w:val="23"/>
                <w:color w:val="auto"/>
              </w:rPr>
            </w:pP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Black Hills Utility Holdings</w:t>
            </w:r>
          </w:p>
        </w:tc>
        <w:tc>
          <w:tcPr>
            <w:tcW w:w="1760" w:type="dxa"/>
            <w:vAlign w:val="bottom"/>
            <w:tcBorders>
              <w:bottom w:val="single" w:sz="8" w:color="CEFFE7"/>
            </w:tcBorders>
            <w:gridSpan w:val="2"/>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48,056</w:t>
            </w:r>
          </w:p>
        </w:tc>
        <w:tc>
          <w:tcPr>
            <w:tcW w:w="100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South Dakota Electric</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38,690</w:t>
            </w:r>
          </w:p>
        </w:tc>
        <w:tc>
          <w:tcPr>
            <w:tcW w:w="10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 Electric</w:t>
            </w:r>
          </w:p>
        </w:tc>
        <w:tc>
          <w:tcPr>
            <w:tcW w:w="114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24,704</w:t>
            </w:r>
          </w:p>
        </w:tc>
        <w:tc>
          <w:tcPr>
            <w:tcW w:w="10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57"/>
        </w:trPr>
        <w:tc>
          <w:tcPr>
            <w:tcW w:w="5100" w:type="dxa"/>
            <w:vAlign w:val="bottom"/>
          </w:tcPr>
          <w:p>
            <w:pPr>
              <w:ind w:left="380"/>
              <w:spacing w:after="0"/>
              <w:rPr>
                <w:sz w:val="20"/>
                <w:szCs w:val="20"/>
                <w:color w:val="auto"/>
              </w:rPr>
            </w:pPr>
            <w:r>
              <w:rPr>
                <w:rFonts w:ascii="Arial" w:cs="Arial" w:eastAsia="Arial" w:hAnsi="Arial"/>
                <w:sz w:val="18"/>
                <w:szCs w:val="18"/>
                <w:color w:val="auto"/>
              </w:rPr>
              <w:t>Total Money Pool borrowings from Parent</w:t>
            </w:r>
          </w:p>
        </w:tc>
        <w:tc>
          <w:tcPr>
            <w:tcW w:w="11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111,450</w:t>
            </w:r>
          </w:p>
        </w:tc>
        <w:tc>
          <w:tcPr>
            <w:tcW w:w="10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64,380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801" w:right="27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The following table summarizes our cash flows (in thousands):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Cash provided by (used in)</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488,811</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428,261</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320,479</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(465,849)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(317,118)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(1,588,165)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EFFE7"/>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(17,057)</w:t>
            </w:r>
          </w:p>
        </w:tc>
        <w:tc>
          <w:tcPr>
            <w:tcW w:w="4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(108,695)</w:t>
            </w:r>
          </w:p>
        </w:tc>
        <w:tc>
          <w:tcPr>
            <w:tcW w:w="4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840,998</w:t>
            </w:r>
          </w:p>
        </w:tc>
        <w:tc>
          <w:tcPr>
            <w:tcW w:w="0" w:type="dxa"/>
            <w:vAlign w:val="bottom"/>
          </w:tcPr>
          <w:p>
            <w:pPr>
              <w:spacing w:after="0"/>
              <w:rPr>
                <w:sz w:val="1"/>
                <w:szCs w:val="1"/>
                <w:color w:val="auto"/>
              </w:rPr>
            </w:pPr>
          </w:p>
        </w:tc>
      </w:tr>
      <w:tr>
        <w:trPr>
          <w:trHeight w:val="27"/>
        </w:trPr>
        <w:tc>
          <w:tcPr>
            <w:tcW w:w="628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$61 million higher than in 2017. The variance to the prior year was primarily attributable to:</w:t>
      </w:r>
    </w:p>
    <w:p>
      <w:pPr>
        <w:spacing w:after="0" w:line="225" w:lineRule="exact"/>
        <w:rPr>
          <w:sz w:val="20"/>
          <w:szCs w:val="20"/>
          <w:color w:val="auto"/>
        </w:rPr>
      </w:pPr>
    </w:p>
    <w:p>
      <w:pPr>
        <w:ind w:left="500" w:right="28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$7 million lower than prior year driven primarily by impacts of customer refunds related to the TCJA tax decrease which lowered current year revenue;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inflow from operating assets and liabilities was $62 million higher than prior year, primarily attributable to:</w:t>
      </w:r>
    </w:p>
    <w:p>
      <w:pPr>
        <w:spacing w:after="0" w:line="225" w:lineRule="exact"/>
        <w:rPr>
          <w:rFonts w:ascii="Arial" w:cs="Arial" w:eastAsia="Arial" w:hAnsi="Arial"/>
          <w:sz w:val="18"/>
          <w:szCs w:val="18"/>
          <w:color w:val="auto"/>
        </w:rPr>
      </w:pPr>
    </w:p>
    <w:p>
      <w:pPr>
        <w:ind w:left="900" w:right="220" w:hanging="244"/>
        <w:spacing w:after="0" w:line="342"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Cash inflows increased by approximately $34 million as a result of changes in accounts payable and accrued liabilities, driven by the impact of energy commodity prices on our accounts payable, partially offset by the expiration of accrued contract payables related to Equity Units;</w:t>
      </w:r>
    </w:p>
    <w:p>
      <w:pPr>
        <w:spacing w:after="0" w:line="123" w:lineRule="exact"/>
        <w:rPr>
          <w:rFonts w:ascii="Arial" w:cs="Arial" w:eastAsia="Arial" w:hAnsi="Arial"/>
          <w:sz w:val="16"/>
          <w:szCs w:val="16"/>
          <w:color w:val="auto"/>
        </w:rPr>
      </w:pPr>
    </w:p>
    <w:p>
      <w:pPr>
        <w:ind w:left="900" w:right="460" w:hanging="244"/>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Cash outflows increased by approximately $43 million compared to the prior year as a result of higher accounts receivable driven by higher revenues, energy delivered and energy commodity prices; and</w:t>
      </w:r>
    </w:p>
    <w:p>
      <w:pPr>
        <w:spacing w:after="0" w:line="170" w:lineRule="exact"/>
        <w:rPr>
          <w:rFonts w:ascii="Arial" w:cs="Arial" w:eastAsia="Arial" w:hAnsi="Arial"/>
          <w:sz w:val="18"/>
          <w:szCs w:val="18"/>
          <w:color w:val="auto"/>
        </w:rPr>
      </w:pPr>
    </w:p>
    <w:p>
      <w:pPr>
        <w:ind w:left="900" w:right="240" w:hanging="244"/>
        <w:spacing w:after="0" w:line="312"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Cash inflows increased by approximately $72 million primarily as a result of changes in our current regulatory assets driven by lower fuel cost adjustments and the impact of lower commodity price on our regulatory assets and from an increase in current regulatory liabilities driven by cash collections of income taxes from customer bills in excess of current tax rates subsequent to the TCJA that will be refunded in the future;</w:t>
      </w:r>
    </w:p>
    <w:p>
      <w:pPr>
        <w:spacing w:after="0" w:line="146" w:lineRule="exact"/>
        <w:rPr>
          <w:rFonts w:ascii="Arial" w:cs="Arial" w:eastAsia="Arial" w:hAnsi="Arial"/>
          <w:sz w:val="16"/>
          <w:szCs w:val="16"/>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outflows decreased by approximately $15 million due to additional pension contributions made in the prior year;</w:t>
      </w:r>
    </w:p>
    <w:p>
      <w:pPr>
        <w:spacing w:after="0" w:line="225"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inflows increased approximately $15 million for other operating activities compared to the prior year primarily due to the long-term expiration of accrued contract payables related to Equity Units;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outflows increased approximately $25 million due to operating activities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used in investing activities was $466 million in 2018, compared to net cash used in investing activities of $317 million in 2017 for a variance of $149 million. This variance was primarily due to:</w:t>
      </w:r>
    </w:p>
    <w:p>
      <w:pPr>
        <w:spacing w:after="0" w:line="170" w:lineRule="exact"/>
        <w:rPr>
          <w:sz w:val="20"/>
          <w:szCs w:val="20"/>
          <w:color w:val="auto"/>
        </w:rPr>
      </w:pPr>
    </w:p>
    <w:p>
      <w:pPr>
        <w:jc w:val="both"/>
        <w:ind w:left="500" w:right="80" w:hanging="330"/>
        <w:spacing w:after="0" w:line="279"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Capital expenditures of approximately $458 million in 2018 compared to $326 million in 2017. The $132 million increase from the prior year was due to higher capital expenditures at our Electric and Gas Utilities which included additional transmission investments, and higher programmatic integrity capital at our Gas Utilities. Capital expenditures increased at our Power Generation segment due to the Busch Ranch I purchase, and from investments made to Wygen I. Capital investments also increased at our Mining segment as they purchased a new mining shovel in 2018.</w:t>
      </w:r>
    </w:p>
    <w:p>
      <w:pPr>
        <w:spacing w:after="0" w:line="171" w:lineRule="exact"/>
        <w:rPr>
          <w:rFonts w:ascii="Arial" w:cs="Arial" w:eastAsia="Arial" w:hAnsi="Arial"/>
          <w:sz w:val="17"/>
          <w:szCs w:val="17"/>
          <w:color w:val="auto"/>
        </w:rPr>
      </w:pPr>
    </w:p>
    <w:p>
      <w:pPr>
        <w:ind w:left="500" w:hanging="330"/>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$24 million investment partially offset by a $13 million increase in net cash provided by investing activities from discontinued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$17 million in 2018, a decrease of $92 million from 2017 primarily due to the following:</w:t>
      </w:r>
    </w:p>
    <w:p>
      <w:pPr>
        <w:spacing w:after="0" w:line="225" w:lineRule="exact"/>
        <w:rPr>
          <w:sz w:val="20"/>
          <w:szCs w:val="20"/>
          <w:color w:val="auto"/>
        </w:rPr>
      </w:pPr>
    </w:p>
    <w:p>
      <w:pPr>
        <w:ind w:left="500" w:right="180" w:hanging="330"/>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Payments of long-term debt increased by $749 million due to current year payments on the $300 million term loan refinanced in July 2018, the retirement of $299 million of RSNs in August 2018 and the retirement of $250 million Senior unsecured notes in December 2018, compared to $100 million of principal payments made on term loans in the prior year;</w:t>
      </w:r>
    </w:p>
    <w:p>
      <w:pPr>
        <w:spacing w:after="0" w:line="181" w:lineRule="exact"/>
        <w:rPr>
          <w:rFonts w:ascii="Arial" w:cs="Arial" w:eastAsia="Arial" w:hAnsi="Arial"/>
          <w:sz w:val="18"/>
          <w:szCs w:val="18"/>
          <w:color w:val="auto"/>
        </w:rPr>
      </w:pPr>
    </w:p>
    <w:p>
      <w:pPr>
        <w:ind w:left="500" w:right="200" w:hanging="330"/>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Long-term borrowings increased by $700 million due to the issuance of $400 million senior secured notes in August 2018 and the refinancing of our $300 million unsecured term loan in July 2018;</w:t>
      </w:r>
    </w:p>
    <w:p>
      <w:pPr>
        <w:spacing w:after="0" w:line="170"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Gross proceeds of approximately $299 million received in exchange for approximately 6.372 million shares of common stock from the Equity Unit conversion;</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Net short-term debt payments increased by $140 million as a result of using proceeds from the Equity Unit conversion to pay down short-term debt;</w:t>
      </w:r>
    </w:p>
    <w:p>
      <w:pPr>
        <w:spacing w:after="0" w:line="248" w:lineRule="exact"/>
        <w:rPr>
          <w:rFonts w:ascii="Arial" w:cs="Arial" w:eastAsia="Arial" w:hAnsi="Arial"/>
          <w:sz w:val="16"/>
          <w:szCs w:val="16"/>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dividends on common stock of $107 million were paid in 2018 compared to $97 million paid in 2017;</w:t>
      </w:r>
    </w:p>
    <w:p>
      <w:pPr>
        <w:spacing w:after="0" w:line="225"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outflows for other financing activities increased by approximately $4.3 million driven primarily by higher financing costs incurred in the July 30, 2018 and August 17, 2018 debt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$108 million higher than in 2016. The variance to the prior year was primarily attributable to:</w:t>
      </w:r>
    </w:p>
    <w:p>
      <w:pPr>
        <w:spacing w:after="0" w:line="225" w:lineRule="exact"/>
        <w:rPr>
          <w:sz w:val="20"/>
          <w:szCs w:val="20"/>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$68 million higher than prior year;</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outflow from operating assets and liabilities was $16 million lower than prior year, primarily attributable to:</w:t>
      </w:r>
    </w:p>
    <w:p>
      <w:pPr>
        <w:spacing w:after="0" w:line="225" w:lineRule="exact"/>
        <w:rPr>
          <w:rFonts w:ascii="Arial" w:cs="Arial" w:eastAsia="Arial" w:hAnsi="Arial"/>
          <w:sz w:val="18"/>
          <w:szCs w:val="18"/>
          <w:color w:val="auto"/>
        </w:rPr>
      </w:pPr>
    </w:p>
    <w:p>
      <w:pPr>
        <w:ind w:left="900" w:right="260" w:hanging="244"/>
        <w:spacing w:after="0" w:line="277" w:lineRule="auto"/>
        <w:tabs>
          <w:tab w:leader="none" w:pos="900" w:val="left"/>
        </w:tabs>
        <w:numPr>
          <w:ilvl w:val="1"/>
          <w:numId w:val="68"/>
        </w:numPr>
        <w:rPr>
          <w:rFonts w:ascii="Arial" w:cs="Arial" w:eastAsia="Arial" w:hAnsi="Arial"/>
          <w:sz w:val="16"/>
          <w:szCs w:val="16"/>
          <w:color w:val="auto"/>
        </w:rPr>
      </w:pPr>
      <w:r>
        <w:rPr>
          <w:rFonts w:ascii="Arial" w:cs="Arial" w:eastAsia="Arial" w:hAnsi="Arial"/>
          <w:sz w:val="18"/>
          <w:szCs w:val="18"/>
          <w:color w:val="auto"/>
        </w:rPr>
        <w:t>Cash outflows decreased by approximately $4.8 million as a result of changes in accounts payable and accrued liabilities driven by changes in working capital requirements;</w:t>
      </w:r>
    </w:p>
    <w:p>
      <w:pPr>
        <w:spacing w:after="0" w:line="170" w:lineRule="exact"/>
        <w:rPr>
          <w:rFonts w:ascii="Arial" w:cs="Arial" w:eastAsia="Arial" w:hAnsi="Arial"/>
          <w:sz w:val="16"/>
          <w:szCs w:val="16"/>
          <w:color w:val="auto"/>
        </w:rPr>
      </w:pPr>
    </w:p>
    <w:p>
      <w:pPr>
        <w:ind w:left="900" w:hanging="244"/>
        <w:spacing w:after="0" w:line="277"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Cash outflows decreased by approximately $20 million compared to the prior year as a result of lower accounts receivable due to warmer weather partially offset by higher natural gas inventory; and</w:t>
      </w:r>
    </w:p>
    <w:p>
      <w:pPr>
        <w:spacing w:after="0" w:line="143" w:lineRule="exact"/>
        <w:rPr>
          <w:rFonts w:ascii="Arial" w:cs="Arial" w:eastAsia="Arial" w:hAnsi="Arial"/>
          <w:sz w:val="18"/>
          <w:szCs w:val="18"/>
          <w:color w:val="auto"/>
        </w:rPr>
      </w:pPr>
    </w:p>
    <w:p>
      <w:pPr>
        <w:ind w:left="900" w:right="180" w:hanging="244"/>
        <w:spacing w:after="0" w:line="308" w:lineRule="auto"/>
        <w:tabs>
          <w:tab w:leader="none" w:pos="9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Cash outflows increased by approximately $9.5 million primarily as a result of changes in our current regulatory assets and liabilities driven by differences in fuel cost adjustments and commodity price impacts compared to the same period in the prior year;</w:t>
      </w:r>
    </w:p>
    <w:p>
      <w:pPr>
        <w:spacing w:after="0" w:line="146" w:lineRule="exact"/>
        <w:rPr>
          <w:rFonts w:ascii="Arial" w:cs="Arial" w:eastAsia="Arial" w:hAnsi="Arial"/>
          <w:sz w:val="17"/>
          <w:szCs w:val="17"/>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outflows decreased by approximately $29 million as a result of interest rate swap settlements;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outflows increased by approximately $14 million due to additional pension contributions made in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outflows increased approximately $7.8 million for other operating activities compared to the prior year;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inflows decreased approximately $17 million due to operating activities of discontinued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58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was $317 million in 2017, compared to net cash used in investing activities of $1.6 billion in 2016 for a variance of $1.3 billion. This variance was primarily due to:</w:t>
      </w:r>
    </w:p>
    <w:p>
      <w:pPr>
        <w:spacing w:after="0" w:line="170" w:lineRule="exact"/>
        <w:rPr>
          <w:sz w:val="20"/>
          <w:szCs w:val="20"/>
          <w:color w:val="auto"/>
        </w:rPr>
      </w:pPr>
    </w:p>
    <w:p>
      <w:pPr>
        <w:ind w:left="500" w:right="40" w:hanging="330"/>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2016 cash outflows included approximately $1.1 billion for the acquisition of SourceGas, net of $760 million long-term debt assumed (see Note 2 in Item 8 of Part II of this Annual Report on Form 10-K);</w:t>
      </w:r>
    </w:p>
    <w:p>
      <w:pPr>
        <w:spacing w:after="0" w:line="170" w:lineRule="exact"/>
        <w:rPr>
          <w:rFonts w:ascii="Arial" w:cs="Arial" w:eastAsia="Arial" w:hAnsi="Arial"/>
          <w:sz w:val="18"/>
          <w:szCs w:val="18"/>
          <w:color w:val="auto"/>
        </w:rPr>
      </w:pPr>
    </w:p>
    <w:p>
      <w:pPr>
        <w:ind w:left="500" w:right="280" w:hanging="330"/>
        <w:spacing w:after="0" w:line="308"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Capital expenditures of approximately $326 million in 2017 compared to $455 million in 2016. The $129 million variance to the prior year was due primarily to higher prior year capital expenditures at our Electric Utilities from generation investments at Colorado Electric; and</w:t>
      </w:r>
    </w:p>
    <w:p>
      <w:pPr>
        <w:spacing w:after="0" w:line="146" w:lineRule="exact"/>
        <w:rPr>
          <w:rFonts w:ascii="Arial" w:cs="Arial" w:eastAsia="Arial" w:hAnsi="Arial"/>
          <w:sz w:val="17"/>
          <w:szCs w:val="17"/>
          <w:color w:val="auto"/>
        </w:rPr>
      </w:pPr>
    </w:p>
    <w:p>
      <w:pPr>
        <w:ind w:left="500" w:hanging="330"/>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Cash inflows increased approximately $16 million due to investing activities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$109 million in 2017, an increase of $950 million from 2016 primarily due to the following:</w:t>
      </w:r>
    </w:p>
    <w:p>
      <w:pPr>
        <w:spacing w:after="0" w:line="225" w:lineRule="exact"/>
        <w:rPr>
          <w:sz w:val="20"/>
          <w:szCs w:val="20"/>
          <w:color w:val="auto"/>
        </w:rPr>
      </w:pPr>
    </w:p>
    <w:p>
      <w:pPr>
        <w:ind w:left="500" w:right="80" w:hanging="330"/>
        <w:spacing w:after="0" w:line="259"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Long-term borrowings decreased by $1.8 billion due to the 2016 financings which consisted of $693 million of net proceeds from the August 19, 2016 public debt offering used to refinance the debt assumed in the SourceGas Acquisition, $500 million of proceeds from the August 9, 2016 term loan, $546 million of net proceeds from our January 13, 2016 public debt offering used to partially finance the SourceGas Acquisition and proceeds from a $29 million term loan used to fund the early settlement of a gas gathering contract;</w:t>
      </w:r>
    </w:p>
    <w:p>
      <w:pPr>
        <w:spacing w:after="0" w:line="186" w:lineRule="exact"/>
        <w:rPr>
          <w:rFonts w:ascii="Arial" w:cs="Arial" w:eastAsia="Arial" w:hAnsi="Arial"/>
          <w:sz w:val="18"/>
          <w:szCs w:val="18"/>
          <w:color w:val="auto"/>
        </w:rPr>
      </w:pPr>
    </w:p>
    <w:p>
      <w:pPr>
        <w:ind w:left="500" w:right="200" w:hanging="330"/>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Payments on long-term debt decreased by $1.1 billion due to the 2016 refinancing of the $760 million of long-term debt assumed in the SourceGas Acquisition and lower current year payments on term loans, $106 million paid on term loans in 2017 compared to $400 million paid on term loans in 2016;</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Proceeds of $216 million from the sale of a 49.9% noncontrolling interest of Black Hills Colorado IPP that took place in 2016 (see Note 12 in Item 8 of Part II of this Annual Report on Form 10-K);</w:t>
      </w:r>
    </w:p>
    <w:p>
      <w:pPr>
        <w:spacing w:after="0" w:line="170"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Proceeds from common stock issuances decreased by $117 million primarily from issuing common stock under our ATM equity offering program in 2016;</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short-term borrowings increased by $95 million primarily due to CP borrowings used to pay down long-term debt;</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Cash dividends on common stock of $97 million were paid in 2017 compared to $88 million paid in 2016;</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2017, distributions to noncontrolling interests increased by $8.8 million compared to 2016; and</w:t>
      </w:r>
    </w:p>
    <w:p>
      <w:pPr>
        <w:spacing w:after="0" w:line="225" w:lineRule="exact"/>
        <w:rPr>
          <w:rFonts w:ascii="Arial" w:cs="Arial" w:eastAsia="Arial" w:hAnsi="Arial"/>
          <w:sz w:val="18"/>
          <w:szCs w:val="18"/>
          <w:color w:val="auto"/>
        </w:rPr>
      </w:pPr>
    </w:p>
    <w:p>
      <w:pPr>
        <w:ind w:left="500" w:right="360" w:hanging="330"/>
        <w:spacing w:after="0" w:line="30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Cash outflows for other financing activities decreased by approximately $16 million driven primarily by higher financing costs from the 2016 debt offerings and refinancings compared to a payment of $5.6 million for a redeemable noncontrolling interest in March 2017.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Capital expenditures are a substantial portion of our cash requirements each year and we continue to forecast a robust capital expenditure program during the next four years. See Key Elements of our Business Strategy above in Item 7 - Management’s Discussion and Analysis of Financial Condition and Results of Operations for forecasted capital expenditure requirements.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Historically, a significant portion of our capital expenditures relate primarily to assets that may be included in utility rate base, and if considered prudent by regulators, can be recovered from our utility customers. Those capital expenditures also earn a rate of return authorized by the commissions in the jurisdictions in which we operate and are subject to rate agreements. During 2018, our Electric Utilities’ capital expenditures included improvements to generating stations, transmission and distribution lines. Capital expenditures associated with our Gas Utilities are primarily to improve or expand the existing gas distribution network. In 2018, we also added renewable generation at our Power Generation segment, and upgraded equipment at our Mining segment. We believe that cash generated from operations, borrowings on our CP Program and Revolving Credit Facility, and equity issuances under our ATM equity offering program, if necessary, will be adequate to fund ongoing capital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capital requirements for the three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 xml:space="preserve">Property additions: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Electric Utilities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152,524</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138,060</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258,739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288,438</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184,389</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173,930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Power Generation</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30,945</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1,864</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18,794</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6,708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11,723</w:t>
            </w:r>
          </w:p>
        </w:tc>
        <w:tc>
          <w:tcPr>
            <w:tcW w:w="3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6,668</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17,353</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Capital expenditures before discontinued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502,424</w:t>
            </w: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337,689</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460,450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2,402</w:t>
            </w:r>
          </w:p>
        </w:tc>
        <w:tc>
          <w:tcPr>
            <w:tcW w:w="3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23,222</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504,826</w:t>
            </w: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360,911</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467,119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Common stock dividends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106,591</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96,744</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87,570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Maturities/redemptions of long-term debt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854,743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105,743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1,164,308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requirements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1,466,160</w:t>
            </w:r>
          </w:p>
        </w:tc>
        <w:tc>
          <w:tcPr>
            <w:tcW w:w="3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563,398</w:t>
            </w:r>
          </w:p>
        </w:tc>
        <w:tc>
          <w:tcPr>
            <w:tcW w:w="34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1,718,997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accruals for property, plant and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AND COUNTERPARTIES</w:t>
      </w: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the Company’s ability to maintain or expand its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9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 represents the credit ratings, outlook and risk profile of BHC at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ind w:left="1360"/>
              <w:spacing w:after="0"/>
              <w:rPr>
                <w:sz w:val="20"/>
                <w:szCs w:val="20"/>
                <w:color w:val="auto"/>
              </w:rPr>
            </w:pPr>
            <w:r>
              <w:rPr>
                <w:rFonts w:ascii="Arial" w:cs="Arial" w:eastAsia="Arial" w:hAnsi="Arial"/>
                <w:sz w:val="18"/>
                <w:szCs w:val="18"/>
                <w:b w:val="1"/>
                <w:bCs w:val="1"/>
                <w:color w:val="auto"/>
              </w:rPr>
              <w:t>Rating Agency</w:t>
            </w:r>
          </w:p>
        </w:tc>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9"/>
              </w:rPr>
              <w:t>Senior Unsecured Rating</w:t>
            </w:r>
          </w:p>
        </w:tc>
        <w:tc>
          <w:tcPr>
            <w:tcW w:w="3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6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43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8"/>
              </w:rPr>
              <w:t>BBB+</w:t>
            </w:r>
          </w:p>
        </w:tc>
        <w:tc>
          <w:tcPr>
            <w:tcW w:w="344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4320" w:type="dxa"/>
            <w:vAlign w:val="bottom"/>
          </w:tcPr>
          <w:p>
            <w:pPr>
              <w:jc w:val="center"/>
              <w:spacing w:after="0"/>
              <w:rPr>
                <w:sz w:val="20"/>
                <w:szCs w:val="20"/>
                <w:color w:val="auto"/>
              </w:rPr>
            </w:pPr>
            <w:r>
              <w:rPr>
                <w:rFonts w:ascii="Arial" w:cs="Arial" w:eastAsia="Arial" w:hAnsi="Arial"/>
                <w:sz w:val="18"/>
                <w:szCs w:val="18"/>
                <w:color w:val="auto"/>
                <w:w w:val="85"/>
              </w:rPr>
              <w:t>Baa2</w:t>
            </w:r>
          </w:p>
        </w:tc>
        <w:tc>
          <w:tcPr>
            <w:tcW w:w="3440" w:type="dxa"/>
            <w:vAlign w:val="bottom"/>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43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8"/>
              </w:rPr>
              <w:t>BBB+</w:t>
            </w:r>
          </w:p>
        </w:tc>
        <w:tc>
          <w:tcPr>
            <w:tcW w:w="344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2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__________</w:t>
            </w:r>
          </w:p>
        </w:tc>
        <w:tc>
          <w:tcPr>
            <w:tcW w:w="4320" w:type="dxa"/>
            <w:vAlign w:val="bottom"/>
          </w:tcPr>
          <w:p>
            <w:pPr>
              <w:spacing w:after="0"/>
              <w:rPr>
                <w:sz w:val="19"/>
                <w:szCs w:val="19"/>
                <w:color w:val="auto"/>
              </w:rPr>
            </w:pPr>
          </w:p>
        </w:tc>
        <w:tc>
          <w:tcPr>
            <w:tcW w:w="3440" w:type="dxa"/>
            <w:vAlign w:val="bottom"/>
          </w:tcPr>
          <w:p>
            <w:pPr>
              <w:spacing w:after="0"/>
              <w:rPr>
                <w:sz w:val="19"/>
                <w:szCs w:val="19"/>
                <w:color w:val="auto"/>
              </w:rPr>
            </w:pPr>
          </w:p>
        </w:tc>
      </w:tr>
    </w:tbl>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August 9, 2018, S&amp;P upgraded to BBB+ rating and revised the outlook to Stable.</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December 12, 2018, Moody's affirmed Baa2 rating and maintained a Stable outlook</w:t>
      </w:r>
      <w:r>
        <w:rPr>
          <w:rFonts w:ascii="Arial" w:cs="Arial" w:eastAsia="Arial" w:hAnsi="Arial"/>
          <w:sz w:val="18"/>
          <w:szCs w:val="18"/>
          <w:color w:val="auto"/>
        </w:rPr>
        <w: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October 11, 2018, Fitch affirmed BBB+ rating and maintained a Stable outlook.</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of our fees and our interest rates under various bank credit agreements are based on our credit ratings at all three rating agencies. If all of our ratings are at the same level, or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downgraded our senior unsecured debt, we will be required to pay higher fees and interest rates under these bank credit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w w:val="95"/>
              </w:rPr>
              <w:t>The following table represents the credit ratings of South Dakota Electric at December 31, 2018:</w:t>
            </w:r>
          </w:p>
        </w:tc>
        <w:tc>
          <w:tcPr>
            <w:tcW w:w="40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320" w:type="dxa"/>
            <w:vAlign w:val="bottom"/>
          </w:tcPr>
          <w:p>
            <w:pPr>
              <w:ind w:left="2280"/>
              <w:spacing w:after="0"/>
              <w:rPr>
                <w:sz w:val="20"/>
                <w:szCs w:val="20"/>
                <w:color w:val="auto"/>
              </w:rPr>
            </w:pPr>
            <w:r>
              <w:rPr>
                <w:rFonts w:ascii="Arial" w:cs="Arial" w:eastAsia="Arial" w:hAnsi="Arial"/>
                <w:sz w:val="18"/>
                <w:szCs w:val="18"/>
                <w:b w:val="1"/>
                <w:bCs w:val="1"/>
                <w:color w:val="auto"/>
              </w:rPr>
              <w:t>Rating Agency</w:t>
            </w:r>
          </w:p>
        </w:tc>
        <w:tc>
          <w:tcPr>
            <w:tcW w:w="40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20" w:type="dxa"/>
            <w:vAlign w:val="bottom"/>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32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4080" w:type="dxa"/>
            <w:vAlign w:val="bottom"/>
            <w:shd w:val="clear" w:color="auto" w:fill="CEFFE7"/>
          </w:tcPr>
          <w:p>
            <w:pPr>
              <w:jc w:val="center"/>
              <w:ind w:right="1550"/>
              <w:spacing w:after="0"/>
              <w:rPr>
                <w:sz w:val="20"/>
                <w:szCs w:val="20"/>
                <w:color w:val="auto"/>
              </w:rPr>
            </w:pPr>
            <w:r>
              <w:rPr>
                <w:rFonts w:ascii="Arial" w:cs="Arial" w:eastAsia="Arial" w:hAnsi="Arial"/>
                <w:sz w:val="18"/>
                <w:szCs w:val="18"/>
                <w:color w:val="auto"/>
                <w:w w:val="99"/>
              </w:rPr>
              <w:t>A</w:t>
            </w:r>
          </w:p>
        </w:tc>
      </w:tr>
      <w:tr>
        <w:trPr>
          <w:trHeight w:val="270"/>
        </w:trPr>
        <w:tc>
          <w:tcPr>
            <w:tcW w:w="20" w:type="dxa"/>
            <w:vAlign w:val="bottom"/>
          </w:tcPr>
          <w:p>
            <w:pPr>
              <w:spacing w:after="0"/>
              <w:rPr>
                <w:sz w:val="23"/>
                <w:szCs w:val="23"/>
                <w:color w:val="auto"/>
              </w:rPr>
            </w:pPr>
          </w:p>
        </w:tc>
        <w:tc>
          <w:tcPr>
            <w:tcW w:w="7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4080" w:type="dxa"/>
            <w:vAlign w:val="bottom"/>
          </w:tcPr>
          <w:p>
            <w:pPr>
              <w:jc w:val="center"/>
              <w:ind w:right="1530"/>
              <w:spacing w:after="0"/>
              <w:rPr>
                <w:sz w:val="20"/>
                <w:szCs w:val="20"/>
                <w:color w:val="auto"/>
              </w:rPr>
            </w:pPr>
            <w:r>
              <w:rPr>
                <w:rFonts w:ascii="Arial" w:cs="Arial" w:eastAsia="Arial" w:hAnsi="Arial"/>
                <w:sz w:val="18"/>
                <w:szCs w:val="18"/>
                <w:color w:val="auto"/>
                <w:w w:val="99"/>
              </w:rPr>
              <w:t>A1</w:t>
            </w:r>
          </w:p>
        </w:tc>
      </w:tr>
      <w:tr>
        <w:trPr>
          <w:trHeight w:val="270"/>
        </w:trPr>
        <w:tc>
          <w:tcPr>
            <w:tcW w:w="20" w:type="dxa"/>
            <w:vAlign w:val="bottom"/>
          </w:tcPr>
          <w:p>
            <w:pPr>
              <w:spacing w:after="0"/>
              <w:rPr>
                <w:sz w:val="23"/>
                <w:szCs w:val="23"/>
                <w:color w:val="auto"/>
              </w:rPr>
            </w:pPr>
          </w:p>
        </w:tc>
        <w:tc>
          <w:tcPr>
            <w:tcW w:w="732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4080" w:type="dxa"/>
            <w:vAlign w:val="bottom"/>
            <w:shd w:val="clear" w:color="auto" w:fill="CEFFE7"/>
          </w:tcPr>
          <w:p>
            <w:pPr>
              <w:jc w:val="center"/>
              <w:ind w:right="1550"/>
              <w:spacing w:after="0"/>
              <w:rPr>
                <w:sz w:val="20"/>
                <w:szCs w:val="20"/>
                <w:color w:val="auto"/>
              </w:rPr>
            </w:pPr>
            <w:r>
              <w:rPr>
                <w:rFonts w:ascii="Arial" w:cs="Arial" w:eastAsia="Arial" w:hAnsi="Arial"/>
                <w:sz w:val="18"/>
                <w:szCs w:val="18"/>
                <w:color w:val="auto"/>
                <w:w w:val="99"/>
              </w:rPr>
              <w:t>A</w:t>
            </w:r>
          </w:p>
        </w:tc>
      </w:tr>
      <w:tr>
        <w:trPr>
          <w:trHeight w:val="22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__________</w:t>
            </w:r>
          </w:p>
        </w:tc>
        <w:tc>
          <w:tcPr>
            <w:tcW w:w="4080" w:type="dxa"/>
            <w:vAlign w:val="bottom"/>
          </w:tcPr>
          <w:p>
            <w:pPr>
              <w:spacing w:after="0"/>
              <w:rPr>
                <w:sz w:val="19"/>
                <w:szCs w:val="19"/>
                <w:color w:val="auto"/>
              </w:rPr>
            </w:pPr>
          </w:p>
        </w:tc>
      </w:tr>
    </w:tbl>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August 9, 2018, S&amp;P upgraded to A rating.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December 12, 2018, Moody’s affirmed A1 rating.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October 11, 2018, Fitch affirmed A rating.</w:t>
      </w:r>
    </w:p>
    <w:p>
      <w:pPr>
        <w:spacing w:after="0" w:line="20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 or other trigger events.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our capital expenditure programs, we have contractual obligations and other commitments that will need to be funded in the future. The following information summarizes our cash obligations and commercial commitments at December 31, 2018. Actual future obligations may differ materially from these estimated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Payments Due by Period</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0"/>
              </w:rPr>
              <w:t>Less Than</w:t>
            </w:r>
          </w:p>
        </w:tc>
        <w:tc>
          <w:tcPr>
            <w:tcW w:w="3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After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 Year</w:t>
            </w:r>
          </w:p>
        </w:tc>
        <w:tc>
          <w:tcPr>
            <w:tcW w:w="3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Years</w:t>
            </w:r>
          </w:p>
        </w:tc>
        <w:tc>
          <w:tcPr>
            <w:tcW w:w="3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w w:val="97"/>
              </w:rPr>
              <w:t>Years</w:t>
            </w:r>
          </w:p>
        </w:tc>
        <w:tc>
          <w:tcPr>
            <w:tcW w:w="2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(a)(b)</w:t>
            </w:r>
          </w:p>
        </w:tc>
        <w:tc>
          <w:tcPr>
            <w:tcW w:w="30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2,982,776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5,743</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514,178</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525,000</w:t>
            </w:r>
          </w:p>
        </w:tc>
        <w:tc>
          <w:tcPr>
            <w:tcW w:w="2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1,937,855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0"/>
              <w:spacing w:after="0" w:line="270" w:lineRule="exact"/>
              <w:rPr>
                <w:sz w:val="20"/>
                <w:szCs w:val="20"/>
                <w:color w:val="auto"/>
              </w:rPr>
            </w:pPr>
            <w:r>
              <w:rPr>
                <w:rFonts w:ascii="Arial" w:cs="Arial" w:eastAsia="Arial" w:hAnsi="Arial"/>
                <w:sz w:val="18"/>
                <w:szCs w:val="18"/>
                <w:color w:val="auto"/>
              </w:rPr>
              <w:t>Unconditional purchase obligations</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737,507</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151,110</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259,073</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178,961</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148,363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(d)</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4,076</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1,052</w:t>
            </w:r>
          </w:p>
        </w:tc>
        <w:tc>
          <w:tcPr>
            <w:tcW w:w="3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808</w:t>
            </w:r>
          </w:p>
        </w:tc>
        <w:tc>
          <w:tcPr>
            <w:tcW w:w="32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0"/>
              <w:spacing w:after="0" w:line="27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5"/>
                <w:szCs w:val="25"/>
                <w:color w:val="auto"/>
                <w:vertAlign w:val="superscript"/>
              </w:rPr>
              <w:t>(e)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56,800</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Employee benefit plans</w:t>
            </w:r>
            <w:r>
              <w:rPr>
                <w:rFonts w:ascii="Arial" w:cs="Arial" w:eastAsia="Arial" w:hAnsi="Arial"/>
                <w:sz w:val="25"/>
                <w:szCs w:val="25"/>
                <w:color w:val="auto"/>
                <w:vertAlign w:val="superscript"/>
              </w:rPr>
              <w:t>(f)</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138,510</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18,144</w:t>
            </w:r>
          </w:p>
        </w:tc>
        <w:tc>
          <w:tcPr>
            <w:tcW w:w="3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56,684</w:t>
            </w:r>
          </w:p>
        </w:tc>
        <w:tc>
          <w:tcPr>
            <w:tcW w:w="32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38,315</w:t>
            </w:r>
          </w:p>
        </w:tc>
        <w:tc>
          <w:tcPr>
            <w:tcW w:w="2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w w:val="96"/>
              </w:rPr>
              <w:t>Liability for unrecognized tax benefits in accordance with accounting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guidance for uncertain tax positions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 Program</w:t>
            </w:r>
          </w:p>
        </w:tc>
        <w:tc>
          <w:tcPr>
            <w:tcW w:w="3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(g)</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4,108,872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361,669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830,743</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742,716</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2,173,744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jc w:val="right"/>
              <w:ind w:right="4290"/>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Long-term debt amounts do not include discounts or premiums on debt.</w:t>
      </w:r>
    </w:p>
    <w:p>
      <w:pPr>
        <w:spacing w:after="0" w:line="9"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following amounts are estimated for interest payments over the next five years which are not included within the long-term debt balances presented: $130 million in 2019, $126 million in 2020, $108 million in 2021, $108 million in 2022 and $102 million in 2023. Estimated interest payments on variable rate debt are calculated by utilizing the applicable rates as of December 31, 2018.</w:t>
      </w:r>
    </w:p>
    <w:p>
      <w:pPr>
        <w:spacing w:after="0" w:line="1" w:lineRule="exact"/>
        <w:rPr>
          <w:rFonts w:ascii="Arial" w:cs="Arial" w:eastAsia="Arial" w:hAnsi="Arial"/>
          <w:sz w:val="16"/>
          <w:szCs w:val="16"/>
          <w:color w:val="auto"/>
        </w:rPr>
      </w:pPr>
    </w:p>
    <w:p>
      <w:pPr>
        <w:ind w:left="340" w:right="100" w:hanging="332"/>
        <w:spacing w:after="0" w:line="263" w:lineRule="auto"/>
        <w:tabs>
          <w:tab w:leader="none" w:pos="3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Unconditional purchase obligations include the energy and capacity costs associated with our PPAs, capacity and certain transmission, gas transportation and storage agreements. The energy charges under the PPAs are variable costs, which for purposes of estimating our future obligations, were based on costs incurred during 2018 and price assumptions using existing prices at December 31, 2018. Our transmission obligations are based on filed tariffs as of December 31, 2018.</w:t>
      </w: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operating leases associated with several office buildings, warehouses and call centers, equipment and vehicles.</w:t>
      </w:r>
    </w:p>
    <w:p>
      <w:pPr>
        <w:spacing w:after="0" w:line="5" w:lineRule="exact"/>
        <w:rPr>
          <w:rFonts w:ascii="Arial" w:cs="Arial" w:eastAsia="Arial" w:hAnsi="Arial"/>
          <w:sz w:val="16"/>
          <w:szCs w:val="16"/>
          <w:color w:val="auto"/>
        </w:rPr>
      </w:pPr>
    </w:p>
    <w:p>
      <w:pPr>
        <w:ind w:left="340" w:right="840" w:hanging="332"/>
        <w:spacing w:after="0" w:line="24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estimated asset retirement obligations associated with our Electric Utilities, Gas Utilities and Mining segments as discussed in Note 8 of the Notes to Consolidated Financial Statements in this Annual Report on Form 10-K.</w:t>
      </w:r>
    </w:p>
    <w:p>
      <w:pPr>
        <w:ind w:left="340" w:right="460" w:hanging="332"/>
        <w:spacing w:after="0" w:line="24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both estimated employer contributions to Defined Benefit Pension Plan and payments to employees for the Non-Pension Defined Benefit Postretirement Healthcare Plans and the Supplemental Non-Qualified Defined Benefit Plans through the year 2028.</w:t>
      </w:r>
    </w:p>
    <w:p>
      <w:pPr>
        <w:ind w:left="340" w:right="220" w:hanging="332"/>
        <w:spacing w:after="0" w:line="250"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in the table exclude: (1) any obligation that may arise from our derivatives, including commodity related contracts that have a negative fair value at December 31, 2018. These amounts have been excluded as it is impractical to reasonably estimate the final amount and/or timing of any associated payments; and (2) a portion of our gas purchases are hedged. These hedges are in place to reduce our customers' underlying exposure to commodity price fluctuations. The impact of these hedges is not included in the above table.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Our Gas Utility segment has commitments to purchase physical quantities of natural gas under contracts indexed to various forward natural gas price curves.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addition, a portion of our gas purchases are purchased under evergreen contracts and therefore, for purposes of this disclosure, are carried out for 60 days.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we are committed to purchase 10.2 million MMBtu, 3.7 million MMBtu, 3.7 million MMBtu, 1.8 million MMBtu and 0.0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MMBtu in each of the years from 2019 to 2023,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Off-Balance Sheet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entered into various off-balance sheet commitments in the form of guarantees and letters of credit. We provide various guarantees supporting certain of our subsidiaries under specified agreements or transactions. At December 31, 2018, we had outstanding guarantees as indicated in the table below. For more information on these guarantees, see Note 20 of the Notes to Consolidated Financial Statements in this Annual Report on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We had the following guarantees in place (in thousands):</w:t>
            </w: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Outstanding at</w:t>
            </w:r>
          </w:p>
        </w:tc>
        <w:tc>
          <w:tcPr>
            <w:tcW w:w="2260" w:type="dxa"/>
            <w:vAlign w:val="bottom"/>
          </w:tcPr>
          <w:p>
            <w:pPr>
              <w:jc w:val="center"/>
              <w:spacing w:after="0"/>
              <w:rPr>
                <w:sz w:val="20"/>
                <w:szCs w:val="20"/>
                <w:color w:val="auto"/>
              </w:rPr>
            </w:pPr>
            <w:r>
              <w:rPr>
                <w:rFonts w:ascii="Arial" w:cs="Arial" w:eastAsia="Arial" w:hAnsi="Arial"/>
                <w:sz w:val="18"/>
                <w:szCs w:val="18"/>
                <w:color w:val="auto"/>
                <w:w w:val="84"/>
              </w:rPr>
              <w:t>Year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Nature of Guarantee</w:t>
            </w:r>
          </w:p>
        </w:tc>
        <w:tc>
          <w:tcPr>
            <w:tcW w:w="280" w:type="dxa"/>
            <w:vAlign w:val="bottom"/>
          </w:tcPr>
          <w:p>
            <w:pPr>
              <w:spacing w:after="0"/>
              <w:rPr>
                <w:sz w:val="19"/>
                <w:szCs w:val="19"/>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color w:val="auto"/>
                <w:w w:val="98"/>
              </w:rPr>
              <w:t>December 31,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Expiring</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80" w:type="dxa"/>
            <w:vAlign w:val="bottom"/>
            <w:tcBorders>
              <w:top w:val="single" w:sz="8" w:color="auto"/>
              <w:bottom w:val="single" w:sz="8" w:color="CEFFE7"/>
            </w:tcBorders>
          </w:tcPr>
          <w:p>
            <w:pPr>
              <w:spacing w:after="0"/>
              <w:rPr>
                <w:sz w:val="4"/>
                <w:szCs w:val="4"/>
                <w:color w:val="auto"/>
              </w:rPr>
            </w:pPr>
          </w:p>
        </w:tc>
        <w:tc>
          <w:tcPr>
            <w:tcW w:w="5340" w:type="dxa"/>
            <w:vAlign w:val="bottom"/>
            <w:tcBorders>
              <w:bottom w:val="single" w:sz="8" w:color="CEFFE7"/>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EFFE7"/>
            </w:tcBorders>
          </w:tcPr>
          <w:p>
            <w:pPr>
              <w:spacing w:after="0"/>
              <w:rPr>
                <w:sz w:val="22"/>
                <w:szCs w:val="22"/>
                <w:color w:val="auto"/>
              </w:rPr>
            </w:pPr>
          </w:p>
        </w:tc>
        <w:tc>
          <w:tcPr>
            <w:tcW w:w="6820" w:type="dxa"/>
            <w:vAlign w:val="bottom"/>
            <w:gridSpan w:val="2"/>
            <w:shd w:val="clear" w:color="auto" w:fill="CEFFE7"/>
          </w:tcPr>
          <w:p>
            <w:pPr>
              <w:spacing w:after="0" w:line="264" w:lineRule="exact"/>
              <w:rPr>
                <w:sz w:val="20"/>
                <w:szCs w:val="20"/>
                <w:color w:val="auto"/>
              </w:rPr>
            </w:pPr>
            <w:r>
              <w:rPr>
                <w:rFonts w:ascii="Arial" w:cs="Arial" w:eastAsia="Arial" w:hAnsi="Arial"/>
                <w:sz w:val="18"/>
                <w:szCs w:val="18"/>
                <w:color w:val="auto"/>
              </w:rPr>
              <w:t xml:space="preserve">Indemnification for subsidiary reclamation/surety bonds </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54,683</w:t>
            </w:r>
          </w:p>
        </w:tc>
        <w:tc>
          <w:tcPr>
            <w:tcW w:w="2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EFFE7"/>
            </w:tcBorders>
            <w:gridSpan w:val="2"/>
          </w:tcPr>
          <w:p>
            <w:pPr>
              <w:spacing w:after="0" w:line="270" w:lineRule="exact"/>
              <w:rPr>
                <w:sz w:val="20"/>
                <w:szCs w:val="20"/>
                <w:color w:val="auto"/>
              </w:rPr>
            </w:pPr>
            <w:r>
              <w:rPr>
                <w:rFonts w:ascii="Arial" w:cs="Arial" w:eastAsia="Arial" w:hAnsi="Arial"/>
                <w:sz w:val="18"/>
                <w:szCs w:val="18"/>
                <w:color w:val="auto"/>
              </w:rPr>
              <w:t xml:space="preserve">Contract performance guarantee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39,807</w:t>
            </w:r>
          </w:p>
        </w:tc>
        <w:tc>
          <w:tcPr>
            <w:tcW w:w="22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December 2019</w:t>
            </w:r>
          </w:p>
        </w:tc>
        <w:tc>
          <w:tcPr>
            <w:tcW w:w="0" w:type="dxa"/>
            <w:vAlign w:val="bottom"/>
          </w:tcPr>
          <w:p>
            <w:pPr>
              <w:spacing w:after="0"/>
              <w:rPr>
                <w:sz w:val="1"/>
                <w:szCs w:val="1"/>
                <w:color w:val="auto"/>
              </w:rPr>
            </w:pPr>
          </w:p>
        </w:tc>
      </w:tr>
      <w:tr>
        <w:trPr>
          <w:trHeight w:val="244"/>
        </w:trPr>
        <w:tc>
          <w:tcPr>
            <w:tcW w:w="40" w:type="dxa"/>
            <w:vAlign w:val="bottom"/>
            <w:tcBorders>
              <w:right w:val="single" w:sz="8" w:color="CEFFE7"/>
            </w:tcBorders>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5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94,490</w:t>
            </w:r>
          </w:p>
        </w:tc>
        <w:tc>
          <w:tcPr>
            <w:tcW w:w="2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1480" w:type="dxa"/>
            <w:vAlign w:val="bottom"/>
            <w:shd w:val="clear" w:color="auto" w:fill="CEFFE7"/>
          </w:tcPr>
          <w:p>
            <w:pPr>
              <w:spacing w:after="0" w:line="20" w:lineRule="exact"/>
              <w:rPr>
                <w:sz w:val="1"/>
                <w:szCs w:val="1"/>
                <w:color w:val="auto"/>
              </w:rPr>
            </w:pPr>
          </w:p>
        </w:tc>
        <w:tc>
          <w:tcPr>
            <w:tcW w:w="5340" w:type="dxa"/>
            <w:vAlign w:val="bottom"/>
            <w:shd w:val="clear" w:color="auto" w:fill="CEFFE7"/>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60" w:type="dxa"/>
            <w:vAlign w:val="bottom"/>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65" w:lineRule="auto"/>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have guarantees in place for reclamation and surety bonds for our subsidiaries. The guarantees were entered into in the normal course of business. To the extent liabilities are incurred as a result of activities covered by the surety bonds, such liabilities are included in our Consolidated Balance Sheets.</w:t>
      </w:r>
    </w:p>
    <w:p>
      <w:pPr>
        <w:spacing w:after="0" w:line="1" w:lineRule="exact"/>
        <w:rPr>
          <w:rFonts w:ascii="Arial" w:cs="Arial" w:eastAsia="Arial" w:hAnsi="Arial"/>
          <w:sz w:val="15"/>
          <w:szCs w:val="15"/>
          <w:color w:val="auto"/>
        </w:rPr>
      </w:pPr>
    </w:p>
    <w:p>
      <w:pPr>
        <w:ind w:left="340" w:right="60" w:hanging="332"/>
        <w:spacing w:after="0" w:line="25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BHC has guaranteed the full and complete payment and performance on behalf of Black Hills Electric Generation for construction of the Busch Ranch II Wind Farm. The guarantee terminates when BHC or Black Hills Electric Generation has paid for and performed all guaranteed obligations. The guarantee decreases as progress payments are made.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Letters of credit reduce the borrowing capacity available on our corporate Revolving Credit Facility. We had $22 million in letters of credit issued under our Revolving Credit Facility at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Disclosures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rate or supply. We are exposed to the following market risks, including, but not limited to:</w:t>
      </w:r>
    </w:p>
    <w:p>
      <w:pPr>
        <w:spacing w:after="0" w:line="170" w:lineRule="exact"/>
        <w:rPr>
          <w:sz w:val="20"/>
          <w:szCs w:val="20"/>
          <w:color w:val="auto"/>
        </w:rPr>
      </w:pPr>
    </w:p>
    <w:p>
      <w:pPr>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Commodity price risk associated with our retail natural gas marketing activities and our fuel procurement for several of our gas-fired generation assets, which include market fluctuations due to unpredictable factors such as weather, market speculation, pipeline constraints, and other factors that may impact natural gas supply and demand;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rate risk associated with our variable debt as described in Notes 6 and 7 of our Notes to the Consolidated Financial Statements in this Annual Report on Form 10-K.</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exposure to these market risks is also affected by other factors including the size, duration and composition of our energy portfolio, the absolute and relative levels of interest rates and commodity prices, the volatility of these prices and rates and the liquidity of the related interest rate and commodity markets.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Black Hills Corporation Risk Policies and Procedures have been approved by our Executive Risk Committee and reviewed by the Audit Committee of our Board of Directors. These policies relate to numerous matters including governance, control infrastructure, authorized commodities and trading instruments, prohibited activities and employee conduct. The Executive Risk Committee, which includes senior level executives, meets on a regular basis to review our business and credit activities and to ensure that these activities are conducted within the authorized policies.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Electric and Gas Utilities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produce, purchase and distribute power in four states, and purchase and distribute natural gas in six states. Our utilities have ECA or GCA provisions that allow them to pass the prudently-incurred cost of gas through to the customer. To the extent that gas prices are higher or lower than amounts in our current billing rates, adjustments are made on a periodic basis to “true-up” billed amounts to match the actual natural gas cost we incurred. In Colorado, Montana, South Dakota and Wyoming, we have a mechanism for our regulated electric utilities that serves a purpose similar to the GCAs for our regulated gas utilities. To the extent that our fuel and purchased power costs are higher or lower than the energy cost built into our tariffs, the difference (or a portion thereof) is passed through to the customer. These adjustments are subject to periodic prudence reviews by the state utility commissions. See additional information in Note 9 of our Notes to Consolidated Financial Statements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Electric and Gas Utilities derivative contracts at December 31 is summarized below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2017</w:t>
            </w:r>
          </w:p>
        </w:tc>
      </w:tr>
      <w:tr>
        <w:trPr>
          <w:trHeight w:val="27"/>
        </w:trPr>
        <w:tc>
          <w:tcPr>
            <w:tcW w:w="664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(2,214)</w:t>
            </w:r>
          </w:p>
        </w:tc>
        <w:tc>
          <w:tcPr>
            <w:tcW w:w="7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(6,644)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Cash collateral</w:t>
            </w:r>
          </w:p>
        </w:tc>
        <w:tc>
          <w:tcPr>
            <w:tcW w:w="142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7,266</w:t>
            </w:r>
          </w:p>
        </w:tc>
        <w:tc>
          <w:tcPr>
            <w:tcW w:w="7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8,256</w:t>
            </w:r>
          </w:p>
        </w:tc>
      </w:tr>
      <w:tr>
        <w:trPr>
          <w:trHeight w:val="27"/>
        </w:trPr>
        <w:tc>
          <w:tcPr>
            <w:tcW w:w="664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5,052</w:t>
            </w:r>
          </w:p>
        </w:tc>
        <w:tc>
          <w:tcPr>
            <w:tcW w:w="7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1,612</w:t>
            </w:r>
          </w:p>
        </w:tc>
      </w:tr>
      <w:tr>
        <w:trPr>
          <w:trHeight w:val="20"/>
        </w:trPr>
        <w:tc>
          <w:tcPr>
            <w:tcW w:w="664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Power</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 potential risk related to power sales is the price risk arising from the sale of wholesale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Historically, we have engaged in activities to manage risks associated with changes in interest rates. We utilized pay-fixed interest rate swap agreements to reduce exposure to interest rate fluctuations associated with floating rate debt obligations and anticipated debt refinancings. At December 31, 2018, we had no interest rate swaps in place.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Further details of past swap agreements are set forth in Note 9 of the Notes to the Consolidated Financial Statements in this Annual Report on Form 10-K.</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presents principal amounts and related weighted average interest rates by year of maturity for our long-term debt obligations, including current maturities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Fixed rate</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5,743</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205,743</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1,435</w:t>
            </w:r>
          </w:p>
        </w:tc>
        <w:tc>
          <w:tcPr>
            <w:tcW w:w="780" w:type="dxa"/>
            <w:vAlign w:val="bottom"/>
            <w:shd w:val="clear" w:color="auto" w:fill="CEFFE7"/>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525,000</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1,925,000</w:t>
            </w:r>
          </w:p>
        </w:tc>
        <w:tc>
          <w:tcPr>
            <w:tcW w:w="32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2,662,921</w:t>
            </w: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2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Arial" w:cs="Arial" w:eastAsia="Arial" w:hAnsi="Arial"/>
                <w:sz w:val="18"/>
                <w:szCs w:val="18"/>
                <w:color w:val="auto"/>
              </w:rPr>
              <w:t>Variable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300,000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7,000</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12,855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319,855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5"/>
                <w:szCs w:val="25"/>
                <w:color w:val="auto"/>
                <w:vertAlign w:val="superscript"/>
              </w:rPr>
              <w:t>(b)</w:t>
            </w: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FE7"/>
          </w:tcPr>
          <w:p>
            <w:pPr>
              <w:spacing w:after="0"/>
              <w:rPr>
                <w:sz w:val="23"/>
                <w:szCs w:val="23"/>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EFFE7"/>
          </w:tcPr>
          <w:p>
            <w:pPr>
              <w:spacing w:after="0"/>
              <w:rPr>
                <w:sz w:val="23"/>
                <w:szCs w:val="23"/>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1.73%</w:t>
            </w:r>
          </w:p>
        </w:tc>
        <w:tc>
          <w:tcPr>
            <w:tcW w:w="780" w:type="dxa"/>
            <w:vAlign w:val="bottom"/>
            <w:shd w:val="clear" w:color="auto" w:fill="CEFFE7"/>
          </w:tcPr>
          <w:p>
            <w:pPr>
              <w:spacing w:after="0"/>
              <w:rPr>
                <w:sz w:val="23"/>
                <w:szCs w:val="23"/>
                <w:color w:val="auto"/>
              </w:rPr>
            </w:pPr>
          </w:p>
        </w:tc>
        <w:tc>
          <w:tcPr>
            <w:tcW w:w="380" w:type="dxa"/>
            <w:vAlign w:val="bottom"/>
            <w:shd w:val="clear" w:color="auto" w:fill="CEFFE7"/>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EFFE7"/>
          </w:tcPr>
          <w:p>
            <w:pPr>
              <w:spacing w:after="0"/>
              <w:rPr>
                <w:sz w:val="23"/>
                <w:szCs w:val="23"/>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5,743</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505,743</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8,435</w:t>
            </w:r>
          </w:p>
        </w:tc>
        <w:tc>
          <w:tcPr>
            <w:tcW w:w="780" w:type="dxa"/>
            <w:vAlign w:val="bottom"/>
            <w:tcBorders>
              <w:bottom w:val="single" w:sz="8" w:color="CEFFE7"/>
            </w:tcBorders>
            <w:shd w:val="clear" w:color="auto" w:fill="CEFFE7"/>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525,000</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1,937,855</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2,982,776</w:t>
            </w:r>
          </w:p>
        </w:tc>
        <w:tc>
          <w:tcPr>
            <w:tcW w:w="0" w:type="dxa"/>
            <w:vAlign w:val="bottom"/>
          </w:tcPr>
          <w:p>
            <w:pPr>
              <w:spacing w:after="0"/>
              <w:rPr>
                <w:sz w:val="1"/>
                <w:szCs w:val="1"/>
                <w:color w:val="auto"/>
              </w:rPr>
            </w:pPr>
          </w:p>
        </w:tc>
      </w:tr>
      <w:tr>
        <w:trPr>
          <w:trHeight w:val="272"/>
        </w:trPr>
        <w:tc>
          <w:tcPr>
            <w:tcW w:w="2220" w:type="dxa"/>
            <w:vAlign w:val="bottom"/>
          </w:tcPr>
          <w:p>
            <w:pPr>
              <w:ind w:left="180"/>
              <w:spacing w:after="0" w:line="271" w:lineRule="exact"/>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7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7"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Excludes unamortized premium or discount.</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Interest rates as of December 31, 2018.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 We have adopted the Black Hills Corporation Credit Policy that establishes guidelines, controls and limits to manage and mitigate credit risk within risk tolerances established by the Board of Directors. In addition, our Executive Risk Committee, which includes senior executives, meets on a regular basis to review our credit activities and to monitor compliance with the adopted policies.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seek to mitigate our credit risk by conducting a majority of our business with investment grade companies, setting tenor and credit limits commensurate with counterparty financial strength, obtaining netting agreements and securing our credit exposure with less creditworthy counterparties through parental guarantees, prepayments, letters of credit and other security agreements.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maintain a provision for estimated credit losses based upon our historical experience and any specific customer collection issue that we have identified. While most credit losses have historically been within our expectations and provisions established, we cannot provide assurance that we will continue to experience the same credit loss rates that we have in the past, or that an investment grade counterparty will not default sometime in the future.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credit exposure at December 31, 2018 was concentrated primarily among retail utility customers, investment grade companies, municipal cooperatives and federal agencies.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of the Notes to the Consolidated Financial Statements in this Annual Report on Form 10-K for information on new accounting standards adopted in 2018 or pending adoption.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4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8400" w:type="dxa"/>
            <w:vAlign w:val="bottom"/>
          </w:tcPr>
          <w:p>
            <w:pPr>
              <w:jc w:val="center"/>
              <w:ind w:left="990"/>
              <w:spacing w:after="0"/>
              <w:rPr>
                <w:sz w:val="20"/>
                <w:szCs w:val="20"/>
                <w:color w:val="auto"/>
              </w:rPr>
            </w:pPr>
            <w:r>
              <w:rPr>
                <w:rFonts w:ascii="Arial" w:cs="Arial" w:eastAsia="Arial" w:hAnsi="Arial"/>
                <w:sz w:val="18"/>
                <w:szCs w:val="18"/>
                <w:b w:val="1"/>
                <w:bCs w:val="1"/>
                <w:color w:val="auto"/>
              </w:rPr>
              <w:t>INDEX TO CONSOLIDATED FINANCIAL STATEMENTS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7"/>
        </w:trPr>
        <w:tc>
          <w:tcPr>
            <w:tcW w:w="93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Management’s Report on Internal Controls Over Financial Reporting</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Reports of Independent Registered Public Accounting Firm</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Income for the three years ended December 31, 2018</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for the three years ended December 31, 2018</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2018 and 2017</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Cash Flows for the three years ended December 31, 2018</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Equity for the three years ended December 31, 2018</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540" w:type="dxa"/>
            <w:vAlign w:val="bottom"/>
            <w:shd w:val="clear" w:color="auto" w:fill="CEFFE7"/>
          </w:tcPr>
          <w:p>
            <w:pPr>
              <w:spacing w:after="0"/>
              <w:rPr>
                <w:sz w:val="21"/>
                <w:szCs w:val="21"/>
                <w:color w:val="auto"/>
              </w:rPr>
            </w:pPr>
          </w:p>
        </w:tc>
      </w:tr>
      <w:tr>
        <w:trPr>
          <w:trHeight w:val="891"/>
        </w:trPr>
        <w:tc>
          <w:tcPr>
            <w:tcW w:w="980" w:type="dxa"/>
            <w:vAlign w:val="bottom"/>
            <w:tcBorders>
              <w:top w:val="single" w:sz="8" w:color="CEFFE7"/>
            </w:tcBorders>
          </w:tcPr>
          <w:p>
            <w:pPr>
              <w:spacing w:after="0"/>
              <w:rPr>
                <w:sz w:val="24"/>
                <w:szCs w:val="24"/>
                <w:color w:val="auto"/>
              </w:rPr>
            </w:pPr>
          </w:p>
        </w:tc>
        <w:tc>
          <w:tcPr>
            <w:tcW w:w="8400" w:type="dxa"/>
            <w:vAlign w:val="bottom"/>
            <w:tcBorders>
              <w:top w:val="single" w:sz="8" w:color="CEFFE7"/>
            </w:tcBorders>
          </w:tcPr>
          <w:p>
            <w:pPr>
              <w:jc w:val="right"/>
              <w:ind w:right="3490"/>
              <w:spacing w:after="0"/>
              <w:rPr>
                <w:sz w:val="20"/>
                <w:szCs w:val="20"/>
                <w:color w:val="auto"/>
              </w:rPr>
            </w:pPr>
            <w:r>
              <w:rPr>
                <w:rFonts w:ascii="Arial" w:cs="Arial" w:eastAsia="Arial" w:hAnsi="Arial"/>
                <w:sz w:val="18"/>
                <w:szCs w:val="18"/>
                <w:color w:val="auto"/>
              </w:rPr>
              <w:t>85</w:t>
            </w: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2018,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2018.</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2018. Deloitte &amp; Touche LLP's report on Black Hills Corporation's internal control over financial reporting is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796" w:right="259" w:bottom="1440" w:gutter="0" w:footer="0" w:header="0"/>
        </w:sectPr>
      </w:pPr>
    </w:p>
    <w:bookmarkStart w:id="86" w:name="page87"/>
    <w:bookmarkEnd w:id="8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Black Hills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Black Hills Corporation and subsidiaries (the "Company") as of December 31, 2018 and 2017, the related consolidated statements of income, comprehensive income, equity, and cash flows, for each of the three years in the period ended December 31, 2018,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2019,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1440" w:right="299" w:bottom="1440" w:gutter="0" w:footer="0" w:header="0"/>
        </w:sectPr>
      </w:pPr>
    </w:p>
    <w:bookmarkStart w:id="87" w:name="page88"/>
    <w:bookmarkEnd w:id="87"/>
    <w:p>
      <w:pPr>
        <w:ind w:right="524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Black Hills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Black Hills Corporation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and financial statement schedule as of and for the year ended December 31, 2018, of the Company, and our report dated February 19, 2019 expressed an unqualified opinion on those consolidated financial statements and financial statement schedule.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9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60" w:type="dxa"/>
            <w:vAlign w:val="bottom"/>
          </w:tcPr>
          <w:p>
            <w:pPr>
              <w:ind w:left="20"/>
              <w:spacing w:after="0"/>
              <w:rPr>
                <w:sz w:val="20"/>
                <w:szCs w:val="20"/>
                <w:color w:val="auto"/>
              </w:rPr>
            </w:pPr>
            <w:r>
              <w:rPr>
                <w:rFonts w:ascii="Arial" w:cs="Arial" w:eastAsia="Arial" w:hAnsi="Arial"/>
                <w:sz w:val="16"/>
                <w:szCs w:val="16"/>
                <w:color w:val="auto"/>
              </w:rPr>
              <w:t>Year ended</w:t>
            </w:r>
          </w:p>
        </w:tc>
        <w:tc>
          <w:tcPr>
            <w:tcW w:w="18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w w:val="92"/>
              </w:rPr>
              <w:t>December 31, 2018</w:t>
            </w:r>
          </w:p>
        </w:tc>
        <w:tc>
          <w:tcPr>
            <w:tcW w:w="18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2017</w:t>
            </w:r>
          </w:p>
        </w:tc>
        <w:tc>
          <w:tcPr>
            <w:tcW w:w="18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2016</w:t>
            </w:r>
          </w:p>
        </w:tc>
      </w:tr>
      <w:tr>
        <w:trPr>
          <w:trHeight w:val="33"/>
        </w:trPr>
        <w:tc>
          <w:tcPr>
            <w:tcW w:w="6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5"/>
          </w:tcPr>
          <w:p>
            <w:pPr>
              <w:spacing w:after="0"/>
              <w:rPr>
                <w:sz w:val="2"/>
                <w:szCs w:val="2"/>
                <w:color w:val="auto"/>
              </w:rPr>
            </w:pPr>
          </w:p>
        </w:tc>
      </w:tr>
      <w:tr>
        <w:trPr>
          <w:trHeight w:val="217"/>
        </w:trPr>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gridSpan w:val="5"/>
          </w:tcPr>
          <w:p>
            <w:pPr>
              <w:jc w:val="right"/>
              <w:ind w:right="1139"/>
              <w:spacing w:after="0"/>
              <w:rPr>
                <w:sz w:val="20"/>
                <w:szCs w:val="20"/>
                <w:color w:val="auto"/>
              </w:rPr>
            </w:pPr>
            <w:r>
              <w:rPr>
                <w:rFonts w:ascii="Arial" w:cs="Arial" w:eastAsia="Arial" w:hAnsi="Arial"/>
                <w:sz w:val="16"/>
                <w:szCs w:val="16"/>
                <w:color w:val="auto"/>
              </w:rPr>
              <w:t>(in thousands, except per share amounts)</w:t>
            </w:r>
          </w:p>
        </w:tc>
      </w:tr>
      <w:tr>
        <w:trPr>
          <w:trHeight w:val="317"/>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1,754,268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1,680,266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1,538,916</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625,610</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563,288</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499,132</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481,706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454,605</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426,603</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196,328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188,246</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175,533</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51,746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51,578</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46,160</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5,813</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55,307</w:t>
            </w:r>
          </w:p>
        </w:tc>
      </w:tr>
      <w:tr>
        <w:trPr>
          <w:trHeight w:val="33"/>
        </w:trPr>
        <w:tc>
          <w:tcPr>
            <w:tcW w:w="62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1,357,231</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1,263,530</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1,202,735</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397,037</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416,736</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336,181</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6"/>
                <w:szCs w:val="16"/>
                <w:color w:val="auto"/>
              </w:rPr>
              <w:t>Interest charges -</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6260" w:type="dxa"/>
            <w:vAlign w:val="bottom"/>
            <w:shd w:val="clear" w:color="auto" w:fill="CEFFE7"/>
          </w:tcPr>
          <w:p>
            <w:pPr>
              <w:ind w:left="280"/>
              <w:spacing w:after="0"/>
              <w:rPr>
                <w:sz w:val="20"/>
                <w:szCs w:val="20"/>
                <w:color w:val="auto"/>
              </w:rPr>
            </w:pPr>
            <w:r>
              <w:rPr>
                <w:rFonts w:ascii="Arial" w:cs="Arial" w:eastAsia="Arial" w:hAnsi="Arial"/>
                <w:sz w:val="16"/>
                <w:szCs w:val="16"/>
                <w:color w:val="auto"/>
              </w:rPr>
              <w:t>Interest expense incurred net of amounts capitalized (including amortization of debt</w:t>
            </w:r>
          </w:p>
        </w:tc>
        <w:tc>
          <w:tcPr>
            <w:tcW w:w="18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r>
      <w:tr>
        <w:trPr>
          <w:trHeight w:val="219"/>
        </w:trPr>
        <w:tc>
          <w:tcPr>
            <w:tcW w:w="62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issuance costs, premiums and discounts)</w:t>
            </w:r>
          </w:p>
        </w:tc>
        <w:tc>
          <w:tcPr>
            <w:tcW w:w="180" w:type="dxa"/>
            <w:vAlign w:val="bottom"/>
            <w:tcBorders>
              <w:bottom w:val="single" w:sz="8" w:color="CEFFE7"/>
            </w:tcBorders>
            <w:shd w:val="clear" w:color="auto" w:fill="CEFFE7"/>
          </w:tcPr>
          <w:p>
            <w:pPr>
              <w:spacing w:after="0"/>
              <w:rPr>
                <w:sz w:val="19"/>
                <w:szCs w:val="19"/>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(143,720)</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(140,533)</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(139,091)</w:t>
            </w:r>
          </w:p>
        </w:tc>
      </w:tr>
      <w:tr>
        <w:trPr>
          <w:trHeight w:val="224"/>
        </w:trPr>
        <w:tc>
          <w:tcPr>
            <w:tcW w:w="6260" w:type="dxa"/>
            <w:vAlign w:val="bottom"/>
          </w:tcPr>
          <w:p>
            <w:pPr>
              <w:ind w:left="280"/>
              <w:spacing w:after="0"/>
              <w:rPr>
                <w:sz w:val="20"/>
                <w:szCs w:val="20"/>
                <w:color w:val="auto"/>
              </w:rPr>
            </w:pPr>
            <w:r>
              <w:rPr>
                <w:rFonts w:ascii="Arial" w:cs="Arial" w:eastAsia="Arial" w:hAnsi="Arial"/>
                <w:sz w:val="16"/>
                <w:szCs w:val="16"/>
                <w:color w:val="auto"/>
              </w:rPr>
              <w:t>Allowance for funds used during construction - borrowed</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2,415</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2,981</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1,641</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1,429</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 - equity</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2,321</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3,270</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(1,799)</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1,124</w:t>
            </w:r>
          </w:p>
        </w:tc>
      </w:tr>
      <w:tr>
        <w:trPr>
          <w:trHeight w:val="217"/>
        </w:trPr>
        <w:tc>
          <w:tcPr>
            <w:tcW w:w="6260" w:type="dxa"/>
            <w:vAlign w:val="bottom"/>
          </w:tcPr>
          <w:p>
            <w:pPr>
              <w:ind w:left="48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(141,155)</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(134,994)</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(130,287)</w:t>
            </w:r>
          </w:p>
        </w:tc>
      </w:tr>
      <w:tr>
        <w:trPr>
          <w:trHeight w:val="33"/>
        </w:trPr>
        <w:tc>
          <w:tcPr>
            <w:tcW w:w="62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6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EFFE7"/>
          </w:tcPr>
          <w:p>
            <w:pPr>
              <w:spacing w:after="0"/>
              <w:rPr>
                <w:sz w:val="18"/>
                <w:szCs w:val="18"/>
                <w:color w:val="auto"/>
              </w:rPr>
            </w:pPr>
          </w:p>
        </w:tc>
        <w:tc>
          <w:tcPr>
            <w:tcW w:w="1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255,882</w:t>
            </w:r>
          </w:p>
        </w:tc>
        <w:tc>
          <w:tcPr>
            <w:tcW w:w="18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281,742</w:t>
            </w:r>
          </w:p>
        </w:tc>
        <w:tc>
          <w:tcPr>
            <w:tcW w:w="180" w:type="dxa"/>
            <w:vAlign w:val="bottom"/>
            <w:shd w:val="clear" w:color="auto" w:fill="CEFFE7"/>
          </w:tcPr>
          <w:p>
            <w:pPr>
              <w:spacing w:after="0"/>
              <w:rPr>
                <w:sz w:val="18"/>
                <w:szCs w:val="18"/>
                <w:color w:val="auto"/>
              </w:rPr>
            </w:pPr>
          </w:p>
        </w:tc>
        <w:tc>
          <w:tcPr>
            <w:tcW w:w="15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205,894</w:t>
            </w:r>
          </w:p>
        </w:tc>
      </w:tr>
      <w:tr>
        <w:trPr>
          <w:trHeight w:val="33"/>
        </w:trPr>
        <w:tc>
          <w:tcPr>
            <w:tcW w:w="626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4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380"/>
          </w:cols>
          <w:pgMar w:left="260" w:top="585" w:right="259" w:bottom="1440" w:gutter="0" w:footer="0" w:header="0"/>
        </w:sectPr>
      </w:pPr>
    </w:p>
    <w:p>
      <w:pPr>
        <w:ind w:left="20"/>
        <w:spacing w:after="0"/>
        <w:rPr>
          <w:sz w:val="20"/>
          <w:szCs w:val="20"/>
          <w:color w:val="auto"/>
        </w:rPr>
      </w:pPr>
      <w:r>
        <w:rPr>
          <w:rFonts w:ascii="Arial" w:cs="Arial" w:eastAsia="Arial" w:hAnsi="Arial"/>
          <w:sz w:val="16"/>
          <w:szCs w:val="16"/>
          <w:color w:val="auto"/>
        </w:rPr>
        <w:t>Income tax benefit (expense)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from continuing operations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from discontinued operations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available for common stock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attributable to common shareholders: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 from continuing operations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available for common stock</w:t>
      </w:r>
    </w:p>
    <w:p>
      <w:pPr>
        <w:spacing w:after="0" w:line="302" w:lineRule="exact"/>
        <w:rPr>
          <w:sz w:val="20"/>
          <w:szCs w:val="20"/>
          <w:color w:val="auto"/>
        </w:rPr>
      </w:pPr>
    </w:p>
    <w:p>
      <w:pPr>
        <w:ind w:left="160" w:right="2200" w:hanging="134"/>
        <w:spacing w:after="0" w:line="334" w:lineRule="auto"/>
        <w:rPr>
          <w:sz w:val="20"/>
          <w:szCs w:val="20"/>
          <w:color w:val="auto"/>
        </w:rPr>
      </w:pPr>
      <w:r>
        <w:rPr>
          <w:rFonts w:ascii="Arial" w:cs="Arial" w:eastAsia="Arial" w:hAnsi="Arial"/>
          <w:sz w:val="16"/>
          <w:szCs w:val="16"/>
          <w:color w:val="auto"/>
        </w:rPr>
        <w:t>Earnings (loss) per share of common stock, Basic - Earnings from continuing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earnings per share of common stock, Basic</w:t>
      </w:r>
    </w:p>
    <w:p>
      <w:pPr>
        <w:spacing w:after="0" w:line="314" w:lineRule="exact"/>
        <w:rPr>
          <w:sz w:val="20"/>
          <w:szCs w:val="20"/>
          <w:color w:val="auto"/>
        </w:rPr>
      </w:pPr>
    </w:p>
    <w:p>
      <w:pPr>
        <w:ind w:left="160" w:right="2080" w:hanging="134"/>
        <w:spacing w:after="0" w:line="334" w:lineRule="auto"/>
        <w:rPr>
          <w:sz w:val="20"/>
          <w:szCs w:val="20"/>
          <w:color w:val="auto"/>
        </w:rPr>
      </w:pPr>
      <w:r>
        <w:rPr>
          <w:rFonts w:ascii="Arial" w:cs="Arial" w:eastAsia="Arial" w:hAnsi="Arial"/>
          <w:sz w:val="16"/>
          <w:szCs w:val="16"/>
          <w:color w:val="auto"/>
        </w:rPr>
        <w:t>Earnings (loss) per share of common stock, Diluted - Earnings from continuing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earnings per share of common stock,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23,667</w:t>
            </w: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(73,367)</w:t>
            </w: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(59,101)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279,549</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208,375</w:t>
            </w:r>
          </w:p>
        </w:tc>
        <w:tc>
          <w:tcPr>
            <w:tcW w:w="6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146,793</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(6,887)</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(17,099)</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(64,162)</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272,662</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191,276</w:t>
            </w:r>
          </w:p>
        </w:tc>
        <w:tc>
          <w:tcPr>
            <w:tcW w:w="6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82,631</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(14,220)</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(14,242)</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(9,661)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258,442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177,034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72,970</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265,329</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194,133</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137,132</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(6,887)</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(17,099)</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(64,162)</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258,442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177,034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72,970</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3.65</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3.33</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(0.12)</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(0.31)</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3.21</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-3309620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-2974975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-2640965</wp:posOffset>
            </wp:positionV>
            <wp:extent cx="72294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-2323465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-1988820</wp:posOffset>
            </wp:positionV>
            <wp:extent cx="72294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-1645920</wp:posOffset>
            </wp:positionV>
            <wp:extent cx="72294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-1337310</wp:posOffset>
            </wp:positionV>
            <wp:extent cx="72294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-1011555</wp:posOffset>
            </wp:positionV>
            <wp:extent cx="72294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-694055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-359410</wp:posOffset>
            </wp:positionV>
            <wp:extent cx="72294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-16510</wp:posOffset>
            </wp:positionV>
            <wp:extent cx="72294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5120"/>
          </w:cols>
          <w:pgMar w:left="260" w:top="585" w:right="25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6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Basic</w:t>
            </w:r>
          </w:p>
        </w:tc>
        <w:tc>
          <w:tcPr>
            <w:tcW w:w="22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54,420</w:t>
            </w:r>
          </w:p>
        </w:tc>
        <w:tc>
          <w:tcPr>
            <w:tcW w:w="172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53,221</w:t>
            </w:r>
          </w:p>
        </w:tc>
        <w:tc>
          <w:tcPr>
            <w:tcW w:w="11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51,922</w:t>
            </w:r>
          </w:p>
        </w:tc>
      </w:tr>
      <w:tr>
        <w:trPr>
          <w:trHeight w:val="20"/>
        </w:trPr>
        <w:tc>
          <w:tcPr>
            <w:tcW w:w="62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6"/>
                <w:szCs w:val="16"/>
                <w:color w:val="auto"/>
              </w:rPr>
              <w:t>Diluted</w:t>
            </w: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55,486</w:t>
            </w:r>
          </w:p>
        </w:tc>
        <w:tc>
          <w:tcPr>
            <w:tcW w:w="1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55,120</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53,271</w:t>
            </w:r>
          </w:p>
        </w:tc>
      </w:tr>
      <w:tr>
        <w:trPr>
          <w:trHeight w:val="20"/>
        </w:trPr>
        <w:tc>
          <w:tcPr>
            <w:tcW w:w="62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Consolidated Financial Statements.</w:t>
      </w:r>
    </w:p>
    <w:p>
      <w:pPr>
        <w:sectPr>
          <w:pgSz w:w="11900" w:h="16838" w:orient="portrait"/>
          <w:cols w:equalWidth="0" w:num="1">
            <w:col w:w="11380"/>
          </w:cols>
          <w:pgMar w:left="260" w:top="585" w:right="25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60" w:top="585" w:right="25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2018</w:t>
            </w: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2016</w:t>
            </w:r>
          </w:p>
        </w:tc>
      </w:tr>
      <w:tr>
        <w:trPr>
          <w:trHeight w:val="27"/>
        </w:trPr>
        <w:tc>
          <w:tcPr>
            <w:tcW w:w="6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272,662</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191,276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82,631</w:t>
            </w:r>
          </w:p>
        </w:tc>
      </w:tr>
      <w:tr>
        <w:trPr>
          <w:trHeight w:val="318"/>
        </w:trPr>
        <w:tc>
          <w:tcPr>
            <w:tcW w:w="6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6"/>
              </w:rPr>
              <w:t>Benefit plan liability adjustments - net gain (loss) (net of tax of $(660), $1,030</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and $757,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Benefit plan liability adjustments - prior service (costs) (net of tax of $0, $0 and</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$107,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3"/>
              </w:rPr>
              <w:t>Reclassification adjustment of benefit plan liability - net gain (loss) (net of tax of</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$(586), $(585) and $(600),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2"/>
              </w:rPr>
              <w:t>Reclassification adjustment of benefit plan liability - prior service cost (net of tax</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of $43, $69 and $67,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Derivative instruments designated as cash flow hedges: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6"/>
              </w:rPr>
              <w:t>Net unrealized gains (losses) on interest rate swaps (net of tax of $0, $0 and</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$10,920,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(20,302)</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3"/>
              </w:rPr>
              <w:t>Reclassification of net realized (gains) losses on settled/amortized interest rate</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swaps (net of tax of $(599), $(1,029) and $(1,365),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2,252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6"/>
              </w:rPr>
              <w:t>Net unrealized gains (losses) on commodity derivatives (net of tax of $(228),</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$(135) and $212,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4"/>
              </w:rPr>
              <w:t>Reclassification of net realized (gains) losses on settled commodity derivatives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(net of tax of $(31), $154 and $4,067,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(6,938)</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7,027</w:t>
            </w:r>
          </w:p>
        </w:tc>
        <w:tc>
          <w:tcPr>
            <w:tcW w:w="14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(25,828)</w:t>
            </w:r>
          </w:p>
        </w:tc>
      </w:tr>
      <w:tr>
        <w:trPr>
          <w:trHeight w:val="318"/>
        </w:trPr>
        <w:tc>
          <w:tcPr>
            <w:tcW w:w="6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279,689</w:t>
            </w: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191,957</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56,803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(14,220)</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(14,242)</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(9,661)</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265,469</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177,715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47,142</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16 for additional disclosures related to Comprehensive Income.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0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2018</w:t>
            </w:r>
          </w:p>
        </w:tc>
        <w:tc>
          <w:tcPr>
            <w:tcW w:w="240" w:type="dxa"/>
            <w:vAlign w:val="bottom"/>
          </w:tcPr>
          <w:p>
            <w:pPr>
              <w:spacing w:after="0"/>
              <w:rPr>
                <w:sz w:val="23"/>
                <w:szCs w:val="23"/>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color w:val="auto"/>
                <w:w w:val="89"/>
              </w:rPr>
              <w:t>December 31, 2017</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jc w:val="right"/>
              <w:ind w:right="1310"/>
              <w:spacing w:after="0"/>
              <w:rPr>
                <w:sz w:val="20"/>
                <w:szCs w:val="20"/>
                <w:color w:val="auto"/>
              </w:rPr>
            </w:pPr>
            <w:r>
              <w:rPr>
                <w:rFonts w:ascii="Arial" w:cs="Arial" w:eastAsia="Arial" w:hAnsi="Arial"/>
                <w:sz w:val="18"/>
                <w:szCs w:val="18"/>
                <w:color w:val="auto"/>
              </w:rPr>
              <w:t>(in thousands)</w:t>
            </w:r>
          </w:p>
        </w:tc>
      </w:tr>
      <w:tr>
        <w:trPr>
          <w:trHeight w:val="270"/>
        </w:trPr>
        <w:tc>
          <w:tcPr>
            <w:tcW w:w="3420" w:type="dxa"/>
            <w:vAlign w:val="bottom"/>
          </w:tcPr>
          <w:p>
            <w:pPr>
              <w:spacing w:after="0"/>
              <w:rPr>
                <w:sz w:val="23"/>
                <w:szCs w:val="23"/>
                <w:color w:val="auto"/>
              </w:rPr>
            </w:pPr>
          </w:p>
        </w:tc>
        <w:tc>
          <w:tcPr>
            <w:tcW w:w="4300" w:type="dxa"/>
            <w:vAlign w:val="bottom"/>
            <w:gridSpan w:val="2"/>
          </w:tcPr>
          <w:p>
            <w:pPr>
              <w:jc w:val="right"/>
              <w:ind w:right="3620"/>
              <w:spacing w:after="0"/>
              <w:rPr>
                <w:sz w:val="20"/>
                <w:szCs w:val="20"/>
                <w:color w:val="auto"/>
              </w:rPr>
            </w:pPr>
            <w:r>
              <w:rPr>
                <w:rFonts w:ascii="Arial" w:cs="Arial" w:eastAsia="Arial" w:hAnsi="Arial"/>
                <w:sz w:val="18"/>
                <w:szCs w:val="18"/>
                <w:b w:val="1"/>
                <w:bCs w:val="1"/>
                <w:color w:val="auto"/>
                <w:w w:val="91"/>
              </w:rPr>
              <w:t>ASSETS</w:t>
            </w:r>
          </w:p>
        </w:tc>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Current assets: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20,776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15,420</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Restricted cash and equivalents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3,369</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2,820</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269,153</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248,330</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Materials, supplies and fuel</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117,299</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113,283</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Derivative assets, 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Income tax receivable, net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12,978</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Regulatory assets, 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48,776</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81,016</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current assets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29,982</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25,367</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Current assets held for sale</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84,242</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current assets</w:t>
            </w:r>
          </w:p>
        </w:tc>
        <w:tc>
          <w:tcPr>
            <w:tcW w:w="41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503,833</w:t>
            </w:r>
          </w:p>
        </w:tc>
        <w:tc>
          <w:tcPr>
            <w:tcW w:w="24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570,782</w:t>
            </w:r>
          </w:p>
        </w:tc>
      </w:tr>
      <w:tr>
        <w:trPr>
          <w:trHeight w:val="291"/>
        </w:trPr>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70"/>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Investments</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41,013</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13,090</w:t>
            </w:r>
          </w:p>
        </w:tc>
      </w:tr>
      <w:tr>
        <w:trPr>
          <w:trHeight w:val="291"/>
        </w:trPr>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Property, plant and equipment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6,000,015</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5,567,518</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w w:val="89"/>
              </w:rPr>
              <w:t>Less accumulated depreciation and depletion</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(1,145,136)</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(1,026,088)</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w w:val="91"/>
              </w:rPr>
              <w:t>Total property, plant and equipment, net</w:t>
            </w:r>
          </w:p>
        </w:tc>
        <w:tc>
          <w:tcPr>
            <w:tcW w:w="41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4,854,879</w:t>
            </w:r>
          </w:p>
        </w:tc>
        <w:tc>
          <w:tcPr>
            <w:tcW w:w="24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4,541,430</w:t>
            </w:r>
          </w:p>
        </w:tc>
      </w:tr>
      <w:tr>
        <w:trPr>
          <w:trHeight w:val="291"/>
        </w:trPr>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assets: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1,299,454</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1,299,454</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Intangible assets, net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14,337</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7,559</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Regulatory assets, non-current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235,459</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216,438</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assets, non-current</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14,352</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10,149</w:t>
            </w:r>
          </w:p>
        </w:tc>
      </w:tr>
      <w:tr>
        <w:trPr>
          <w:trHeight w:val="237"/>
        </w:trPr>
        <w:tc>
          <w:tcPr>
            <w:tcW w:w="3420" w:type="dxa"/>
            <w:vAlign w:val="bottom"/>
          </w:tcPr>
          <w:p>
            <w:pPr>
              <w:ind w:left="480"/>
              <w:spacing w:after="0"/>
              <w:rPr>
                <w:sz w:val="20"/>
                <w:szCs w:val="20"/>
                <w:color w:val="auto"/>
              </w:rPr>
            </w:pPr>
            <w:r>
              <w:rPr>
                <w:rFonts w:ascii="Arial" w:cs="Arial" w:eastAsia="Arial" w:hAnsi="Arial"/>
                <w:sz w:val="18"/>
                <w:szCs w:val="18"/>
                <w:color w:val="auto"/>
              </w:rPr>
              <w:t>Total other assets, non-current</w:t>
            </w:r>
          </w:p>
        </w:tc>
        <w:tc>
          <w:tcPr>
            <w:tcW w:w="4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1,563,602</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1,533,600</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420" w:type="dxa"/>
            <w:vAlign w:val="bottom"/>
            <w:shd w:val="clear" w:color="auto" w:fill="CEFFE7"/>
          </w:tcPr>
          <w:p>
            <w:pPr>
              <w:ind w:left="20"/>
              <w:spacing w:after="0"/>
              <w:rPr>
                <w:sz w:val="20"/>
                <w:szCs w:val="20"/>
                <w:color w:val="auto"/>
              </w:rPr>
            </w:pPr>
            <w:r>
              <w:rPr>
                <w:rFonts w:ascii="Arial" w:cs="Arial" w:eastAsia="Arial" w:hAnsi="Arial"/>
                <w:sz w:val="18"/>
                <w:szCs w:val="18"/>
                <w:color w:val="auto"/>
              </w:rPr>
              <w:t>TOTAL ASSETS</w:t>
            </w:r>
          </w:p>
        </w:tc>
        <w:tc>
          <w:tcPr>
            <w:tcW w:w="4300" w:type="dxa"/>
            <w:vAlign w:val="bottom"/>
            <w:gridSpan w:val="2"/>
            <w:shd w:val="clear" w:color="auto" w:fill="CEFFE7"/>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c>
          <w:tcPr>
            <w:tcW w:w="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6,658,902</w:t>
            </w:r>
          </w:p>
        </w:tc>
      </w:tr>
      <w:tr>
        <w:trPr>
          <w:trHeight w:val="20"/>
        </w:trPr>
        <w:tc>
          <w:tcPr>
            <w:tcW w:w="3420" w:type="dxa"/>
            <w:vAlign w:val="bottom"/>
            <w:tcBorders>
              <w:top w:val="single" w:sz="8" w:color="CEFFE7"/>
            </w:tcBorders>
          </w:tcPr>
          <w:p>
            <w:pPr>
              <w:spacing w:after="0" w:line="20" w:lineRule="exact"/>
              <w:rPr>
                <w:sz w:val="1"/>
                <w:szCs w:val="1"/>
                <w:color w:val="auto"/>
              </w:rPr>
            </w:pPr>
          </w:p>
        </w:tc>
        <w:tc>
          <w:tcPr>
            <w:tcW w:w="41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60" w:top="585"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580" w:type="dxa"/>
            <w:vAlign w:val="bottom"/>
          </w:tcPr>
          <w:p>
            <w:pPr>
              <w:spacing w:after="0"/>
              <w:rPr>
                <w:sz w:val="17"/>
                <w:szCs w:val="17"/>
                <w:color w:val="auto"/>
              </w:rPr>
            </w:pPr>
          </w:p>
        </w:tc>
      </w:tr>
      <w:tr>
        <w:trPr>
          <w:trHeight w:val="270"/>
        </w:trPr>
        <w:tc>
          <w:tcPr>
            <w:tcW w:w="7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color w:val="auto"/>
                <w:w w:val="93"/>
              </w:rPr>
              <w:t>December 31, 2018</w:t>
            </w:r>
          </w:p>
        </w:tc>
        <w:tc>
          <w:tcPr>
            <w:tcW w:w="240" w:type="dxa"/>
            <w:vAlign w:val="bottom"/>
          </w:tcPr>
          <w:p>
            <w:pPr>
              <w:spacing w:after="0"/>
              <w:rPr>
                <w:sz w:val="23"/>
                <w:szCs w:val="23"/>
                <w:color w:val="auto"/>
              </w:rPr>
            </w:pPr>
          </w:p>
        </w:tc>
        <w:tc>
          <w:tcPr>
            <w:tcW w:w="1580" w:type="dxa"/>
            <w:vAlign w:val="bottom"/>
          </w:tcPr>
          <w:p>
            <w:pPr>
              <w:jc w:val="right"/>
              <w:ind w:right="170"/>
              <w:spacing w:after="0"/>
              <w:rPr>
                <w:sz w:val="20"/>
                <w:szCs w:val="20"/>
                <w:color w:val="auto"/>
              </w:rPr>
            </w:pPr>
            <w:r>
              <w:rPr>
                <w:rFonts w:ascii="Arial" w:cs="Arial" w:eastAsia="Arial" w:hAnsi="Arial"/>
                <w:sz w:val="16"/>
                <w:szCs w:val="16"/>
                <w:color w:val="auto"/>
                <w:w w:val="92"/>
              </w:rPr>
              <w:t>December 31, 2017</w:t>
            </w:r>
          </w:p>
        </w:tc>
      </w:tr>
      <w:tr>
        <w:trPr>
          <w:trHeight w:val="33"/>
        </w:trPr>
        <w:tc>
          <w:tcPr>
            <w:tcW w:w="7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r>
      <w:tr>
        <w:trPr>
          <w:trHeight w:val="217"/>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3"/>
          </w:tcPr>
          <w:p>
            <w:pPr>
              <w:jc w:val="right"/>
              <w:ind w:right="510"/>
              <w:spacing w:after="0"/>
              <w:rPr>
                <w:sz w:val="20"/>
                <w:szCs w:val="20"/>
                <w:color w:val="auto"/>
              </w:rPr>
            </w:pPr>
            <w:r>
              <w:rPr>
                <w:rFonts w:ascii="Arial" w:cs="Arial" w:eastAsia="Arial" w:hAnsi="Arial"/>
                <w:sz w:val="16"/>
                <w:szCs w:val="16"/>
                <w:color w:val="auto"/>
              </w:rPr>
              <w:t>(in thousands, except share amounts)</w:t>
            </w:r>
          </w:p>
        </w:tc>
      </w:tr>
      <w:tr>
        <w:trPr>
          <w:trHeight w:val="567"/>
        </w:trPr>
        <w:tc>
          <w:tcPr>
            <w:tcW w:w="7740" w:type="dxa"/>
            <w:vAlign w:val="bottom"/>
          </w:tcPr>
          <w:p>
            <w:pPr>
              <w:ind w:left="28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210,609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160,887</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215,501</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219,462</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2,081</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Accrued income tax, net</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Regulatory liabilities, current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29,810</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6,832</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185,620</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211,300</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5,743</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5,743</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Current liabilities held for sale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41,774</w:t>
            </w:r>
          </w:p>
        </w:tc>
      </w:tr>
      <w:tr>
        <w:trPr>
          <w:trHeight w:val="237"/>
        </w:trPr>
        <w:tc>
          <w:tcPr>
            <w:tcW w:w="77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648,230</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649,101</w:t>
            </w:r>
          </w:p>
        </w:tc>
      </w:tr>
      <w:tr>
        <w:trPr>
          <w:trHeight w:val="27"/>
        </w:trPr>
        <w:tc>
          <w:tcPr>
            <w:tcW w:w="77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2,950,835</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3,109,400</w:t>
            </w:r>
          </w:p>
        </w:tc>
      </w:tr>
      <w:tr>
        <w:trPr>
          <w:trHeight w:val="27"/>
        </w:trPr>
        <w:tc>
          <w:tcPr>
            <w:tcW w:w="77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311,331</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336,520</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Regulatory liabilities, non-current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510,984</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478,294</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Benefit plan liabilities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145,147</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159,646</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Other deferred credits and other liabilities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109,377</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105,735</w:t>
            </w:r>
          </w:p>
        </w:tc>
      </w:tr>
      <w:tr>
        <w:trPr>
          <w:trHeight w:val="27"/>
        </w:trPr>
        <w:tc>
          <w:tcPr>
            <w:tcW w:w="77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1,076,839</w:t>
            </w:r>
          </w:p>
        </w:tc>
        <w:tc>
          <w:tcPr>
            <w:tcW w:w="2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1,080,195</w:t>
            </w:r>
          </w:p>
        </w:tc>
      </w:tr>
      <w:tr>
        <w:trPr>
          <w:trHeight w:val="291"/>
        </w:trPr>
        <w:tc>
          <w:tcPr>
            <w:tcW w:w="77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7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Commitments and contingencies (See Notes 6, 7, 8, 9, 14, 18, 19, and 20)</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97"/>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6"/>
                <w:szCs w:val="16"/>
                <w:color w:val="auto"/>
              </w:rPr>
              <w:t>Stockholders’ equity -</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w w:val="96"/>
              </w:rPr>
              <w:t>Common stock $1 par value; 100,000,000 shares authorized; issued: 60,048,567 and 53,579,986, respectively</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60,049</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53,580</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1,450,569</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1,150,285</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700,396</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548,617</w:t>
            </w:r>
          </w:p>
        </w:tc>
      </w:tr>
      <w:tr>
        <w:trPr>
          <w:trHeight w:val="243"/>
        </w:trPr>
        <w:tc>
          <w:tcPr>
            <w:tcW w:w="7740" w:type="dxa"/>
            <w:vAlign w:val="bottom"/>
          </w:tcPr>
          <w:p>
            <w:pPr>
              <w:ind w:left="160"/>
              <w:spacing w:after="0"/>
              <w:rPr>
                <w:sz w:val="20"/>
                <w:szCs w:val="20"/>
                <w:color w:val="auto"/>
              </w:rPr>
            </w:pPr>
            <w:r>
              <w:rPr>
                <w:rFonts w:ascii="Arial" w:cs="Arial" w:eastAsia="Arial" w:hAnsi="Arial"/>
                <w:sz w:val="16"/>
                <w:szCs w:val="16"/>
                <w:color w:val="auto"/>
              </w:rPr>
              <w:t>Treasury stock at cost - 44,253 and 39,064, respectively</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r>
      <w:tr>
        <w:trPr>
          <w:trHeight w:val="237"/>
        </w:trPr>
        <w:tc>
          <w:tcPr>
            <w:tcW w:w="7740" w:type="dxa"/>
            <w:vAlign w:val="bottom"/>
          </w:tcPr>
          <w:p>
            <w:pPr>
              <w:ind w:left="4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2,181,588</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1,708,974</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105,835</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111,232</w:t>
            </w:r>
          </w:p>
        </w:tc>
      </w:tr>
      <w:tr>
        <w:trPr>
          <w:trHeight w:val="237"/>
        </w:trPr>
        <w:tc>
          <w:tcPr>
            <w:tcW w:w="7740" w:type="dxa"/>
            <w:vAlign w:val="bottom"/>
          </w:tcPr>
          <w:p>
            <w:pPr>
              <w:ind w:left="48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2,287,423</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1,820,206</w:t>
            </w:r>
          </w:p>
        </w:tc>
      </w:tr>
      <w:tr>
        <w:trPr>
          <w:trHeight w:val="27"/>
        </w:trPr>
        <w:tc>
          <w:tcPr>
            <w:tcW w:w="77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64"/>
        </w:trPr>
        <w:tc>
          <w:tcPr>
            <w:tcW w:w="7740" w:type="dxa"/>
            <w:vAlign w:val="bottom"/>
          </w:tcPr>
          <w:p>
            <w:pPr>
              <w:ind w:left="20"/>
              <w:spacing w:after="0"/>
              <w:rPr>
                <w:sz w:val="20"/>
                <w:szCs w:val="20"/>
                <w:color w:val="auto"/>
              </w:rPr>
            </w:pPr>
            <w:r>
              <w:rPr>
                <w:rFonts w:ascii="Arial" w:cs="Arial" w:eastAsia="Arial" w:hAnsi="Arial"/>
                <w:sz w:val="18"/>
                <w:szCs w:val="18"/>
                <w:color w:val="auto"/>
              </w:rPr>
              <w:t>TOTAL LIABILITIES AND TOTAL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6,963,327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6,658,902</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60" w:top="585"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ind w:left="2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2018</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5"/>
              </w:rPr>
              <w:t>December 31, 2017</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2016</w:t>
            </w: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272,662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191,276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82,631</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6,887</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17,099</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64,162</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279,549</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208,375</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146,793</w:t>
            </w:r>
          </w:p>
        </w:tc>
      </w:tr>
      <w:tr>
        <w:trPr>
          <w:trHeight w:val="276"/>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196,328</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188,246</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175,533</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Deferred financing cost amortization</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7,845</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8,261</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6,180</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12,390</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7,626</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10,885</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(24,239)</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80,992</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82,704</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Employee benefit plans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14,068</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10,141</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14,291</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adjustments, net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5,836</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(4,773)</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(5,519)</w:t>
            </w:r>
          </w:p>
        </w:tc>
      </w:tr>
      <w:tr>
        <w:trPr>
          <w:trHeight w:val="264"/>
        </w:trPr>
        <w:tc>
          <w:tcPr>
            <w:tcW w:w="6600" w:type="dxa"/>
            <w:vAlign w:val="bottom"/>
          </w:tcPr>
          <w:p>
            <w:pPr>
              <w:ind w:left="160"/>
              <w:spacing w:after="0"/>
              <w:rPr>
                <w:sz w:val="20"/>
                <w:szCs w:val="20"/>
                <w:color w:val="auto"/>
              </w:rPr>
            </w:pPr>
            <w:r>
              <w:rPr>
                <w:rFonts w:ascii="Arial" w:cs="Arial" w:eastAsia="Arial" w:hAnsi="Arial"/>
                <w:sz w:val="14"/>
                <w:szCs w:val="14"/>
                <w:color w:val="auto"/>
              </w:rPr>
              <w:t>Change in certain operating assets and liabilities: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Materials, supplies and fuel</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(2,919)</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(10,089)</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1,211</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Accounts receivable and other current assets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(45,966)</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4,534</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(27,172)</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Accounts payable and other current liabilities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5,305</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(28,222)</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(33,023)</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Regulatory assets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33,608</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(15,407)</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3,614</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Regulatory liabilities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18,533</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(4,536)</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(14,082)</w:t>
            </w: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Contributions to defined benefit pension plans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(12,700)</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(27,700)</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(14,200)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Interest rate swap settlement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(28,820)</w:t>
            </w:r>
          </w:p>
        </w:tc>
      </w:tr>
      <w:tr>
        <w:trPr>
          <w:trHeight w:val="210"/>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operating activities, net</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6,689</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(8,418)</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494,327</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409,030</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317,735</w:t>
            </w:r>
          </w:p>
        </w:tc>
      </w:tr>
      <w:tr>
        <w:trPr>
          <w:trHeight w:val="210"/>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19,231</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2,744</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488,811</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428,261</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320,479</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Property, plant and equipment additions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(457,524)</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(326,010)</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(454,952)</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Acquisition of net assets, net of long-term debt assumed</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(1,124,238)</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Purchase of investment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(24,429)</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(4,281)</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1,011</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(562)</w:t>
            </w:r>
          </w:p>
        </w:tc>
      </w:tr>
      <w:tr>
        <w:trPr>
          <w:trHeight w:val="196"/>
        </w:trPr>
        <w:tc>
          <w:tcPr>
            <w:tcW w:w="6600" w:type="dxa"/>
            <w:vAlign w:val="bottom"/>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(486,234)</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(324,999)</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(1,579,752)</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investing activities of discontinued operations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20,385</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7,881</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(8,413)</w:t>
            </w:r>
          </w:p>
        </w:tc>
      </w:tr>
      <w:tr>
        <w:trPr>
          <w:trHeight w:val="196"/>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(465,849)</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(317,118)</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(1,588,165)</w:t>
            </w:r>
          </w:p>
        </w:tc>
      </w:tr>
      <w:tr>
        <w:trPr>
          <w:trHeight w:val="243"/>
        </w:trPr>
        <w:tc>
          <w:tcPr>
            <w:tcW w:w="660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14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140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1420" w:type="dxa"/>
            <w:vAlign w:val="bottom"/>
            <w:shd w:val="clear" w:color="auto" w:fill="CEFFE7"/>
          </w:tcPr>
          <w:p>
            <w:pPr>
              <w:spacing w:after="0"/>
              <w:rPr>
                <w:sz w:val="21"/>
                <w:szCs w:val="21"/>
                <w:color w:val="auto"/>
              </w:rPr>
            </w:pPr>
          </w:p>
        </w:tc>
      </w:tr>
      <w:tr>
        <w:trPr>
          <w:trHeight w:val="264"/>
        </w:trPr>
        <w:tc>
          <w:tcPr>
            <w:tcW w:w="66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09"/>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Dividends paid on common stock</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(106,591)</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(96,744)</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(87,570)</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Common stock issued</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300,834</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4,408</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121,619</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Net increase (decrease) in commercial paper and short-term borrowings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(25,680)</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114,700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19,800</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Long-term debt - issuance</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700,000</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1,767,608</w:t>
            </w:r>
          </w:p>
        </w:tc>
      </w:tr>
      <w:tr>
        <w:trPr>
          <w:trHeight w:val="209"/>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Long-term debt - repayments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(854,743)</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(105,743)</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(1,164,308)</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Sale of noncontrolling interest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216,370</w:t>
            </w:r>
          </w:p>
        </w:tc>
      </w:tr>
      <w:tr>
        <w:trPr>
          <w:trHeight w:val="209"/>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Distributions to noncontrolling interests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(19,617)</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(18,397)</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(9,561)</w:t>
            </w:r>
          </w:p>
        </w:tc>
      </w:tr>
      <w:tr>
        <w:trPr>
          <w:trHeight w:val="197"/>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(11,260)</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(22,960)</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(17,057)</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(108,695)</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840,998</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6600" w:type="dxa"/>
            <w:vAlign w:val="bottom"/>
            <w:shd w:val="clear" w:color="auto" w:fill="CEFFE7"/>
          </w:tcPr>
          <w:p>
            <w:pPr>
              <w:ind w:left="480"/>
              <w:spacing w:after="0"/>
              <w:rPr>
                <w:sz w:val="20"/>
                <w:szCs w:val="20"/>
                <w:color w:val="auto"/>
              </w:rPr>
            </w:pPr>
            <w:r>
              <w:rPr>
                <w:rFonts w:ascii="Arial" w:cs="Arial" w:eastAsia="Arial" w:hAnsi="Arial"/>
                <w:sz w:val="14"/>
                <w:szCs w:val="14"/>
                <w:color w:val="auto"/>
              </w:rPr>
              <w:t>Net change in cash, restricted cash and cash equivalents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5,905</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2,448</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(426,688)</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0"/>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Cash, restricted cash and cash equivalents beginning of year</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18,240</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15,792</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442,480</w:t>
            </w:r>
          </w:p>
        </w:tc>
      </w:tr>
      <w:tr>
        <w:trPr>
          <w:trHeight w:val="216"/>
        </w:trPr>
        <w:tc>
          <w:tcPr>
            <w:tcW w:w="6600" w:type="dxa"/>
            <w:vAlign w:val="bottom"/>
          </w:tcPr>
          <w:p>
            <w:pPr>
              <w:ind w:left="160"/>
              <w:spacing w:after="0"/>
              <w:rPr>
                <w:sz w:val="20"/>
                <w:szCs w:val="20"/>
                <w:color w:val="auto"/>
              </w:rPr>
            </w:pPr>
            <w:r>
              <w:rPr>
                <w:rFonts w:ascii="Arial" w:cs="Arial" w:eastAsia="Arial" w:hAnsi="Arial"/>
                <w:sz w:val="14"/>
                <w:szCs w:val="14"/>
                <w:color w:val="auto"/>
              </w:rPr>
              <w:t>Cash, restricted cash and cash equivalents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15,792</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 17 for supplemental disclosure of cash flow information.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ectPr>
          <w:pgSz w:w="11900" w:h="16838" w:orient="portrait"/>
          <w:cols w:equalWidth="0" w:num="1">
            <w:col w:w="11380"/>
          </w:cols>
          <w:pgMar w:left="260" w:top="585" w:right="25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60" w:top="585" w:right="25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51,231,861</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51,232</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39,720</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953,044</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472,534</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(9,055)</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1,465,867</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72,970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9,661</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82,631</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(25,828)</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(25,828)</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(87,570)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(87,570)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145,634</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146</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(16,165)</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4,665</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5,479</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1,968,738</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1,969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118,021</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119,990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(1,566)</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(1,566)</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51,234</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2,933</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2,983</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(8,297)</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476</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Sale of noncontrolling interest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61,838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115,395</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177,233</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(9,561)</w:t>
            </w:r>
          </w:p>
        </w:tc>
        <w:tc>
          <w:tcPr>
            <w:tcW w:w="22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(9,561)</w:t>
            </w:r>
          </w:p>
        </w:tc>
      </w:tr>
      <w:tr>
        <w:trPr>
          <w:trHeight w:val="20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53,397,467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53,397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15,258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(791)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1,138,982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457,934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(34,883)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115,495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1,730,134</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177,034</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14,242</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191,276</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681</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Reclassification of certain tax effects from AOCI</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(7,000)</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(96,744)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(96,744)</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134,266</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134</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23,806</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8,948</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7,567</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Tax effect of share-based compensation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533</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3,184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3,717</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(189)</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48,253</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3,107</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3,156</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w w:val="95"/>
              </w:rPr>
              <w:t>Redemption of and 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(1,096)</w:t>
            </w:r>
          </w:p>
        </w:tc>
        <w:tc>
          <w:tcPr>
            <w:tcW w:w="16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209</w:t>
            </w:r>
          </w:p>
        </w:tc>
        <w:tc>
          <w:tcPr>
            <w:tcW w:w="160" w:type="dxa"/>
            <w:vAlign w:val="bottom"/>
            <w:tcBorders>
              <w:bottom w:val="single" w:sz="8" w:color="auto"/>
            </w:tcBorders>
            <w:shd w:val="clear" w:color="auto" w:fill="CEFFE7"/>
          </w:tcPr>
          <w:p>
            <w:pPr>
              <w:spacing w:after="0"/>
              <w:rPr>
                <w:sz w:val="19"/>
                <w:szCs w:val="19"/>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(18,505)</w:t>
            </w:r>
          </w:p>
        </w:tc>
        <w:tc>
          <w:tcPr>
            <w:tcW w:w="22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(19,392)</w:t>
            </w:r>
          </w:p>
        </w:tc>
      </w:tr>
      <w:tr>
        <w:trPr>
          <w:trHeight w:val="20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53,579,986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53,580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39,064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(2,306)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1,150,285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548,617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(41,202)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111,232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1,820,206</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258,442</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14,220</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272,662</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7,027</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7,027</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Reclassification of certain tax effects from AOCI</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740</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740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Reclassification to regulatory asset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6,519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6,519</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(106,591)</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(106,591)</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92,830</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5,189</w:t>
            </w:r>
          </w:p>
        </w:tc>
        <w:tc>
          <w:tcPr>
            <w:tcW w:w="2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7,301</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7,190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6,371,690</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6,372</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292,628</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299,000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4,061</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(19,617)</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(19,617)</w:t>
            </w:r>
          </w:p>
        </w:tc>
      </w:tr>
      <w:tr>
        <w:trPr>
          <w:trHeight w:val="216"/>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60,048,567</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60,049</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1,450,569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700,396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105,835</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2,287,423</w:t>
            </w:r>
          </w:p>
        </w:tc>
      </w:tr>
      <w:tr>
        <w:trPr>
          <w:trHeight w:val="20"/>
        </w:trPr>
        <w:tc>
          <w:tcPr>
            <w:tcW w:w="3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111760</wp:posOffset>
            </wp:positionV>
            <wp:extent cx="342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Dividends per share paid were $1.93, $1.81 and $1.68 for the years ended December 31, 2018, 2017 and 2016,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5" w:right="23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2018, 2017 and 2016</w:t>
      </w:r>
    </w:p>
    <w:p>
      <w:pPr>
        <w:spacing w:after="0" w:line="207" w:lineRule="exact"/>
        <w:rPr>
          <w:sz w:val="20"/>
          <w:szCs w:val="20"/>
          <w:color w:val="auto"/>
        </w:rPr>
      </w:pPr>
    </w:p>
    <w:p>
      <w:pPr>
        <w:ind w:right="4660" w:firstLine="8"/>
        <w:spacing w:after="0" w:line="503" w:lineRule="auto"/>
        <w:tabs>
          <w:tab w:leader="none" w:pos="64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AND SIGNIFICANT ACCOUNTING POLICIES Business Description</w:t>
      </w:r>
    </w:p>
    <w:p>
      <w:pPr>
        <w:spacing w:after="0" w:line="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Gas Utilities, Power Generation and Mining. Certain unallocated corporate expenses that support our operating segments are presented as Corporate and Other.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South Dakota Electric, Wyoming Electric and Colorado Electric, which supply regulated electric utility services to areas in Colorado, Montana, South Dakota and Wyoming. Our Gas Utilities segment consists of the operating results of our regulated natural gas utility subsidiaries in Arkansas, Colorado, Iowa, Kansas, Nebraska and Wyoming.</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All of our non-utility business segments support our Electric Utilities. Our Power Generation segment, which is conducted through Black Hills Electric Generation and its subsidiaries, engages in independent power generation activities in Wyoming and Colorado. Our Mining segment, which is conducted through WRDC, engages in coal mining activities located near Gillette, Wyoming. For further descriptions of our reportable business segments, see Note 5.</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November 1, 2017, our Board of Directors approved a complete divestiture of our Oil and Gas segment. We completed the divestiture of our Oil and Gas segment in 2018. The Oil and Gas segment assets and liabilities have been classified as held for sale and the results of operations are shown in income (loss) from discontinued operations, other than certain general and administrative costs and interest expense which do not meet the criteria for income (loss) from discontinued operations. At the time the assets were classified as held for sale, depreciation, depletion and amortization expenses were no longer recorded. Unless otherwise noted, the amounts presented in the accompanying notes to the consolidated financial statements relate to the Company’s continuing operations. For more information on discontinued operations, see Note 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balances and transactions have been eliminated in consolidation. For additional information on intercompany revenues, see Note 5.</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Consolidated Statements of Income (Loss) include operating activity of acquired companies beginning with their acquisition date. We use the proportionate consolidation method to account for our ownership interest in any jointly-owned electric utility generating facility, wind project or transmission tie. See Note 4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580" w:right="299" w:bottom="1440" w:gutter="0" w:footer="0" w:header="0"/>
        </w:sectPr>
      </w:pPr>
    </w:p>
    <w:bookmarkStart w:id="95" w:name="page96"/>
    <w:bookmarkEnd w:id="95"/>
    <w:p>
      <w:pPr>
        <w:ind w:right="20"/>
        <w:spacing w:after="0" w:line="279" w:lineRule="auto"/>
        <w:rPr>
          <w:sz w:val="20"/>
          <w:szCs w:val="20"/>
          <w:color w:val="auto"/>
        </w:rPr>
      </w:pPr>
      <w:r>
        <w:rPr>
          <w:rFonts w:ascii="Arial" w:cs="Arial" w:eastAsia="Arial" w:hAnsi="Arial"/>
          <w:sz w:val="17"/>
          <w:szCs w:val="17"/>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Note 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consider all highly liquid investments with an original maturity of three months or less to be cash and cash equivalents. We maintain cash accounts for various specified purposes, which are classified as restricted cash. For purposes of the cash flow statements, we consider all highly liquid investments with original maturities of three months or less at the time of purchase to be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for our Electric and Gas Utilities business segments primarily consists of sales to residential, commercial, industrial, municipal and other customers, all of which do not bear interest. These accounts receivable are stated at billed and estimated unbilled amounts net of write-offs and allowance for doubtful accounts. Accounts receivable for our Mining and Power Generation business segments consists of amounts due from sales of coal, electric energy and capacity.</w:t>
      </w:r>
    </w:p>
    <w:p>
      <w:pPr>
        <w:spacing w:after="0" w:line="1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maintain an allowance for doubtful accounts which reflects our estimate of uncollectible trade receivables. We regularly review our trade receivable allowance by considering such factors as historical experience, credit worthiness, the age of the receivable balances and current economic conditions that may affect collectibility.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specific cases where we are aware of a customer’s inability or reluctance to pay, we record an allowance for doubtful accounts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the level of commodity prices, customer deposits and general economic conditions. Accounts are written off once they are deemed to be uncollectible or the time allowed for dispute under the contract has expired.</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0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Following is a summary of accounts receivable as of December 31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2018</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8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39,721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35,125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(448)</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74,398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96,123</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90,521</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(2,592)</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184,052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1,876</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5,008</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125,646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2017</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8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39,347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36,384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(586)</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75,145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81,256</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88,967</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(2,495)</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167,728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2,804</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126,060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248,330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to allowance for doubtful accounts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Additions Charged</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Balance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7"/>
              </w:rPr>
              <w:t>to Costs and</w:t>
            </w:r>
          </w:p>
        </w:tc>
        <w:tc>
          <w:tcPr>
            <w:tcW w:w="2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w w:val="89"/>
              </w:rPr>
              <w:t>Recoveries and</w:t>
            </w:r>
          </w:p>
        </w:tc>
        <w:tc>
          <w:tcPr>
            <w:tcW w:w="2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6"/>
              </w:rPr>
              <w:t>Write-offs and</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Balance at End of</w:t>
            </w:r>
          </w:p>
        </w:tc>
      </w:tr>
      <w:tr>
        <w:trPr>
          <w:trHeight w:val="257"/>
        </w:trPr>
        <w:tc>
          <w:tcPr>
            <w:tcW w:w="13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Beginning of Year</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0"/>
              <w:spacing w:after="0" w:line="257" w:lineRule="exact"/>
              <w:rPr>
                <w:sz w:val="20"/>
                <w:szCs w:val="20"/>
                <w:color w:val="auto"/>
              </w:rPr>
            </w:pPr>
            <w:r>
              <w:rPr>
                <w:rFonts w:ascii="Arial" w:cs="Arial" w:eastAsia="Arial" w:hAnsi="Arial"/>
                <w:sz w:val="18"/>
                <w:szCs w:val="18"/>
                <w:color w:val="auto"/>
                <w:w w:val="88"/>
              </w:rPr>
              <w:t xml:space="preserve">Adjustments </w:t>
            </w:r>
            <w:r>
              <w:rPr>
                <w:rFonts w:ascii="Arial" w:cs="Arial" w:eastAsia="Arial" w:hAnsi="Arial"/>
                <w:sz w:val="25"/>
                <w:szCs w:val="25"/>
                <w:color w:val="auto"/>
                <w:w w:val="88"/>
                <w:vertAlign w:val="superscript"/>
              </w:rPr>
              <w:t>(a)</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Expenses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Other Additions</w:t>
            </w:r>
          </w:p>
        </w:tc>
        <w:tc>
          <w:tcPr>
            <w:tcW w:w="1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Other Deductions</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Year</w:t>
            </w:r>
          </w:p>
        </w:tc>
      </w:tr>
      <w:tr>
        <w:trPr>
          <w:trHeight w:val="244"/>
        </w:trPr>
        <w:tc>
          <w:tcPr>
            <w:tcW w:w="1300" w:type="dxa"/>
            <w:vAlign w:val="bottom"/>
            <w:tcBorders>
              <w:bottom w:val="single" w:sz="8" w:color="CEFFE7"/>
            </w:tcBorders>
            <w:shd w:val="clear" w:color="auto" w:fill="CEFFE7"/>
          </w:tcPr>
          <w:p>
            <w:pPr>
              <w:jc w:val="right"/>
              <w:ind w:right="57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3,081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6,859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4,092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(10,823)</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3,209</w:t>
            </w:r>
          </w:p>
        </w:tc>
      </w:tr>
      <w:tr>
        <w:trPr>
          <w:trHeight w:val="243"/>
        </w:trPr>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3,081</w:t>
            </w:r>
          </w:p>
        </w:tc>
      </w:tr>
      <w:tr>
        <w:trPr>
          <w:trHeight w:val="27"/>
        </w:trPr>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1300" w:type="dxa"/>
            <w:vAlign w:val="bottom"/>
            <w:shd w:val="clear" w:color="auto" w:fill="CEFFE7"/>
          </w:tcPr>
          <w:p>
            <w:pPr>
              <w:jc w:val="right"/>
              <w:ind w:right="570"/>
              <w:spacing w:after="0"/>
              <w:rPr>
                <w:sz w:val="20"/>
                <w:szCs w:val="20"/>
                <w:color w:val="auto"/>
              </w:rPr>
            </w:pPr>
            <w:r>
              <w:rPr>
                <w:rFonts w:ascii="Arial" w:cs="Arial" w:eastAsia="Arial" w:hAnsi="Arial"/>
                <w:sz w:val="18"/>
                <w:szCs w:val="18"/>
                <w:color w:val="auto"/>
              </w:rPr>
              <w:t>2016</w:t>
            </w:r>
          </w:p>
        </w:tc>
        <w:tc>
          <w:tcPr>
            <w:tcW w:w="9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4,915</w:t>
            </w:r>
          </w:p>
        </w:tc>
        <w:tc>
          <w:tcPr>
            <w:tcW w:w="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(9,126)</w:t>
            </w:r>
          </w:p>
        </w:tc>
        <w:tc>
          <w:tcPr>
            <w:tcW w:w="4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2,392</w:t>
            </w:r>
          </w:p>
        </w:tc>
      </w:tr>
      <w:tr>
        <w:trPr>
          <w:trHeight w:val="27"/>
        </w:trPr>
        <w:tc>
          <w:tcPr>
            <w:tcW w:w="1300" w:type="dxa"/>
            <w:vAlign w:val="bottom"/>
            <w:shd w:val="clear" w:color="auto" w:fill="CEFFE7"/>
          </w:tcPr>
          <w:p>
            <w:pPr>
              <w:spacing w:after="0"/>
              <w:rPr>
                <w:sz w:val="2"/>
                <w:szCs w:val="2"/>
                <w:color w:val="auto"/>
              </w:rPr>
            </w:pPr>
          </w:p>
        </w:tc>
        <w:tc>
          <w:tcPr>
            <w:tcW w:w="90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34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allowance balances added with the SourceGas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 is recognized in an amount that reflects the consideration we expect to receive in exchange for goods or services, when control of the promised goods or services is transferred to our customers. Our primary types of revenue contracts are:</w:t>
      </w:r>
    </w:p>
    <w:p>
      <w:pPr>
        <w:spacing w:after="0" w:line="170" w:lineRule="exact"/>
        <w:rPr>
          <w:sz w:val="20"/>
          <w:szCs w:val="20"/>
          <w:color w:val="auto"/>
        </w:rPr>
      </w:pPr>
    </w:p>
    <w:p>
      <w:pPr>
        <w:ind w:left="660" w:right="60" w:hanging="328"/>
        <w:spacing w:after="0" w:line="271"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Regulated natural gas and electric utility services tariffs</w:t>
      </w:r>
      <w:r>
        <w:rPr>
          <w:rFonts w:ascii="Arial" w:cs="Arial" w:eastAsia="Arial" w:hAnsi="Arial"/>
          <w:sz w:val="17"/>
          <w:szCs w:val="17"/>
          <w:color w:val="auto"/>
        </w:rPr>
        <w:t xml:space="preserve"> - Our utilities have regulated operations, as defined by ASC 980, that provide services to regulated customers under rates, charges, terms and conditions of service, and prices determined by the jurisdictional regulators designated for our service territories. Collectively, these rates, charges, terms and conditions are included in a tariff, which governs all aspects of the provision of our regulated services. Our regulated services primarily encompass single performance obligations material to the context of the contract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regulator-empowered statute to establish contractual rates between the utility and its customers. All of our utilities’ regulated sales are subject to regulatory-approved tariffs.</w:t>
      </w:r>
    </w:p>
    <w:p>
      <w:pPr>
        <w:spacing w:after="0" w:line="178" w:lineRule="exact"/>
        <w:rPr>
          <w:rFonts w:ascii="Arial" w:cs="Arial" w:eastAsia="Arial" w:hAnsi="Arial"/>
          <w:sz w:val="17"/>
          <w:szCs w:val="17"/>
          <w:color w:val="auto"/>
        </w:rPr>
      </w:pPr>
    </w:p>
    <w:p>
      <w:pPr>
        <w:ind w:left="660" w:right="140" w:hanging="328"/>
        <w:spacing w:after="0" w:line="30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Black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800" w:right="259" w:bottom="1440" w:gutter="0" w:footer="0" w:header="0"/>
        </w:sectPr>
      </w:pPr>
    </w:p>
    <w:bookmarkStart w:id="97" w:name="page98"/>
    <w:bookmarkEnd w:id="97"/>
    <w:p>
      <w:pPr>
        <w:ind w:left="660"/>
        <w:spacing w:after="0" w:line="324" w:lineRule="auto"/>
        <w:rPr>
          <w:sz w:val="20"/>
          <w:szCs w:val="20"/>
          <w:color w:val="auto"/>
        </w:rPr>
      </w:pPr>
      <w:r>
        <w:rPr>
          <w:rFonts w:ascii="Arial" w:cs="Arial" w:eastAsia="Arial" w:hAnsi="Arial"/>
          <w:sz w:val="18"/>
          <w:szCs w:val="18"/>
          <w:color w:val="auto"/>
        </w:rPr>
        <w:t>Hills also sells excess energy to other load-serving entities on a short-term basis. The pricing for all of these arrangements is included in the executed contracts or confirmations, reflecting the standalone selling price and is variable based on energy delivered.</w:t>
      </w:r>
    </w:p>
    <w:p>
      <w:pPr>
        <w:spacing w:after="0" w:line="143" w:lineRule="exact"/>
        <w:rPr>
          <w:sz w:val="20"/>
          <w:szCs w:val="20"/>
          <w:color w:val="auto"/>
        </w:rPr>
      </w:pPr>
    </w:p>
    <w:p>
      <w:pPr>
        <w:ind w:left="660" w:right="20" w:hanging="328"/>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Coal supply agreements</w:t>
      </w:r>
      <w:r>
        <w:rPr>
          <w:rFonts w:ascii="Arial" w:cs="Arial" w:eastAsia="Arial" w:hAnsi="Arial"/>
          <w:sz w:val="17"/>
          <w:szCs w:val="17"/>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coal supply agreements, including cost-based agreements with the affiliated regulated utilities, and is variable based on tons of coal delivered.</w:t>
      </w:r>
    </w:p>
    <w:p>
      <w:pPr>
        <w:spacing w:after="0" w:line="184"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non-regulated services</w:t>
      </w:r>
      <w:r>
        <w:rPr>
          <w:rFonts w:ascii="Arial" w:cs="Arial" w:eastAsia="Arial" w:hAnsi="Arial"/>
          <w:sz w:val="18"/>
          <w:szCs w:val="18"/>
          <w:color w:val="auto"/>
        </w:rPr>
        <w:t xml:space="preserve"> - Our Gas and Electric Utilities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reporting segments, for the year ended December 31, 2018. Sales tax and other similar taxes are excluded from revenues.</w:t>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Electric</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Power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Inter-company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40" w:type="dxa"/>
            <w:vAlign w:val="bottom"/>
            <w:gridSpan w:val="4"/>
          </w:tcPr>
          <w:p>
            <w:pPr>
              <w:ind w:left="20"/>
              <w:spacing w:after="0"/>
              <w:rPr>
                <w:sz w:val="20"/>
                <w:szCs w:val="20"/>
                <w:color w:val="auto"/>
              </w:rPr>
            </w:pPr>
            <w:r>
              <w:rPr>
                <w:rFonts w:ascii="Arial" w:cs="Arial" w:eastAsia="Arial" w:hAnsi="Arial"/>
                <w:sz w:val="18"/>
                <w:szCs w:val="18"/>
                <w:color w:val="auto"/>
              </w:rPr>
              <w:t>Year ended December 31, 2018</w:t>
            </w: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95"/>
              </w:rPr>
              <w:t>Gas Utilities</w:t>
            </w:r>
          </w:p>
        </w:tc>
        <w:tc>
          <w:tcPr>
            <w:tcW w:w="2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4"/>
              </w:rPr>
              <w:t>Generation</w:t>
            </w:r>
          </w:p>
        </w:tc>
        <w:tc>
          <w:tcPr>
            <w:tcW w:w="2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Mining</w:t>
            </w:r>
          </w:p>
        </w:tc>
        <w:tc>
          <w:tcPr>
            <w:tcW w:w="2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3"/>
              </w:rPr>
              <w:t>Revenues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384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Customer types: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590"/>
              <w:spacing w:after="0" w:line="196" w:lineRule="exact"/>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Retail</w:t>
            </w:r>
          </w:p>
        </w:tc>
        <w:tc>
          <w:tcPr>
            <w:tcW w:w="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594,329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833,379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65,803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(32,194)</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1,461,317</w:t>
            </w:r>
          </w:p>
        </w:tc>
      </w:tr>
      <w:tr>
        <w:trPr>
          <w:trHeight w:val="243"/>
        </w:trPr>
        <w:tc>
          <w:tcPr>
            <w:tcW w:w="20" w:type="dxa"/>
            <w:vAlign w:val="bottom"/>
          </w:tcPr>
          <w:p>
            <w:pPr>
              <w:spacing w:after="0"/>
              <w:rPr>
                <w:sz w:val="21"/>
                <w:szCs w:val="21"/>
                <w:color w:val="auto"/>
              </w:rPr>
            </w:pP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140,705</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139,357</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Wholesale</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33,687</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52,396</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(46,562)</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39,521</w:t>
            </w:r>
          </w:p>
        </w:tc>
      </w:tr>
      <w:tr>
        <w:trPr>
          <w:trHeight w:val="243"/>
        </w:trPr>
        <w:tc>
          <w:tcPr>
            <w:tcW w:w="20" w:type="dxa"/>
            <w:vAlign w:val="bottom"/>
          </w:tcPr>
          <w:p>
            <w:pPr>
              <w:spacing w:after="0"/>
              <w:rPr>
                <w:sz w:val="21"/>
                <w:szCs w:val="21"/>
                <w:color w:val="auto"/>
              </w:rPr>
            </w:pP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Market - off-system sales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24,799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17,563</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Transmission/Other</w:t>
            </w:r>
          </w:p>
        </w:tc>
        <w:tc>
          <w:tcPr>
            <w:tcW w:w="2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49,402</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90,784</w:t>
            </w:r>
          </w:p>
        </w:tc>
      </w:tr>
      <w:tr>
        <w:trPr>
          <w:trHeight w:val="237"/>
        </w:trPr>
        <w:tc>
          <w:tcPr>
            <w:tcW w:w="20" w:type="dxa"/>
            <w:vAlign w:val="bottom"/>
          </w:tcPr>
          <w:p>
            <w:pPr>
              <w:spacing w:after="0"/>
              <w:rPr>
                <w:sz w:val="20"/>
                <w:szCs w:val="20"/>
                <w:color w:val="auto"/>
              </w:rPr>
            </w:pP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709,024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1,024,352</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52,396</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65,803</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1,748,542</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2,427</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36,556</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2,230</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(36,442)</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5,726</w:t>
            </w:r>
          </w:p>
        </w:tc>
      </w:tr>
      <w:tr>
        <w:trPr>
          <w:trHeight w:val="297"/>
        </w:trPr>
        <w:tc>
          <w:tcPr>
            <w:tcW w:w="3840" w:type="dxa"/>
            <w:vAlign w:val="bottom"/>
            <w:tcBorders>
              <w:bottom w:val="single" w:sz="8" w:color="CEFFE7"/>
            </w:tcBorders>
            <w:gridSpan w:val="4"/>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711,451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1,025,307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88,952</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68,033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(139,475)</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1,754,268</w:t>
            </w:r>
          </w:p>
        </w:tc>
      </w:tr>
      <w:tr>
        <w:trPr>
          <w:trHeight w:val="311"/>
        </w:trPr>
        <w:tc>
          <w:tcPr>
            <w:tcW w:w="2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r>
      <w:tr>
        <w:trPr>
          <w:trHeight w:val="203"/>
        </w:trPr>
        <w:tc>
          <w:tcPr>
            <w:tcW w:w="38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Timing of revenue recognition:</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Services transferred at a point in time</w:t>
            </w:r>
          </w:p>
        </w:tc>
        <w:tc>
          <w:tcPr>
            <w:tcW w:w="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65,803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(32,194)</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33,609</w:t>
            </w:r>
          </w:p>
        </w:tc>
      </w:tr>
      <w:tr>
        <w:trPr>
          <w:trHeight w:val="243"/>
        </w:trPr>
        <w:tc>
          <w:tcPr>
            <w:tcW w:w="20" w:type="dxa"/>
            <w:vAlign w:val="bottom"/>
          </w:tcPr>
          <w:p>
            <w:pPr>
              <w:spacing w:after="0"/>
              <w:rPr>
                <w:sz w:val="21"/>
                <w:szCs w:val="21"/>
                <w:color w:val="auto"/>
              </w:rPr>
            </w:pP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709,024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1,024,352</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52,396</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(70,839)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1,714,933</w:t>
            </w:r>
          </w:p>
        </w:tc>
      </w:tr>
      <w:tr>
        <w:trPr>
          <w:trHeight w:val="27"/>
        </w:trPr>
        <w:tc>
          <w:tcPr>
            <w:tcW w:w="2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EFFE7"/>
            </w:tcBorders>
            <w:shd w:val="clear" w:color="auto" w:fill="CEFFE7"/>
          </w:tcPr>
          <w:p>
            <w:pPr>
              <w:spacing w:after="0"/>
              <w:rPr>
                <w:sz w:val="22"/>
                <w:szCs w:val="22"/>
                <w:color w:val="auto"/>
              </w:rPr>
            </w:pPr>
          </w:p>
        </w:tc>
        <w:tc>
          <w:tcPr>
            <w:tcW w:w="38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709,024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1,024,352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52,396</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65,803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(103,033)</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1,748,542</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Not in Scope of ASC 606</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Other revenues included in the table above include our revenue accounted for under separate accounting guidance, including lease revenue under ASC 840, derivative revenue under ASC 815 and alternative revenue programs revenue under ASC 980. The majority of our lease revenue is related to a 20-year power sale agreement between Black Hills Colorado IPP and affiliate Colorado Electric. This agreement is accounted for as a direct financing lease whereby Black Hills Colorado IPP receives revenue for energy delivered and related capacity payments. This lease revenue is eliminated in our consolidated revenues.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611"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auto"/>
        </w:rPr>
        <w:t>Significant Judgments and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TCJA Revenue Reserve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TCJA or “tax reform” signed into law on December 22, 2017, reduced the federal corporate income tax rate from 35% to 21% effective for tax years beginning after December 31, 2017. Black Hills has been collaborating with utility commissions in the states in which it provides utility service to deliver to customers the benefits of a lower corporate federal income tax rate beginning in 2018 with the passage of the TCJA. We have received state utility commission approvals to provide the benefits of federal tax reform to utility customers in six states. We estimated and recorded a reserve to revenue of approximately $37 million during the year ended December 31, 2018. As of December 31, 2018, $19 million has been returned to customers and approximately $18 million remains in reserve as a current regulatory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Unbilled Revenue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above. We do not typically incur costs that would be capitalized to obtain or fulfill a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revenue contract performance obligations with similar characteristics, and we reasonably expect that the financial statement impact of applying the new revenue recognition guidance to a portfolio of contracts would not differ materially from applying this guidance to the individual contracts or performance obligations within the portfolio. Therefore, we have elected the portfolio approach in applying the new revenue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Fuel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on the accompanying Consolidated Balance Sheets as of December 31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2017</w:t>
            </w:r>
          </w:p>
        </w:tc>
      </w:tr>
      <w:tr>
        <w:trPr>
          <w:trHeight w:val="27"/>
        </w:trPr>
        <w:tc>
          <w:tcPr>
            <w:tcW w:w="708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1380" w:type="dxa"/>
            <w:vAlign w:val="bottom"/>
            <w:tcBorders>
              <w:bottom w:val="single" w:sz="8" w:color="CEFFE7"/>
            </w:tcBorders>
            <w:shd w:val="clear" w:color="auto" w:fill="CEFFE7"/>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75,081</w:t>
            </w:r>
          </w:p>
        </w:tc>
        <w:tc>
          <w:tcPr>
            <w:tcW w:w="5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69,732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2,850</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2,962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w:t>
            </w:r>
          </w:p>
        </w:tc>
        <w:tc>
          <w:tcPr>
            <w:tcW w:w="138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39,368</w:t>
            </w:r>
          </w:p>
        </w:tc>
        <w:tc>
          <w:tcPr>
            <w:tcW w:w="54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40,589</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 materials, supplies and fuel</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117,299</w:t>
            </w:r>
          </w:p>
        </w:tc>
        <w:tc>
          <w:tcPr>
            <w:tcW w:w="5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113,283</w:t>
            </w: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Materials and supplies represent parts and supplies for all of our business segments. Fuel - Electric Utilities represents oil, gas and coal on hand used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account for investments that we do not control under the cost method of accounting as we do not have the ability to exercise significant influence over the operating and financial policies of the investee. The cost method investments are recorded at cost and we record dividend income when applicable dividends are declared.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2018, we contributed $28 million of assets in exchange for equity securities in a privately held company. The carrying value of our investment in the equity securities was determined using the cost method. We review this investment on a periodic basis to determine whether a significant event or change in circumstances has occurred that may have an adverse effect on the value of the investment. We estimate that the fair value of this cost method investment approximated or exceeded its carrying value as of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our investments (in thousands) as of December 31: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2017</w:t>
            </w:r>
          </w:p>
        </w:tc>
      </w:tr>
      <w:tr>
        <w:trPr>
          <w:trHeight w:val="27"/>
        </w:trPr>
        <w:tc>
          <w:tcPr>
            <w:tcW w:w="708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Cost method investment</w:t>
            </w: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28,201</w:t>
            </w:r>
          </w:p>
        </w:tc>
        <w:tc>
          <w:tcPr>
            <w:tcW w:w="5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1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12,812</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13,090</w:t>
            </w:r>
          </w:p>
        </w:tc>
      </w:tr>
      <w:tr>
        <w:trPr>
          <w:trHeight w:val="27"/>
        </w:trPr>
        <w:tc>
          <w:tcPr>
            <w:tcW w:w="708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investments</w:t>
            </w:r>
          </w:p>
        </w:tc>
        <w:tc>
          <w:tcPr>
            <w:tcW w:w="1420" w:type="dxa"/>
            <w:vAlign w:val="bottom"/>
            <w:tcBorders>
              <w:bottom w:val="single" w:sz="8" w:color="auto"/>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41,013</w:t>
            </w:r>
          </w:p>
        </w:tc>
        <w:tc>
          <w:tcPr>
            <w:tcW w:w="5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13,090</w:t>
            </w: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on the accompanying Consolidated Balance Sheets as of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2017</w:t>
            </w:r>
          </w:p>
        </w:tc>
      </w:tr>
      <w:tr>
        <w:trPr>
          <w:trHeight w:val="27"/>
        </w:trPr>
        <w:tc>
          <w:tcPr>
            <w:tcW w:w="708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employee compensation, benefits and withholdings</w:t>
            </w:r>
          </w:p>
        </w:tc>
        <w:tc>
          <w:tcPr>
            <w:tcW w:w="1380" w:type="dxa"/>
            <w:vAlign w:val="bottom"/>
            <w:tcBorders>
              <w:bottom w:val="single" w:sz="8" w:color="CEFFE7"/>
            </w:tcBorders>
            <w:shd w:val="clear" w:color="auto" w:fill="CEFFE7"/>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63,742</w:t>
            </w:r>
          </w:p>
        </w:tc>
        <w:tc>
          <w:tcPr>
            <w:tcW w:w="5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52,467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property taxes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42,510</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42,029</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Customer deposits and prepayments</w:t>
            </w:r>
          </w:p>
        </w:tc>
        <w:tc>
          <w:tcPr>
            <w:tcW w:w="13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43,574</w:t>
            </w:r>
          </w:p>
        </w:tc>
        <w:tc>
          <w:tcPr>
            <w:tcW w:w="5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44,420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31,759</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33,822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CIAC current portion</w:t>
            </w:r>
          </w:p>
        </w:tc>
        <w:tc>
          <w:tcPr>
            <w:tcW w:w="13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1,485</w:t>
            </w:r>
          </w:p>
        </w:tc>
        <w:tc>
          <w:tcPr>
            <w:tcW w:w="5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(none of which is individually significant)</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32,431</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45,172</w:t>
            </w:r>
          </w:p>
        </w:tc>
      </w:tr>
      <w:tr>
        <w:trPr>
          <w:trHeight w:val="27"/>
        </w:trPr>
        <w:tc>
          <w:tcPr>
            <w:tcW w:w="708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accrued liabilities</w:t>
            </w:r>
          </w:p>
        </w:tc>
        <w:tc>
          <w:tcPr>
            <w:tcW w:w="1380" w:type="dxa"/>
            <w:vAlign w:val="bottom"/>
            <w:tcBorders>
              <w:bottom w:val="single" w:sz="8" w:color="auto"/>
            </w:tcBorders>
            <w:shd w:val="clear" w:color="auto" w:fill="CEFFE7"/>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215,501</w:t>
            </w:r>
          </w:p>
        </w:tc>
        <w:tc>
          <w:tcPr>
            <w:tcW w:w="5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219,462</w:t>
            </w: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base or “cushion gas” as property, plant and equipment. Cushion gas is the portion of natural gas necessary to force saleable gas from a storage field into the transmission system and for system balancing, representing a permanent investment necessary to use storage facilities and maintain reliability.</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cost of regulated utility property, plant and equipment retired, or otherwise disposed of in the ordinary course of business, less salvage plus retirement costs, is charged to accumulated depreciation. Estimated removal costs associated with non-legal retirement obligations related to our regulated properties are reclassified from accumulated depreciation and reflected as regulatory liabilities. Retirement or disposal of all other assets, except for crude oil and natural gas properties as described below, result in gains or losses recognized as a component of operating income. Ordinary repairs and maintenance of property, except as allowed under rate regulations, are charged to operations as incurred.</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Capitalized coal mining costs and coal leases are amortized on a unit-of-production method based on volumes produced and estimated reserves. For certain non-utility power plant components, depreciation is computed on a unit-of-production methodology based on plant hours run.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Goodwill and intangible assets with indefinite lives are not amortized, but the carrying values are reviewed upon an indicator of impairment or at least annually. Intangible assets with a finite life continue to be amortized over their estimated useful lives.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determined that the reporting units for its goodwill impairment test are its operating segments, or components of an operating segment, that constitute a business for which discrete financial information is available and for which segment management regularly reviews the operating results. See Note 5 for additional business segment information.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goodwill impairment analysis includes an income approach and a market approach to estimate the fair value of our reporting units. This analysis required the input of several critical assumptions, including future growth rates, cash flow projections, operating cost escalation rates, rates of return, a risk-adjusted discount rate, timing and level of success in regulatory rate proceedings, the cost of debt and equity capital, long-term earnings and merger multiples for comparable companies.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the goodwill reflects the inherent value of the relatively stable, long-lived cash flows of the regulated electric and gas utility businesses, considering the regulatory environment, and the long-lived cash flow and rate base growth opportunities at our utilities. Goodwill balances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Power</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w w:val="96"/>
              </w:rPr>
              <w:t>Electric Utilities</w:t>
            </w: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5"/>
              </w:rPr>
              <w:t>Gas Utilities</w:t>
            </w:r>
          </w:p>
        </w:tc>
        <w:tc>
          <w:tcPr>
            <w:tcW w:w="2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4"/>
              </w:rPr>
              <w:t>Generation</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64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2016</w:t>
            </w:r>
          </w:p>
        </w:tc>
        <w:tc>
          <w:tcPr>
            <w:tcW w:w="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2017</w:t>
            </w:r>
          </w:p>
        </w:tc>
        <w:tc>
          <w:tcPr>
            <w:tcW w:w="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2018</w:t>
            </w:r>
          </w:p>
        </w:tc>
        <w:tc>
          <w:tcPr>
            <w:tcW w:w="3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intangible assets represent easements, rights-of-way, customer listings and trademarks. The finite-lived intangible assets are amortized using a straight-line method based on estimated useful lives; these assets are currently being amortized from 2 years to 40 years. Changes to intangible assets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Intangible assets, net, beginning balance</w:t>
            </w:r>
          </w:p>
        </w:tc>
        <w:tc>
          <w:tcPr>
            <w:tcW w:w="140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7,559</w:t>
            </w:r>
          </w:p>
        </w:tc>
        <w:tc>
          <w:tcPr>
            <w:tcW w:w="1460" w:type="dxa"/>
            <w:vAlign w:val="bottom"/>
            <w:tcBorders>
              <w:bottom w:val="single" w:sz="8" w:color="CEFFE7"/>
            </w:tcBorders>
            <w:shd w:val="clear" w:color="auto" w:fill="CEFFE7"/>
          </w:tcPr>
          <w:p>
            <w:pPr>
              <w:jc w:val="right"/>
              <w:ind w:right="1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8,392</w:t>
            </w:r>
          </w:p>
        </w:tc>
        <w:tc>
          <w:tcPr>
            <w:tcW w:w="5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(a)</w:t>
            </w:r>
          </w:p>
        </w:tc>
        <w:tc>
          <w:tcPr>
            <w:tcW w:w="140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7,602</w:t>
            </w:r>
          </w:p>
        </w:tc>
        <w:tc>
          <w:tcPr>
            <w:tcW w:w="1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25"/>
                <w:szCs w:val="25"/>
                <w:color w:val="auto"/>
                <w:vertAlign w:val="superscript"/>
              </w:rPr>
              <w:t>(b)</w:t>
            </w:r>
          </w:p>
        </w:tc>
        <w:tc>
          <w:tcPr>
            <w:tcW w:w="1400" w:type="dxa"/>
            <w:vAlign w:val="bottom"/>
            <w:tcBorders>
              <w:bottom w:val="single" w:sz="8" w:color="auto"/>
            </w:tcBorders>
            <w:shd w:val="clear" w:color="auto" w:fill="CEFFE7"/>
          </w:tcPr>
          <w:p>
            <w:pPr>
              <w:spacing w:after="0"/>
              <w:rPr>
                <w:sz w:val="23"/>
                <w:szCs w:val="23"/>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(824)</w:t>
            </w:r>
          </w:p>
        </w:tc>
        <w:tc>
          <w:tcPr>
            <w:tcW w:w="1460" w:type="dxa"/>
            <w:vAlign w:val="bottom"/>
            <w:tcBorders>
              <w:bottom w:val="single" w:sz="8" w:color="auto"/>
            </w:tcBorders>
            <w:shd w:val="clear" w:color="auto" w:fill="CEFFE7"/>
          </w:tcPr>
          <w:p>
            <w:pPr>
              <w:spacing w:after="0"/>
              <w:rPr>
                <w:sz w:val="23"/>
                <w:szCs w:val="23"/>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(833)</w:t>
            </w:r>
          </w:p>
        </w:tc>
        <w:tc>
          <w:tcPr>
            <w:tcW w:w="520" w:type="dxa"/>
            <w:vAlign w:val="bottom"/>
            <w:tcBorders>
              <w:bottom w:val="single" w:sz="8" w:color="auto"/>
            </w:tcBorders>
            <w:shd w:val="clear" w:color="auto" w:fill="CEFFE7"/>
          </w:tcPr>
          <w:p>
            <w:pPr>
              <w:spacing w:after="0"/>
              <w:rPr>
                <w:sz w:val="23"/>
                <w:szCs w:val="23"/>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Intangible assets, net, ending balance</w:t>
            </w: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14,337</w:t>
            </w:r>
          </w:p>
        </w:tc>
        <w:tc>
          <w:tcPr>
            <w:tcW w:w="14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right"/>
              <w:ind w:right="3310"/>
              <w:spacing w:after="0"/>
              <w:rPr>
                <w:sz w:val="20"/>
                <w:szCs w:val="20"/>
                <w:color w:val="auto"/>
              </w:rPr>
            </w:pPr>
            <w:r>
              <w:rPr>
                <w:rFonts w:ascii="Arial" w:cs="Arial" w:eastAsia="Arial" w:hAnsi="Arial"/>
                <w:sz w:val="18"/>
                <w:szCs w:val="18"/>
                <w:color w:val="auto"/>
                <w:w w:val="89"/>
              </w:rPr>
              <w:t>_________________</w:t>
            </w: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2018 addition is related to the Busch Ranch 1 Wind Farm contract intangible asset. See Note 4 for further information.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Amortization expense for existing intangible assets is expected to be $0.8 million for each year of the next five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96"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Accounting standards for asset retirement obligations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is included within Depreciation, depletion and amortization on the accompanying Consolidated Statements of Income (Loss). The accounting for the obligation for regulated operations has no income statement impact due to the deferral of the adjustments through the establishment of a regulatory asset or a regulatory liability.</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For oil and gas liabilities classified as held for sale, differences in the settlement of the liability and the recorded amount are generally reflected as adjustments to the capitalized cost of oil and gas properties and prior to held-for-sale classification were depleted pursuant to the use of the full cost method of accounting. Additional information is included in Note 8 and 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use the following fair value hierarchy for determining inputs for our financial instruments. Our financial instruments’ assets and liabilities for financial instruments are classified and disclosed in one of the following fair value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Level 1 instruments primarily consist of highly liquid and actively traded financial instruments with quoted pricing information on an ongoing basis.</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the time between the valuation date and the delivery date of a transaction becomes shorter, positively impacting the availability of observable pricing inputs. We currently do not have any Level 3 investments.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97"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commodity contracts for the Electric and Gas Utilities, valued using the market approach, include exchange-traded futures, options, basis swaps and over-the-counter swaps (Level 2) for natural gas contracts. For exchange-traded futures, options and basis swap Level 2 assets and liabilities, fair value was derived using broker quotes validated by the Chicago Mercantile Exchange pricing for similar instruments. For over-the-counter swaps and options Level 2 assets and liabilities, fair value was derived from, or corroborated by, observable market pricing data. In addition, the fair value for the over-the-counter swaps and option derivatives, if material, include a CVA component. The CVA considers the fair value of the derivative and the probability of default based on the life of the contract. For the probability of a default component, we utilize observable inputs supporting Level 2 disclosure by using our credit default spread, if available, or a generic credit default spread curve that takes into account our credit ratings.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fair value measurements is included in Notes 10, 11 and 18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price is not tied to an unrelated underlying derivative. Normal purchase and sales contracts are recognized when the underlying physical transaction is completed under the accrual basis of accounting. As part of our Electric and Gas Utility operations, we enter into contracts to buy and sell energy to meet the requirements of our customers.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certain derivatives contracts approved by regulatory authorities are either recovered or refunded through customer rates. Any changes in the fair value of these approved derivative contracts are deferred as a regulatory asset or regulatory liability pursuant to ASC 980.</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have some derivatives that qualify for hedge accounting and are designated as cash flow hedges. The effective portion of the derivative gain or loss is deferred in AOCI and reclassified into earnings when the corresponding hedged transaction is recognized in earnings. Changes in the fair value of all other derivatives contracts are recognized in earnings.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 when a legal right of offset exists.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Deferred financing costs are amortized over the estimated useful life of the related debt. Deferred financing costs are presented on the balance sheet as an adjustment to the related debt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Accounting</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Electric Utilities and Gas Utilities follow accounting standards for regulated operations and reflect the effects of the numerous rate-making principles followed by the various state and federal agencies regulating the utilities. The accounting policies followed are generally subject to the Uniform System of Accounts of the FERC. These accounting policies differ in some respects from those used by our non-regulated businesses. If rate recovery becomes unlikely or uncertain due to competition or regulatory action, these accounting standards may no longer apply which could require these net regulatory assets to be charged to current income or OCI. Our regulatory assets represent amounts for which we will recover the cost, but generally are not allowed a return, except as described below. In the event we determine that our regulated net assets no longer meet the criteria for accounting standards for regulated operations, the accounting impact to us could be an extraordinary non-cash charge to operations,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4"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We had the following regulatory assets and liabilities as of December 31 (in thousands):</w:t>
            </w: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w:t>
            </w: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48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Deferred energy and fuel cost adjustments - current </w:t>
            </w:r>
            <w:r>
              <w:rPr>
                <w:rFonts w:ascii="Arial" w:cs="Arial" w:eastAsia="Arial" w:hAnsi="Arial"/>
                <w:sz w:val="25"/>
                <w:szCs w:val="25"/>
                <w:color w:val="auto"/>
                <w:vertAlign w:val="superscript"/>
              </w:rPr>
              <w:t>(a)</w:t>
            </w:r>
          </w:p>
        </w:tc>
        <w:tc>
          <w:tcPr>
            <w:tcW w:w="1180" w:type="dxa"/>
            <w:vAlign w:val="bottom"/>
            <w:shd w:val="clear" w:color="auto" w:fill="CEFFE7"/>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29,661</w:t>
            </w:r>
          </w:p>
        </w:tc>
        <w:tc>
          <w:tcPr>
            <w:tcW w:w="46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20,187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3,362</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31,844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6,201</w:t>
            </w: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7,841</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2"/>
              </w:rPr>
              <w:t>110,524</w:t>
            </w: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109,235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529</w:t>
            </w: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21,001</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20,667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(a)</w:t>
            </w: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1,722</w:t>
            </w: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31,044</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Decommissioning costs</w:t>
            </w:r>
          </w:p>
        </w:tc>
        <w:tc>
          <w:tcPr>
            <w:tcW w:w="1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11,700</w:t>
            </w:r>
          </w:p>
        </w:tc>
        <w:tc>
          <w:tcPr>
            <w:tcW w:w="46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14,310</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1180" w:type="dxa"/>
            <w:vAlign w:val="bottom"/>
            <w:tcBorders>
              <w:bottom w:val="single" w:sz="8" w:color="auto"/>
            </w:tcBorders>
            <w:shd w:val="clear" w:color="auto" w:fill="CEFFE7"/>
          </w:tcPr>
          <w:p>
            <w:pPr>
              <w:spacing w:after="0"/>
              <w:rPr>
                <w:sz w:val="23"/>
                <w:szCs w:val="23"/>
                <w:color w:val="auto"/>
              </w:rPr>
            </w:pP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45,381</w:t>
            </w:r>
          </w:p>
        </w:tc>
        <w:tc>
          <w:tcPr>
            <w:tcW w:w="460" w:type="dxa"/>
            <w:vAlign w:val="bottom"/>
            <w:tcBorders>
              <w:bottom w:val="single" w:sz="8" w:color="auto"/>
            </w:tcBorders>
            <w:shd w:val="clear" w:color="auto" w:fill="CEFFE7"/>
          </w:tcPr>
          <w:p>
            <w:pPr>
              <w:spacing w:after="0"/>
              <w:rPr>
                <w:sz w:val="23"/>
                <w:szCs w:val="23"/>
                <w:color w:val="auto"/>
              </w:rPr>
            </w:pPr>
          </w:p>
        </w:tc>
        <w:tc>
          <w:tcPr>
            <w:tcW w:w="14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32,837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Total regulatory assets</w:t>
            </w:r>
          </w:p>
        </w:tc>
        <w:tc>
          <w:tcPr>
            <w:tcW w:w="1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284,235</w:t>
            </w:r>
          </w:p>
        </w:tc>
        <w:tc>
          <w:tcPr>
            <w:tcW w:w="4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297,454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Less current regulatory assets</w:t>
            </w:r>
          </w:p>
        </w:tc>
        <w:tc>
          <w:tcPr>
            <w:tcW w:w="118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(48,776)</w:t>
            </w:r>
          </w:p>
        </w:tc>
        <w:tc>
          <w:tcPr>
            <w:tcW w:w="46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(81,016)</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748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Regulatory assets, non-current</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235,459</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216,438</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748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Regulatory liabilities</w:t>
            </w: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tc>
        <w:tc>
          <w:tcPr>
            <w:tcW w:w="1180" w:type="dxa"/>
            <w:vAlign w:val="bottom"/>
            <w:shd w:val="clear" w:color="auto" w:fill="CEFFE7"/>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6,991</w:t>
            </w:r>
          </w:p>
        </w:tc>
        <w:tc>
          <w:tcPr>
            <w:tcW w:w="46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Employee benefit plan costs and related deferred taxes </w:t>
            </w:r>
            <w:r>
              <w:rPr>
                <w:rFonts w:ascii="Arial" w:cs="Arial" w:eastAsia="Arial" w:hAnsi="Arial"/>
                <w:sz w:val="25"/>
                <w:szCs w:val="25"/>
                <w:color w:val="auto"/>
                <w:vertAlign w:val="superscript"/>
              </w:rPr>
              <w:t>(c)</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42,533</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18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2"/>
              </w:rPr>
              <w:t>150,123</w:t>
            </w:r>
          </w:p>
        </w:tc>
        <w:tc>
          <w:tcPr>
            <w:tcW w:w="46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130,932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w:t>
            </w:r>
          </w:p>
        </w:tc>
        <w:tc>
          <w:tcPr>
            <w:tcW w:w="1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310,562</w:t>
            </w:r>
          </w:p>
        </w:tc>
        <w:tc>
          <w:tcPr>
            <w:tcW w:w="46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301,553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TCJA revenue reserve</w:t>
            </w:r>
          </w:p>
        </w:tc>
        <w:tc>
          <w:tcPr>
            <w:tcW w:w="1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18,032</w:t>
            </w:r>
          </w:p>
        </w:tc>
        <w:tc>
          <w:tcPr>
            <w:tcW w:w="46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480" w:type="dxa"/>
            <w:vAlign w:val="bottom"/>
            <w:tcBorders>
              <w:bottom w:val="single" w:sz="8" w:color="CEFFE7"/>
            </w:tcBorders>
          </w:tcPr>
          <w:p>
            <w:pPr>
              <w:ind w:left="16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12,553</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regulatory liabilities</w:t>
            </w:r>
          </w:p>
        </w:tc>
        <w:tc>
          <w:tcPr>
            <w:tcW w:w="1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2"/>
              </w:rPr>
              <w:t>540,794</w:t>
            </w:r>
          </w:p>
        </w:tc>
        <w:tc>
          <w:tcPr>
            <w:tcW w:w="46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485,126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Less current regulatory liabilities</w:t>
            </w:r>
          </w:p>
        </w:tc>
        <w:tc>
          <w:tcPr>
            <w:tcW w:w="1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(29,810)</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48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Regulatory liabilities, non-current</w:t>
            </w:r>
          </w:p>
        </w:tc>
        <w:tc>
          <w:tcPr>
            <w:tcW w:w="1180" w:type="dxa"/>
            <w:vAlign w:val="bottom"/>
            <w:tcBorders>
              <w:bottom w:val="single" w:sz="8" w:color="auto"/>
            </w:tcBorders>
            <w:shd w:val="clear" w:color="auto" w:fill="CEFFE7"/>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2"/>
              </w:rPr>
              <w:t>510,984</w:t>
            </w:r>
          </w:p>
        </w:tc>
        <w:tc>
          <w:tcPr>
            <w:tcW w:w="46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478,294</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__________</w:t>
            </w: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represent items we expect to recover from customers through probable future rates.</w:t>
      </w:r>
    </w:p>
    <w:p>
      <w:pPr>
        <w:spacing w:after="0" w:line="225"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u w:val="single" w:color="auto"/>
          <w:color w:val="auto"/>
        </w:rPr>
        <w:t>Deferred Energy and Fuel Cost Adjustments - Current</w:t>
      </w:r>
      <w:r>
        <w:rPr>
          <w:rFonts w:ascii="Arial" w:cs="Arial" w:eastAsia="Arial" w:hAnsi="Arial"/>
          <w:sz w:val="18"/>
          <w:szCs w:val="18"/>
          <w:color w:val="auto"/>
        </w:rPr>
        <w:t xml:space="preserve"> - Deferred energy and fuel cost adjustments represent the cost of electricity delivered to our Electric Utility customers that is either higher or lower than the current rates and will be recovered or refunded in future rates. Deferred energy and fuel cost adjustments are recorded and recovered or amortized as approved by the appropriate state commission. Our Electric Utilities file periodic quarterly, semi-annual and/or annual filings to recover these costs based on the respective cost mechanisms approved by their applicable state utility commissions. The recovery period for these costs is less than a year.</w:t>
      </w:r>
    </w:p>
    <w:p>
      <w:pPr>
        <w:spacing w:after="0" w:line="188" w:lineRule="exact"/>
        <w:rPr>
          <w:sz w:val="20"/>
          <w:szCs w:val="20"/>
          <w:color w:val="auto"/>
        </w:rPr>
      </w:pPr>
    </w:p>
    <w:p>
      <w:pPr>
        <w:jc w:val="both"/>
        <w:ind w:left="340" w:right="80"/>
        <w:spacing w:after="0" w:line="302"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 xml:space="preserve">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estimates of future gas costs based on market forecasts with state utility commissions. The recovery period for these costs is less than a year.</w:t>
      </w:r>
    </w:p>
    <w:p>
      <w:pPr>
        <w:spacing w:after="0" w:line="15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utilities, as allowed or required by state utility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2018 are hedged over a maximum forward term of 2 years.</w:t>
      </w:r>
    </w:p>
    <w:p>
      <w:pPr>
        <w:sectPr>
          <w:pgSz w:w="11900" w:h="16838" w:orient="portrait"/>
          <w:cols w:equalWidth="0" w:num="1">
            <w:col w:w="11400"/>
          </w:cols>
          <w:pgMar w:left="240" w:top="584" w:right="2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584" w:right="259" w:bottom="1440" w:gutter="0" w:footer="0" w:header="0"/>
          <w:type w:val="continuous"/>
        </w:sectPr>
      </w:pPr>
    </w:p>
    <w:bookmarkStart w:id="104" w:name="page105"/>
    <w:bookmarkEnd w:id="104"/>
    <w:p>
      <w:pPr>
        <w:ind w:left="340" w:right="140"/>
        <w:spacing w:after="0" w:line="297"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8"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 Employee benefit plans include the unrecognized prior service costs and net actuarial loss associated with our defined benefit pension plan and post-retirement benefit plans in regulatory assets rather than in AOCI, including costs being amortized from the Aquila and SourceGas Transactions.</w:t>
      </w:r>
    </w:p>
    <w:p>
      <w:pPr>
        <w:spacing w:after="0" w:line="181"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xml:space="preserve"> - Environmental expenditures are costs associated with manufactured gas plant sites. The amortization of this asset is first offset by recognition of insurance proceeds and settlements with other third parties. Any remaining recovery will be requested in future rate filings. Recovery has not yet been approved by the applicable commission or board and therefore, the recovery period is unknown.</w:t>
      </w:r>
    </w:p>
    <w:p>
      <w:pPr>
        <w:spacing w:after="0" w:line="181"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u w:val="single" w:color="auto"/>
          <w:color w:val="auto"/>
        </w:rPr>
        <w:t>Asset Retirement Obligations</w:t>
      </w:r>
      <w:r>
        <w:rPr>
          <w:rFonts w:ascii="Arial" w:cs="Arial" w:eastAsia="Arial" w:hAnsi="Arial"/>
          <w:sz w:val="18"/>
          <w:szCs w:val="18"/>
          <w:color w:val="auto"/>
        </w:rPr>
        <w:t xml:space="preserve"> - Asset retirement obligations represent the estimated recoverable costs for legal obligations associated with the retirement of a tangible long-lived asset. See Note 8 for additional details.</w:t>
      </w:r>
    </w:p>
    <w:p>
      <w:pPr>
        <w:spacing w:after="0" w:line="17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u w:val="single" w:color="auto"/>
          <w:color w:val="auto"/>
        </w:rPr>
        <w:t>Loss on Reacquired Debt</w:t>
      </w:r>
      <w:r>
        <w:rPr>
          <w:rFonts w:ascii="Arial" w:cs="Arial" w:eastAsia="Arial" w:hAnsi="Arial"/>
          <w:sz w:val="18"/>
          <w:szCs w:val="18"/>
          <w:color w:val="auto"/>
        </w:rPr>
        <w:t xml:space="preserve"> - Loss on reacquired debt is recovered over the remaining life of the original issue or, if refinanced, over the life of the new issue.</w:t>
      </w:r>
    </w:p>
    <w:p>
      <w:pPr>
        <w:spacing w:after="0" w:line="17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u w:val="single" w:color="auto"/>
          <w:color w:val="auto"/>
        </w:rPr>
        <w:t>Renewable Energy Standard Adjustment</w:t>
      </w:r>
      <w:r>
        <w:rPr>
          <w:rFonts w:ascii="Arial" w:cs="Arial" w:eastAsia="Arial" w:hAnsi="Arial"/>
          <w:sz w:val="16"/>
          <w:szCs w:val="16"/>
          <w:color w:val="auto"/>
        </w:rPr>
        <w:t xml:space="preserve"> - The renewable energy standard adjustment is associated with incentives for our Colorado Electric customers to install renewable energy equipment at their location. These incentives are recovered over time with an additional rider charged on customers’ bills.</w:t>
      </w:r>
    </w:p>
    <w:p>
      <w:pPr>
        <w:spacing w:after="0" w:line="124"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in the year in which the tax benefits are realized and result in lower utility rates.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154"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u w:val="single" w:color="auto"/>
          <w:color w:val="auto"/>
        </w:rPr>
        <w:t>Decommissioning Costs</w:t>
      </w:r>
      <w:r>
        <w:rPr>
          <w:rFonts w:ascii="Arial" w:cs="Arial" w:eastAsia="Arial" w:hAnsi="Arial"/>
          <w:sz w:val="18"/>
          <w:szCs w:val="18"/>
          <w:color w:val="auto"/>
        </w:rPr>
        <w:t xml:space="preserve"> - South Dakota Electric and Colorado Electric received approval in 2014 for recovery of the remaining net book values and decommissioning costs of their decommissioned coal plants. In 2018, Arkansas Gas received approval to record decommissioning costs in a regulatory asset, with recovery to be determined in a future regulatory filing.</w:t>
      </w:r>
    </w:p>
    <w:p>
      <w:pPr>
        <w:spacing w:after="0" w:line="181" w:lineRule="exact"/>
        <w:rPr>
          <w:sz w:val="20"/>
          <w:szCs w:val="20"/>
          <w:color w:val="auto"/>
        </w:rPr>
      </w:pPr>
    </w:p>
    <w:p>
      <w:pPr>
        <w:ind w:left="340" w:right="40"/>
        <w:spacing w:after="0" w:line="271" w:lineRule="auto"/>
        <w:rPr>
          <w:sz w:val="20"/>
          <w:szCs w:val="20"/>
          <w:color w:val="auto"/>
        </w:rPr>
      </w:pPr>
      <w:r>
        <w:rPr>
          <w:rFonts w:ascii="Arial" w:cs="Arial" w:eastAsia="Arial" w:hAnsi="Arial"/>
          <w:sz w:val="17"/>
          <w:szCs w:val="17"/>
          <w:u w:val="single" w:color="auto"/>
          <w:color w:val="auto"/>
        </w:rPr>
        <w:t>Gas Supply Contract Termination</w:t>
      </w:r>
      <w:r>
        <w:rPr>
          <w:rFonts w:ascii="Arial" w:cs="Arial" w:eastAsia="Arial" w:hAnsi="Arial"/>
          <w:sz w:val="17"/>
          <w:szCs w:val="17"/>
          <w:color w:val="auto"/>
        </w:rPr>
        <w:t xml:space="preserve"> - Black Hills Gas Holdings had agreements under the previous ownership that required the Company to purchase all of the natural gas produced over the productive life of specific leaseholds in the Bowdoin Field in Montana. The majority of these purchases were committed to distribution customers in Nebraska, Colorado, and Wyoming, which are subject to cost recovery mechanisms. The prices to be paid under these agreements varied, ranging from $6 to $8 per MMBtu at the time of acquisition, which exceeded market prices. We recorded a liability for this contract in our purchase price allocation. We were granted approval to terminate these agreements from the NPSC, CPUC and WPSC, on the basis that these agreements were not beneficial to customers over the long term. We received written orders allowing us to create a regulatory asset for the net buyout costs associated with the contract termination, and recover the majority of costs from customers over a period of five years. We terminated the contract and settled the liability on April 29,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Regulatory liabilities represent items we expect to refund to customers through probable future decreases in rates.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costs and gas costs related to over-recovery of purchased power, transmission and natural gas costs.</w:t>
      </w:r>
    </w:p>
    <w:p>
      <w:pPr>
        <w:spacing w:after="0" w:line="248" w:lineRule="exact"/>
        <w:rPr>
          <w:sz w:val="20"/>
          <w:szCs w:val="20"/>
          <w:color w:val="auto"/>
        </w:rPr>
      </w:pPr>
    </w:p>
    <w:p>
      <w:pPr>
        <w:ind w:left="340" w:right="120"/>
        <w:spacing w:after="0" w:line="266" w:lineRule="auto"/>
        <w:rPr>
          <w:sz w:val="20"/>
          <w:szCs w:val="20"/>
          <w:color w:val="auto"/>
        </w:rPr>
      </w:pPr>
      <w:r>
        <w:rPr>
          <w:rFonts w:ascii="Arial" w:cs="Arial" w:eastAsia="Arial" w:hAnsi="Arial"/>
          <w:sz w:val="18"/>
          <w:szCs w:val="18"/>
          <w:u w:val="single" w:color="auto"/>
          <w:color w:val="auto"/>
        </w:rPr>
        <w:t>Employee Benefit Plan Costs and Related Deferred Taxes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Employee benefit plans represent the cumulative excess of pension and retiree healthcare costs recovered in rates over pension expense recorded in accordance with accounting standards for compensation - retirement benefits. In addition, this regulatory liability includes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800" w:right="259" w:bottom="1440" w:gutter="0" w:footer="0" w:header="0"/>
        </w:sectPr>
      </w:pPr>
    </w:p>
    <w:bookmarkStart w:id="105" w:name="page106"/>
    <w:bookmarkEnd w:id="105"/>
    <w:p>
      <w:pPr>
        <w:jc w:val="both"/>
        <w:ind w:left="340" w:right="260"/>
        <w:spacing w:after="0" w:line="342" w:lineRule="auto"/>
        <w:rPr>
          <w:sz w:val="20"/>
          <w:szCs w:val="20"/>
          <w:color w:val="auto"/>
        </w:rPr>
      </w:pPr>
      <w:r>
        <w:rPr>
          <w:rFonts w:ascii="Arial" w:cs="Arial" w:eastAsia="Arial" w:hAnsi="Arial"/>
          <w:sz w:val="16"/>
          <w:szCs w:val="16"/>
          <w:color w:val="auto"/>
        </w:rPr>
        <w:t>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20" w:lineRule="exact"/>
        <w:rPr>
          <w:sz w:val="20"/>
          <w:szCs w:val="20"/>
          <w:color w:val="auto"/>
        </w:rPr>
      </w:pPr>
    </w:p>
    <w:p>
      <w:pPr>
        <w:ind w:left="340" w:right="120"/>
        <w:spacing w:after="0" w:line="282" w:lineRule="auto"/>
        <w:rPr>
          <w:sz w:val="20"/>
          <w:szCs w:val="20"/>
          <w:color w:val="auto"/>
        </w:rPr>
      </w:pPr>
      <w:r>
        <w:rPr>
          <w:rFonts w:ascii="Arial" w:cs="Arial" w:eastAsia="Arial" w:hAnsi="Arial"/>
          <w:sz w:val="18"/>
          <w:szCs w:val="18"/>
          <w:u w:val="single" w:color="auto"/>
          <w:color w:val="auto"/>
        </w:rPr>
        <w:t>Cost of Removal</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Cost of removal represents the estimated cumulative net provisions for future removal costs for which there is no legal obligation for removal included in depreciation expense.</w:t>
      </w:r>
    </w:p>
    <w:p>
      <w:pPr>
        <w:spacing w:after="0" w:line="166" w:lineRule="exact"/>
        <w:rPr>
          <w:sz w:val="20"/>
          <w:szCs w:val="20"/>
          <w:color w:val="auto"/>
        </w:rPr>
      </w:pPr>
    </w:p>
    <w:p>
      <w:pPr>
        <w:ind w:left="340" w:right="60"/>
        <w:spacing w:after="0" w:line="308" w:lineRule="auto"/>
        <w:rPr>
          <w:sz w:val="20"/>
          <w:szCs w:val="20"/>
          <w:color w:val="auto"/>
        </w:rPr>
      </w:pPr>
      <w:r>
        <w:rPr>
          <w:rFonts w:ascii="Arial" w:cs="Arial" w:eastAsia="Arial" w:hAnsi="Arial"/>
          <w:sz w:val="17"/>
          <w:szCs w:val="17"/>
          <w:u w:val="single" w:color="auto"/>
          <w:color w:val="auto"/>
        </w:rPr>
        <w:t>Excess Deferred Income Taxes</w:t>
      </w:r>
      <w:r>
        <w:rPr>
          <w:rFonts w:ascii="Arial" w:cs="Arial" w:eastAsia="Arial" w:hAnsi="Arial"/>
          <w:sz w:val="17"/>
          <w:szCs w:val="17"/>
          <w:color w:val="auto"/>
        </w:rPr>
        <w:t xml:space="preserve"> - The revaluation of the regulated utilities' deferred tax assets and liabilities due to the passage of the TCJA was recorded as an excess deferred income tax to be refunded to customers primarily using the normalization principles as prescribed in the TCJA.</w:t>
      </w:r>
    </w:p>
    <w:p>
      <w:pPr>
        <w:spacing w:after="0" w:line="147"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u w:val="single" w:color="auto"/>
          <w:color w:val="auto"/>
        </w:rPr>
        <w:t>Revenue Subject to Refund</w:t>
      </w:r>
      <w:r>
        <w:rPr>
          <w:rFonts w:ascii="Arial" w:cs="Arial" w:eastAsia="Arial" w:hAnsi="Arial"/>
          <w:sz w:val="18"/>
          <w:szCs w:val="18"/>
          <w:color w:val="auto"/>
        </w:rPr>
        <w:t xml:space="preserve"> - Revenue subject to refund at December 31, 2018 represent revenue reserved as a result of the TCJA. See above “</w:t>
      </w:r>
      <w:r>
        <w:rPr>
          <w:rFonts w:ascii="Arial" w:cs="Arial" w:eastAsia="Arial" w:hAnsi="Arial"/>
          <w:sz w:val="18"/>
          <w:szCs w:val="18"/>
          <w:i w:val="1"/>
          <w:iCs w:val="1"/>
          <w:color w:val="auto"/>
        </w:rPr>
        <w:t>TCJA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Reserve” </w:t>
      </w:r>
      <w:r>
        <w:rPr>
          <w:rFonts w:ascii="Arial" w:cs="Arial" w:eastAsia="Arial" w:hAnsi="Arial"/>
          <w:sz w:val="18"/>
          <w:szCs w:val="18"/>
          <w:color w:val="auto"/>
        </w:rPr>
        <w:t>under Revenue recognition for further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13 for additional information on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and its subsidiaries file consolidated federal income tax returns. As a result of the SourceGas transaction, certain subsidiaries acquired file as a separate consolidated group. Where applicable, each tax-paying entity records income taxes as if it were a separate taxpayer and consolidating expense adjustments are allocated to the subsidiaries based on separate company computations of taxable income or loss.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TCJA. The TCJA makes broad and complex changes to the U.S. tax code, including, but not limited to reducing the U.S. federal corporate tax rate from 35% to 21%. See Notes 13 and 15 for additional information.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our policy to apply the flow-through method of accounting for investment tax credits. Under the flow-through method, investment tax credits are reflected in net income as a reduction to income tax expense in the year they qualify. An exception to this general policy is the deferral method, which applies to our regulated businesses. Such a method results in the investment tax credit being amortized as a reduction to income tax expense over the estimated useful lives of the underlying property that gave rise to the credit.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 interest income or interest expense and penalties related to income tax matters in Income tax (expense) benefit on the Consolidated Statements of Income (Loss).</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account for uncertainty in income taxes recognized in the financial statements in accordance with the accounting standards for income taxes. The unrecognized tax benefit is classified in Other deferred credits and other liabilities on the accompanying Consolidated Balance Sheets. See Note 15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of Common Stock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per share from continuing and discontinued operations is computed by dividing Net income (loss) from continuing and discontinued operations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584"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 reconciliation of share amounts used to compute earnings (loss) per share is as follows for the years ended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2016</w:t>
            </w:r>
          </w:p>
        </w:tc>
      </w:tr>
      <w:tr>
        <w:trPr>
          <w:trHeight w:val="27"/>
        </w:trPr>
        <w:tc>
          <w:tcPr>
            <w:tcW w:w="5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1"/>
        </w:trPr>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200" w:type="dxa"/>
            <w:vAlign w:val="bottom"/>
            <w:tcBorders>
              <w:bottom w:val="single" w:sz="8" w:color="auto"/>
            </w:tcBorders>
            <w:shd w:val="clear" w:color="auto" w:fill="CEFFE7"/>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2"/>
              </w:rPr>
              <w:t>258,442</w:t>
            </w:r>
          </w:p>
        </w:tc>
        <w:tc>
          <w:tcPr>
            <w:tcW w:w="4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177,034</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72,970</w:t>
            </w:r>
          </w:p>
        </w:tc>
      </w:tr>
      <w:tr>
        <w:trPr>
          <w:trHeight w:val="20"/>
        </w:trPr>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54,420</w:t>
            </w:r>
          </w:p>
        </w:tc>
        <w:tc>
          <w:tcPr>
            <w:tcW w:w="4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53,221</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51,922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Equity Units</w:t>
            </w:r>
          </w:p>
        </w:tc>
        <w:tc>
          <w:tcPr>
            <w:tcW w:w="1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898</w:t>
            </w:r>
          </w:p>
        </w:tc>
        <w:tc>
          <w:tcPr>
            <w:tcW w:w="4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1,783</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56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20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55,486</w:t>
            </w:r>
          </w:p>
        </w:tc>
        <w:tc>
          <w:tcPr>
            <w:tcW w:w="480" w:type="dxa"/>
            <w:vAlign w:val="bottom"/>
            <w:tcBorders>
              <w:bottom w:val="single" w:sz="8" w:color="auto"/>
            </w:tcBorders>
            <w:shd w:val="clear" w:color="auto" w:fill="CEFFE7"/>
          </w:tcPr>
          <w:p>
            <w:pPr>
              <w:spacing w:after="0"/>
              <w:rPr>
                <w:sz w:val="22"/>
                <w:szCs w:val="22"/>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55,120</w:t>
            </w:r>
          </w:p>
        </w:tc>
        <w:tc>
          <w:tcPr>
            <w:tcW w:w="500" w:type="dxa"/>
            <w:vAlign w:val="bottom"/>
            <w:tcBorders>
              <w:bottom w:val="single" w:sz="8" w:color="auto"/>
            </w:tcBorders>
            <w:shd w:val="clear" w:color="auto" w:fill="CEFFE7"/>
          </w:tcPr>
          <w:p>
            <w:pPr>
              <w:spacing w:after="0"/>
              <w:rPr>
                <w:sz w:val="22"/>
                <w:szCs w:val="22"/>
                <w:color w:val="auto"/>
              </w:rPr>
            </w:pP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53,271</w:t>
            </w:r>
          </w:p>
        </w:tc>
      </w:tr>
      <w:tr>
        <w:trPr>
          <w:trHeight w:val="20"/>
        </w:trPr>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 per share - Diluted</w:t>
            </w:r>
          </w:p>
        </w:tc>
        <w:tc>
          <w:tcPr>
            <w:tcW w:w="1200" w:type="dxa"/>
            <w:vAlign w:val="bottom"/>
            <w:tcBorders>
              <w:bottom w:val="single" w:sz="8" w:color="auto"/>
            </w:tcBorders>
            <w:shd w:val="clear" w:color="auto" w:fill="CEFFE7"/>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4.66</w:t>
            </w:r>
          </w:p>
        </w:tc>
        <w:tc>
          <w:tcPr>
            <w:tcW w:w="4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1.37</w:t>
            </w:r>
          </w:p>
        </w:tc>
      </w:tr>
      <w:tr>
        <w:trPr>
          <w:trHeight w:val="20"/>
        </w:trPr>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outstanding securities were not included in the computation of diluted earnings per share as their effect would have been anti-dilutive for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jc w:val="right"/>
              <w:ind w:right="260"/>
              <w:spacing w:after="0"/>
              <w:rPr>
                <w:sz w:val="20"/>
                <w:szCs w:val="20"/>
                <w:color w:val="auto"/>
              </w:rPr>
            </w:pPr>
            <w:r>
              <w:rPr>
                <w:rFonts w:ascii="Arial" w:cs="Arial" w:eastAsia="Arial" w:hAnsi="Arial"/>
                <w:sz w:val="18"/>
                <w:szCs w:val="18"/>
                <w:color w:val="auto"/>
              </w:rPr>
              <w:t>2018</w:t>
            </w:r>
          </w:p>
        </w:tc>
        <w:tc>
          <w:tcPr>
            <w:tcW w:w="880" w:type="dxa"/>
            <w:vAlign w:val="bottom"/>
          </w:tcPr>
          <w:p>
            <w:pPr>
              <w:spacing w:after="0"/>
              <w:rPr>
                <w:sz w:val="20"/>
                <w:szCs w:val="20"/>
                <w:color w:val="auto"/>
              </w:rPr>
            </w:pPr>
          </w:p>
        </w:tc>
        <w:tc>
          <w:tcPr>
            <w:tcW w:w="1920" w:type="dxa"/>
            <w:vAlign w:val="bottom"/>
          </w:tcPr>
          <w:p>
            <w:pPr>
              <w:jc w:val="right"/>
              <w:ind w:right="1030"/>
              <w:spacing w:after="0"/>
              <w:rPr>
                <w:sz w:val="20"/>
                <w:szCs w:val="20"/>
                <w:color w:val="auto"/>
              </w:rPr>
            </w:pPr>
            <w:r>
              <w:rPr>
                <w:rFonts w:ascii="Arial" w:cs="Arial" w:eastAsia="Arial" w:hAnsi="Arial"/>
                <w:sz w:val="18"/>
                <w:szCs w:val="18"/>
                <w:color w:val="auto"/>
              </w:rPr>
              <w:t>2017</w:t>
            </w: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2016</w:t>
            </w:r>
          </w:p>
        </w:tc>
      </w:tr>
      <w:tr>
        <w:trPr>
          <w:trHeight w:val="27"/>
        </w:trPr>
        <w:tc>
          <w:tcPr>
            <w:tcW w:w="56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5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40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16</w:t>
            </w:r>
          </w:p>
        </w:tc>
        <w:tc>
          <w:tcPr>
            <w:tcW w:w="19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w w:val="93"/>
              </w:rPr>
              <w:t>Anti-dilutive shares excluded from computation of earnings (loss) per share</w:t>
            </w:r>
          </w:p>
        </w:tc>
        <w:tc>
          <w:tcPr>
            <w:tcW w:w="1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1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5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record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identifiable assets acquired and liabilities assumed recorded at their estimated fair values on the acquisition date. The excess of the purchase price over the estimated fair values of the net tangible and net intangible assets acquired is recorded as goodwill. The application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management to make significant estimates and assumptions in the determination of the fair value of assets acquired and liabilities assumed in order to properly allocate purchase price consideration between goodwill and assets that are depreciated and amortized. Our estimates are based on historical experience, information obtained from the management of the acquired companies and, when appropriate, include assistance from independent third-party appraisal firms. These estimates are inherently uncertain and unpredictable. In addition, unanticipated events or circumstances may occur which may affect the accuracy or validity of such estimates. See Note 2 for additional detail on the accounting for the SourceGas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Consolidations.</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Note 12 for additional detail on Noncontrolling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account for our share-based compensation arrangements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80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ASC 840, Leases. This ASU requires lessees to recognize a right-of-use asset and lease liability on the balance sheet for most leases,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Under the original guidance,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 In January 2018, the FASB issued amendments to the new lease standard, ASU No. 2018-01, allowing an entity to elect not to assess whether certain land easements are, or contain, leases when transitioning to the new lease standard. The FASB also issued additional amendments to the new lease standard in July 2018, ASU No. 2018-11, allowing companies to adopt the new standard with a cumulative effect adjustment as of the beginning of the year of adoption with prior year comparative financial information and disclosures remaining as previously reported.</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adopted this standard on January 1, 2019. For existing or expired land easements that were not previously accounted for as a lease, we elected the practical expedient which provides for no assessment of these easements. Further, we adopted the new standard with a cumulative effect adjustment with prior year comparative financial information remaining as previously reported when transitioning to the new standard. The standard also provides a transition practical expedient, commonly referred to as the “package of three”, that must be taken together and allows entities to (1) not reassess whether existing contracts contain leases, (2) carryforward the existing lease classification, and (3) not reassess initial direct costs associated with existing leases. We elected the “package of three” practical expedient. We have implemented a new lease accounting system and adjusted related procedures and controls accordingly. On January 1, 2019, we will record an operating lease right of use asset and an off-setting operating lease obligation liability of approximately $3.2 million. Adoption of this standard did not have a material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 to Accounting for Hedging Activities, 2017-12</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 to Accounting for Hedging Activities.</w:t>
      </w:r>
      <w:r>
        <w:rPr>
          <w:rFonts w:ascii="Arial" w:cs="Arial" w:eastAsia="Arial" w:hAnsi="Arial"/>
          <w:sz w:val="18"/>
          <w:szCs w:val="18"/>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have adopted this standard on January 1, 2019. Adoption of this standard did not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2017-04</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do not anticipate the adoption of this guidance to have any impact on our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Effective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and its related amendments (collectively known as ASC 606). Under this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We applied the five-step method outlined in the ASU to all in-scope revenue streams and elected the modified retrospective implementation method. Implementation of the standard did not have a material impact on our financial position, results of operations or cash flows. Implementation of the standard did not have a significant impact on the measurement or recognition of revenue; therefore, no cumulative adoption adjustment to the opening balance of Retained earnings at the date of initial application was necessary. The additional disclosures required by the ASU are included in Note 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Effective January 1, 2018, we adopted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standard requires employers to report the service cost component in the same line item(s)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and requires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The capitalization of only the service cost component of net periodic pension and post-retirement benefit costs in assets was applied on a prospective basis for the year ended December 31, 2018. Retrospective impact was not material and therefore prior year presentation was not changed. For our rate-regulated entities, we capitalize the other components of net periodic benefit costs into regulatory assets or regulatory liabilities and maintain a FERC-to-GAAP reporting difference for these capitalized costs. The presentation changes required for net periodic pension and post-retirement costs resulted in offsetting changes to Operating income and Other income. Implementation of the standard did not have a material impact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Effective January 1, 2018, we adopted ASU 2016-15, </w:t>
      </w:r>
      <w:r>
        <w:rPr>
          <w:rFonts w:ascii="Arial" w:cs="Arial" w:eastAsia="Arial" w:hAnsi="Arial"/>
          <w:sz w:val="18"/>
          <w:szCs w:val="18"/>
          <w:i w:val="1"/>
          <w:iCs w:val="1"/>
          <w:color w:val="auto"/>
        </w:rPr>
        <w:t>Statement of Cash Flows (Topic 230): Classification of Certain Cash Receipts and Cash Payments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Emerging Issues Task Force). </w:t>
      </w:r>
      <w:r>
        <w:rPr>
          <w:rFonts w:ascii="Arial" w:cs="Arial" w:eastAsia="Arial" w:hAnsi="Arial"/>
          <w:sz w:val="18"/>
          <w:szCs w:val="18"/>
          <w:color w:val="auto"/>
        </w:rPr>
        <w:t>This ASU requires changes in the presentation of certain items, including but not limited to,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We implemented this standard effective January 1, 2018 using the retrospective transition method. This standard had no impact on our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Restricted Cash, ASU 2016-18</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Effective January 1, 2018, we adopted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This ASU provides guidance on the presentation of restricted cash or restricted cash equivalents and reduces the diversity in practice. This ASU requires amounts generally described as restricted cash and restricted cash equivalents to be included with cash and cash equivalents when reconciling beginning-of-period and end-of-period total amounts on the statement of cash flows. We elected, as permitted by the standard, to early adopt ASU 2016-18 retrospectively as of January 1, 2017 and have applied it to all periods presented herein. The adoption of ASU 2016-18 did not have a material impact to our condensed consolidated financial statements. The effect of the adoption of ASU 2016-18 on our Condensed Consolidated Statements of Cash Flows was to include restricted cash balances in the beginning and end of period balances of cash, cash equivalents, and restricted cash. The change in restricted cash was previously disclosed in investing activities in the Condensed Consolidated Statements of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auto"/>
        </w:rPr>
        <w:t>Reclassification of Certain Tax Effects from Accumulated Other Comprehensive Income, ASU 2018-02</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This ASU was issued to address industry concerns regarding the application of current accounting guidance to certain provisions of the new tax reform legislation. This ASU permits entities to make a one-time reclassification from AOCI to retained earnings for stranded tax effects resulting from the newly enacted corporate tax rate. The amount of the reclassification is calculated on the basis of the difference between the historical and newly enacted tax rates for deferred tax liabilities and assets related to items within AOCI. The ASU is effective for fiscal years beginning after December 15, 2018, including interim periods therein, and early adoption is permitted. We have implemented this ASU effective December 22, 2017, the enactment date of the TCJA, which resulted in a reclassification of $7.0 million of stranded tax effects from AOCI to retained earnings. Adoption of this ASU did not have a material impact on our consolidated financial position,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Improvements to Employee Share-Based Payment Accounting, ASU 2016-09</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simplifies several aspects of the accounting for employee share-based payment transactions, including the accounting for forfeitures, income taxes, and statutory tax withholding requirements. The ASU was effective for fiscal years, and interim periods within those years, beginning after December 15, 2016, with early adoption permitted. Certain amendments of this guidance are to be applied retrospectively and others prospectively. We implemented this ASU effective January 1, 2017, recording a cumulative-effect adjustment of $3.2 million to Retained earnings in the Consolidated Balance Sheets as of the date of adoption, representing previously recorded forfeitures and excess tax benefits generated in years prior to 2017 that were previously not recognized in stockholders’ equity due to NOLs in those years. Adoption of this ASU did not have a material impact on our consolidated financial position, results of operations or cash flows.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w:t>
        <w:tab/>
        <w:t>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SourceGas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February 12, 2016, Black Hills Corporation acquired SourceGas, pursuant to the purchase and sale agreement executed on July 12, 2015 for approximately $1.89 billion, including the assumption of $760 million in debt at closing. SourceGas is a 100% owned subsidiary of Black Hills Utility Holdings, Inc., a wholly-owned subsidiary of Black Hills Corporation and has been renamed Black Hills Gas Holdings, LLC. Black Hills Gas Holdings primarily operates four regulated natural gas utilities serving approximately 429,000 customers in Arkansas, Colorado, Nebraska and Wyoming, and a 512-mile regulated intrastate natural gas transmission pipeline in Colorado.</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consideration of $1.135 billion paid on February 12, 2016 to close the SourceGas Acquisition included net proceeds of approximately $536 million from the November 23, 2015 issuance of 6.325 million shares of our common stock, 5.98 million Equity Units, and $546 million in net proceeds from our debt offerings on January 13, 2016. We funded the cash consideration and out-of-pocket expenses payable with the SourceGas Acquisition using the proceeds listed above, cash on hand, and draws under our revolving credit facility.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acquisition, the Company recorded pre-tax, incremental acquisition costs of approximately $45 million for the year ending December 31, 2016. These costs consisted of transaction costs, professional fees, employee-related expenses and other miscellaneous costs. The costs are recorded primarily in Other operating expenses on the Consolidated Statements of Income.</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consolidated operating results for the year ended December 31, 2016 include revenues of $348 million and net income of $15 million, attributable to SourceGas for the period from February 12 through December 31, 2016. The SourceGas operating results are reported in our Gas Utilities segment. We believe the SourceGas Acquisition enhances Black Hills Corporation’s utility growth strategy, providing greater operating scale, driving more efficient delivery of services and benefiting customers.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accounted for the SourceGas Acquisition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with identifiable assets acquired and liabilities assumed recorded at their estimated fair values on the acquisition date. Substantially all of SourceGas’ operations are subject to the rate-setting authority of state regulatory commissions, and are accounted for in accordance with GAAP for regulated operations. SourceGas’ assets and liabilities subject to rate setting provisions provide revenues derived from costs, including a return on investment of assets and liabilities included in rate base. As such, the fair value of these assets and liabilities equal their historical net book values.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4" w:right="239" w:bottom="1440" w:gutter="0" w:footer="0" w:header="0"/>
        </w:sectPr>
      </w:pPr>
    </w:p>
    <w:bookmarkStart w:id="110" w:name="page111"/>
    <w:bookmarkEnd w:id="110"/>
    <w:p>
      <w:pPr>
        <w:spacing w:after="0" w:line="255" w:lineRule="auto"/>
        <w:rPr>
          <w:sz w:val="20"/>
          <w:szCs w:val="20"/>
          <w:color w:val="auto"/>
        </w:rPr>
      </w:pPr>
      <w:r>
        <w:rPr>
          <w:rFonts w:ascii="Arial" w:cs="Arial" w:eastAsia="Arial" w:hAnsi="Arial"/>
          <w:sz w:val="18"/>
          <w:szCs w:val="18"/>
          <w:color w:val="auto"/>
        </w:rPr>
        <w:t>The final purchase price allocation of the fair value of the assets acquired and liabilities assumed is included in the table below. The cash consideration paid of $1.124 billion, net of long-term debt assumed of $760 million and a working capital adjustment received of approximately $11 million, resulted in goodwill of $940 million. We had up to one year from the acquisition date to finalize the purchase price allocation. The working capital adjustment received in 2016 of $11 million reflected changes in valuation estimates for intangible assets, accrued liabilities and deferred taxes. Approximately $252 million of the goodwill balance is amortizable for tax purposes, relating to the partnership interests that were directly acquired in the transaction. The remainder of the goodwill balance is not amortizable for tax purposes. Goodwill generated from the acquisition reflects the benefits of increased operating scale and organic growth opportunities.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(in thousands)</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 Price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1,894,882</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Less: Long-term debt assumed</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(760,000)</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Less: Working capital adjustment received</w:t>
            </w:r>
          </w:p>
        </w:tc>
        <w:tc>
          <w:tcPr>
            <w:tcW w:w="38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(10,644)</w:t>
            </w:r>
          </w:p>
        </w:tc>
      </w:tr>
      <w:tr>
        <w:trPr>
          <w:trHeight w:val="297"/>
        </w:trPr>
        <w:tc>
          <w:tcPr>
            <w:tcW w:w="9140" w:type="dxa"/>
            <w:vAlign w:val="bottom"/>
            <w:tcBorders>
              <w:bottom w:val="single" w:sz="8" w:color="CEFFE7"/>
            </w:tcBorders>
          </w:tcPr>
          <w:p>
            <w:pPr>
              <w:ind w:left="320"/>
              <w:spacing w:after="0"/>
              <w:rPr>
                <w:sz w:val="20"/>
                <w:szCs w:val="20"/>
                <w:color w:val="auto"/>
              </w:rPr>
            </w:pPr>
            <w:r>
              <w:rPr>
                <w:rFonts w:ascii="Arial" w:cs="Arial" w:eastAsia="Arial" w:hAnsi="Arial"/>
                <w:sz w:val="18"/>
                <w:szCs w:val="18"/>
                <w:color w:val="auto"/>
              </w:rPr>
              <w:t>Consideration paid, net of working capital adjustment received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1,124,238</w:t>
            </w:r>
          </w:p>
        </w:tc>
      </w:tr>
      <w:tr>
        <w:trPr>
          <w:trHeight w:val="311"/>
        </w:trPr>
        <w:tc>
          <w:tcPr>
            <w:tcW w:w="91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900" w:type="dxa"/>
            <w:vAlign w:val="bottom"/>
            <w:shd w:val="clear" w:color="auto" w:fill="CEFFE7"/>
          </w:tcPr>
          <w:p>
            <w:pPr>
              <w:spacing w:after="0"/>
              <w:rPr>
                <w:sz w:val="24"/>
                <w:szCs w:val="24"/>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Allocation of Purchase Price:</w:t>
            </w: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112,983</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Property, plant &amp; equipment, net</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1,058,093</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939,695</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Deferred charges and other assets, excluding goodwill</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133,299</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(172,454)</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(758,874)</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Deferred credits and other liabilities</w:t>
            </w:r>
          </w:p>
        </w:tc>
        <w:tc>
          <w:tcPr>
            <w:tcW w:w="38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(188,504)</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consideration paid, net of working-capital adjustment received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1,124,238</w:t>
            </w:r>
          </w:p>
        </w:tc>
      </w:tr>
      <w:tr>
        <w:trPr>
          <w:trHeight w:val="20"/>
        </w:trPr>
        <w:tc>
          <w:tcPr>
            <w:tcW w:w="9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of SourceGas Acquisition Regulatory Approval</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acquisition was subject to regulatory approvals from the public utility commissions in Arkansas (APSC), Colorado (CPUC), Nebraska (NPSC), and Wyoming (WPSC). Approvals were obtained from all commissions, subject to various conditions. We have met all conditions as set forth in the commissions’ approval orders.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calculated the pro forma impact of the SourceGas Acquisition and the associated debt and equity financings on our operating results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following pro forma results give effect to the acquisition, assuming the transaction closed on January 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jc w:val="center"/>
              <w:ind w:right="70"/>
              <w:spacing w:after="0"/>
              <w:rPr>
                <w:sz w:val="20"/>
                <w:szCs w:val="20"/>
                <w:color w:val="auto"/>
              </w:rPr>
            </w:pPr>
            <w:r>
              <w:rPr>
                <w:rFonts w:ascii="Arial" w:cs="Arial" w:eastAsia="Arial" w:hAnsi="Arial"/>
                <w:sz w:val="18"/>
                <w:szCs w:val="18"/>
                <w:color w:val="auto"/>
                <w:w w:val="89"/>
              </w:rPr>
              <w:t>Pro Forma Results</w:t>
            </w:r>
          </w:p>
        </w:tc>
      </w:tr>
      <w:tr>
        <w:trPr>
          <w:trHeight w:val="270"/>
        </w:trPr>
        <w:tc>
          <w:tcPr>
            <w:tcW w:w="480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2016</w:t>
            </w:r>
          </w:p>
        </w:tc>
      </w:tr>
      <w:tr>
        <w:trPr>
          <w:trHeight w:val="256"/>
        </w:trPr>
        <w:tc>
          <w:tcPr>
            <w:tcW w:w="48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Pr>
          <w:p>
            <w:pPr>
              <w:jc w:val="center"/>
              <w:ind w:right="70"/>
              <w:spacing w:after="0"/>
              <w:rPr>
                <w:sz w:val="20"/>
                <w:szCs w:val="20"/>
                <w:color w:val="auto"/>
              </w:rPr>
            </w:pPr>
            <w:r>
              <w:rPr>
                <w:rFonts w:ascii="Arial" w:cs="Arial" w:eastAsia="Arial" w:hAnsi="Arial"/>
                <w:sz w:val="18"/>
                <w:szCs w:val="18"/>
                <w:color w:val="auto"/>
                <w:w w:val="88"/>
              </w:rPr>
              <w:t>(in thousands, except per share</w:t>
            </w:r>
          </w:p>
        </w:tc>
      </w:tr>
      <w:tr>
        <w:trPr>
          <w:trHeight w:val="230"/>
        </w:trPr>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jc w:val="center"/>
              <w:ind w:right="70"/>
              <w:spacing w:after="0"/>
              <w:rPr>
                <w:sz w:val="20"/>
                <w:szCs w:val="20"/>
                <w:color w:val="auto"/>
              </w:rPr>
            </w:pPr>
            <w:r>
              <w:rPr>
                <w:rFonts w:ascii="Arial" w:cs="Arial" w:eastAsia="Arial" w:hAnsi="Arial"/>
                <w:sz w:val="18"/>
                <w:szCs w:val="18"/>
                <w:color w:val="auto"/>
                <w:w w:val="87"/>
              </w:rPr>
              <w:t>amounts)</w:t>
            </w:r>
          </w:p>
        </w:tc>
      </w:tr>
      <w:tr>
        <w:trPr>
          <w:trHeight w:val="27"/>
        </w:trPr>
        <w:tc>
          <w:tcPr>
            <w:tcW w:w="4800" w:type="dxa"/>
            <w:vAlign w:val="bottom"/>
            <w:tcBorders>
              <w:bottom w:val="single" w:sz="8" w:color="CEFFE7"/>
            </w:tcBorders>
          </w:tcPr>
          <w:p>
            <w:pPr>
              <w:spacing w:after="0"/>
              <w:rPr>
                <w:sz w:val="2"/>
                <w:szCs w:val="2"/>
                <w:color w:val="auto"/>
              </w:rPr>
            </w:pPr>
          </w:p>
        </w:tc>
        <w:tc>
          <w:tcPr>
            <w:tcW w:w="40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41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1,617,878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4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177,040</w:t>
            </w: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41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112,878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Earnings from continuing operations per share, Basic</w:t>
            </w:r>
          </w:p>
        </w:tc>
        <w:tc>
          <w:tcPr>
            <w:tcW w:w="4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Earnings from continuing operations per share, Diluted</w:t>
            </w:r>
          </w:p>
        </w:tc>
        <w:tc>
          <w:tcPr>
            <w:tcW w:w="41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3.32</w:t>
            </w:r>
          </w:p>
        </w:tc>
      </w:tr>
      <w:tr>
        <w:trPr>
          <w:trHeight w:val="675"/>
        </w:trPr>
        <w:tc>
          <w:tcPr>
            <w:tcW w:w="4800" w:type="dxa"/>
            <w:vAlign w:val="bottom"/>
          </w:tcPr>
          <w:p>
            <w:pPr>
              <w:spacing w:after="0"/>
              <w:rPr>
                <w:sz w:val="24"/>
                <w:szCs w:val="24"/>
                <w:color w:val="auto"/>
              </w:rPr>
            </w:pPr>
          </w:p>
        </w:tc>
        <w:tc>
          <w:tcPr>
            <w:tcW w:w="4000" w:type="dxa"/>
            <w:vAlign w:val="bottom"/>
          </w:tcPr>
          <w:p>
            <w:pPr>
              <w:jc w:val="right"/>
              <w:ind w:right="287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1" w:name="page112"/>
    <w:bookmarkEnd w:id="111"/>
    <w:p>
      <w:pPr>
        <w:ind w:right="60"/>
        <w:spacing w:after="0" w:line="271" w:lineRule="auto"/>
        <w:rPr>
          <w:sz w:val="20"/>
          <w:szCs w:val="20"/>
          <w:color w:val="auto"/>
        </w:rPr>
      </w:pPr>
      <w:r>
        <w:rPr>
          <w:rFonts w:ascii="Arial" w:cs="Arial" w:eastAsia="Arial" w:hAnsi="Arial"/>
          <w:sz w:val="17"/>
          <w:szCs w:val="17"/>
          <w:color w:val="auto"/>
        </w:rPr>
        <w:t>We derived the pro forma results for the SourceGas Acquisition based on historical financial information obtained from the sellers and certain management assumptions. Our pro forma adjustments relate to incremental interest expense associated with the financings to effect the transaction, and for the year ended December 31, 2016, also include adjustments to shares outstanding to reflect the equity issuances as if they had occurred on January 1, 2016, and to reflect pro forma dilutive effects of the equity units issued. The pro forma results do not reflect any cost savings, (or associated costs to achieve such savings) from operating efficiencies or restructuring that could result from the acquisition, and exclude any unique one-time items resulting from the acquisition that are not expected to have a continuing impact on the combined consolidated results. Pro forma results for the year ended December 31, 2016 reflect unfavorable weather impacts resulting in lower gas usage by our customers than in the same periods of the prior year. In addition, we calculated the tax impact of these adjustments at an estimated combined federal and state income tax rate of 37%.</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pro forma results are for illustrative purposes only and do not purport to be indicative of the results that would have been obtained had the SourceGas Acquisition been completed on January 1, 2016, or that may be obtained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 noncontrolling interest</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part of the SourceGas Transaction, a seller retained a 0.5% noncontrolling interest and we entered into an associated option agreement with the holder for the 0.5% retained interest. In March 2017, we exercised our call option and purchased the remaining 0.5% equity interest in SourceGas for $5.6 million.</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December 31 consisted of the following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340" w:type="dxa"/>
            <w:vAlign w:val="bottom"/>
            <w:gridSpan w:val="2"/>
          </w:tcPr>
          <w:p>
            <w:pPr>
              <w:jc w:val="right"/>
              <w:ind w:right="1070"/>
              <w:spacing w:after="0"/>
              <w:rPr>
                <w:sz w:val="20"/>
                <w:szCs w:val="20"/>
                <w:color w:val="auto"/>
              </w:rPr>
            </w:pPr>
            <w:r>
              <w:rPr>
                <w:rFonts w:ascii="Arial" w:cs="Arial" w:eastAsia="Arial" w:hAnsi="Arial"/>
                <w:sz w:val="18"/>
                <w:szCs w:val="18"/>
                <w:b w:val="1"/>
                <w:bCs w:val="1"/>
                <w:color w:val="auto"/>
              </w:rPr>
              <w:t>2017</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Lives (in years)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Average Useful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Property, Plant</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Average Useful</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Electric Utilities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Life (in years)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5"/>
              </w:rPr>
              <w:t>and Equipment</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3"/>
              </w:rPr>
              <w:t>Life (in years)</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8"/>
              </w:rPr>
              <w:t>Minimum</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Electric plant: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1,318,643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41</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1,315,044</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39</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32</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Electric transmission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437,082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407,203</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51</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48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793,725</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48</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755,213</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48</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45</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70"/>
        </w:trPr>
        <w:tc>
          <w:tcPr>
            <w:tcW w:w="3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Plant acquisition adjustment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233,531</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28</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232,842</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31</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26</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Capital lease - plant in service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261,441</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20</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261,441</w:t>
            </w:r>
          </w:p>
        </w:tc>
        <w:tc>
          <w:tcPr>
            <w:tcW w:w="1340" w:type="dxa"/>
            <w:vAlign w:val="bottom"/>
            <w:tcBorders>
              <w:bottom w:val="single" w:sz="8" w:color="CEFFE7"/>
            </w:tcBorders>
          </w:tcPr>
          <w:p>
            <w:pPr>
              <w:jc w:val="center"/>
              <w:ind w:right="30"/>
              <w:spacing w:after="0"/>
              <w:rPr>
                <w:sz w:val="20"/>
                <w:szCs w:val="20"/>
                <w:color w:val="auto"/>
              </w:rPr>
            </w:pPr>
            <w:r>
              <w:rPr>
                <w:rFonts w:ascii="Arial" w:cs="Arial" w:eastAsia="Arial" w:hAnsi="Arial"/>
                <w:sz w:val="18"/>
                <w:szCs w:val="18"/>
                <w:color w:val="auto"/>
                <w:w w:val="89"/>
              </w:rPr>
              <w:t>20</w:t>
            </w:r>
          </w:p>
        </w:tc>
        <w:tc>
          <w:tcPr>
            <w:tcW w:w="1140" w:type="dxa"/>
            <w:vAlign w:val="bottom"/>
            <w:tcBorders>
              <w:bottom w:val="single" w:sz="8" w:color="CEFFE7"/>
            </w:tcBorders>
          </w:tcPr>
          <w:p>
            <w:pPr>
              <w:jc w:val="center"/>
              <w:ind w:right="30"/>
              <w:spacing w:after="0"/>
              <w:rPr>
                <w:sz w:val="20"/>
                <w:szCs w:val="20"/>
                <w:color w:val="auto"/>
              </w:rPr>
            </w:pPr>
            <w:r>
              <w:rPr>
                <w:rFonts w:ascii="Arial" w:cs="Arial" w:eastAsia="Arial" w:hAnsi="Arial"/>
                <w:sz w:val="18"/>
                <w:szCs w:val="18"/>
                <w:color w:val="auto"/>
                <w:w w:val="89"/>
              </w:rPr>
              <w:t>20</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electric plant in service</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3,049,292</w:t>
            </w:r>
          </w:p>
        </w:tc>
        <w:tc>
          <w:tcPr>
            <w:tcW w:w="12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2,976,613</w:t>
            </w:r>
          </w:p>
        </w:tc>
        <w:tc>
          <w:tcPr>
            <w:tcW w:w="1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work in progress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60,480</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13,595</w:t>
            </w: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electric plant</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3,109,772</w:t>
            </w:r>
          </w:p>
        </w:tc>
        <w:tc>
          <w:tcPr>
            <w:tcW w:w="12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2,990,208</w:t>
            </w:r>
          </w:p>
        </w:tc>
        <w:tc>
          <w:tcPr>
            <w:tcW w:w="1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9"/>
              </w:rPr>
              <w:t>Less accumulated depreciation and amortization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706,869</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644,022</w:t>
            </w: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EFFE7"/>
          </w:tcPr>
          <w:p>
            <w:pPr>
              <w:ind w:left="180"/>
              <w:spacing w:after="0"/>
              <w:rPr>
                <w:sz w:val="20"/>
                <w:szCs w:val="20"/>
                <w:color w:val="auto"/>
              </w:rPr>
            </w:pPr>
            <w:r>
              <w:rPr>
                <w:rFonts w:ascii="Arial" w:cs="Arial" w:eastAsia="Arial" w:hAnsi="Arial"/>
                <w:sz w:val="18"/>
                <w:szCs w:val="18"/>
                <w:color w:val="auto"/>
                <w:w w:val="92"/>
              </w:rPr>
              <w:t>Electric plant net of accumulated depreciation and</w:t>
            </w:r>
          </w:p>
        </w:tc>
        <w:tc>
          <w:tcPr>
            <w:tcW w:w="28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2,402,903</w:t>
            </w:r>
          </w:p>
        </w:tc>
        <w:tc>
          <w:tcPr>
            <w:tcW w:w="1240" w:type="dxa"/>
            <w:vAlign w:val="bottom"/>
            <w:shd w:val="clear" w:color="auto" w:fill="CEFFE7"/>
          </w:tcPr>
          <w:p>
            <w:pPr>
              <w:spacing w:after="0"/>
              <w:rPr>
                <w:sz w:val="18"/>
                <w:szCs w:val="18"/>
                <w:color w:val="auto"/>
              </w:rPr>
            </w:pPr>
          </w:p>
        </w:tc>
        <w:tc>
          <w:tcPr>
            <w:tcW w:w="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2,346,186</w:t>
            </w:r>
          </w:p>
        </w:tc>
        <w:tc>
          <w:tcPr>
            <w:tcW w:w="1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vMerge w:val="continue"/>
            <w:shd w:val="clear" w:color="auto" w:fill="CEFFE7"/>
          </w:tcPr>
          <w:p>
            <w:pPr>
              <w:spacing w:after="0"/>
              <w:rPr>
                <w:sz w:val="20"/>
                <w:szCs w:val="20"/>
                <w:color w:val="auto"/>
              </w:rPr>
            </w:pPr>
          </w:p>
        </w:tc>
        <w:tc>
          <w:tcPr>
            <w:tcW w:w="1020" w:type="dxa"/>
            <w:vAlign w:val="bottom"/>
            <w:tcBorders>
              <w:bottom w:val="single" w:sz="8" w:color="auto"/>
            </w:tcBorders>
            <w:vMerge w:val="continue"/>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000" w:type="dxa"/>
            <w:vAlign w:val="bottom"/>
            <w:tcBorders>
              <w:bottom w:val="single" w:sz="8" w:color="auto"/>
            </w:tcBorders>
            <w:vMerge w:val="continue"/>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spacing w:after="0"/>
              <w:rPr>
                <w:sz w:val="20"/>
                <w:szCs w:val="20"/>
                <w:color w:val="auto"/>
              </w:rPr>
            </w:pPr>
          </w:p>
        </w:tc>
        <w:tc>
          <w:tcPr>
            <w:tcW w:w="114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plant acquisition adjustment is included in rate base and is being recovered with 12 years remaining.</w:t>
      </w:r>
    </w:p>
    <w:p>
      <w:pPr>
        <w:spacing w:after="0" w:line="9" w:lineRule="exact"/>
        <w:rPr>
          <w:rFonts w:ascii="Arial" w:cs="Arial" w:eastAsia="Arial" w:hAnsi="Arial"/>
          <w:sz w:val="16"/>
          <w:szCs w:val="16"/>
          <w:color w:val="auto"/>
        </w:rPr>
      </w:pPr>
    </w:p>
    <w:p>
      <w:pPr>
        <w:ind w:left="340" w:right="220" w:hanging="332"/>
        <w:spacing w:after="0" w:line="257"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Capital lease - plant in service represents the assets accounted for as a capital lease under the PPA between Colorado Electric and Black Hills Colorado IPP. The capital lease ends in conjunction with the expiration of the PPA on December 31, 2031.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8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340" w:type="dxa"/>
            <w:vAlign w:val="bottom"/>
            <w:gridSpan w:val="2"/>
          </w:tcPr>
          <w:p>
            <w:pPr>
              <w:jc w:val="right"/>
              <w:ind w:right="1070"/>
              <w:spacing w:after="0"/>
              <w:rPr>
                <w:sz w:val="20"/>
                <w:szCs w:val="20"/>
                <w:color w:val="auto"/>
              </w:rPr>
            </w:pPr>
            <w:r>
              <w:rPr>
                <w:rFonts w:ascii="Arial" w:cs="Arial" w:eastAsia="Arial" w:hAnsi="Arial"/>
                <w:sz w:val="18"/>
                <w:szCs w:val="18"/>
                <w:b w:val="1"/>
                <w:bCs w:val="1"/>
                <w:color w:val="auto"/>
              </w:rPr>
              <w:t>2017</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Lives (in years)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Average Useful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Property, Plant</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Average Useful</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Life (in years)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5"/>
              </w:rPr>
              <w:t>and Equipment</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3"/>
              </w:rPr>
              <w:t>Life (in years)</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8"/>
              </w:rPr>
              <w:t>Minimum</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Gas plant: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13,580</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35</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10,495</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35</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24</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Gas transmission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423,873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366,433</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48</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22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1,595,644</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42</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1,413,431</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42</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70"/>
        </w:trPr>
        <w:tc>
          <w:tcPr>
            <w:tcW w:w="3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Cushion gas - depreciable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28</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28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39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Cushion gas - not depreciated </w:t>
            </w:r>
            <w:r>
              <w:rPr>
                <w:rFonts w:ascii="Arial" w:cs="Arial" w:eastAsia="Arial" w:hAnsi="Arial"/>
                <w:sz w:val="25"/>
                <w:szCs w:val="25"/>
                <w:color w:val="auto"/>
                <w:vertAlign w:val="superscript"/>
              </w:rPr>
              <w:t>(a)</w:t>
            </w:r>
          </w:p>
        </w:tc>
        <w:tc>
          <w:tcPr>
            <w:tcW w:w="2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46,369</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47,466</w:t>
            </w:r>
          </w:p>
        </w:tc>
        <w:tc>
          <w:tcPr>
            <w:tcW w:w="134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99"/>
              </w:rPr>
              <w:t>N/A</w:t>
            </w:r>
          </w:p>
        </w:tc>
        <w:tc>
          <w:tcPr>
            <w:tcW w:w="114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Storage</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29,335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28,520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31</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28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355,920</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w:t>
            </w: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336,869</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19</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10</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gas plant in service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2,468,260</w:t>
            </w:r>
          </w:p>
        </w:tc>
        <w:tc>
          <w:tcPr>
            <w:tcW w:w="1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2,206,753</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Construction work in progress</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38,271</w:t>
            </w:r>
          </w:p>
        </w:tc>
        <w:tc>
          <w:tcPr>
            <w:tcW w:w="12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44,440</w:t>
            </w:r>
          </w:p>
        </w:tc>
        <w:tc>
          <w:tcPr>
            <w:tcW w:w="1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gas plant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2,506,531</w:t>
            </w:r>
          </w:p>
        </w:tc>
        <w:tc>
          <w:tcPr>
            <w:tcW w:w="1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2,251,193</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Less accumulated depreciation and amortization</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279,580</w:t>
            </w:r>
          </w:p>
        </w:tc>
        <w:tc>
          <w:tcPr>
            <w:tcW w:w="12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229,170</w:t>
            </w:r>
          </w:p>
        </w:tc>
        <w:tc>
          <w:tcPr>
            <w:tcW w:w="1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8"/>
                <w:szCs w:val="18"/>
                <w:color w:val="auto"/>
                <w:w w:val="99"/>
              </w:rPr>
              <w:t>Gas plant net of accumulated depreciation and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2,226,951</w:t>
            </w:r>
          </w:p>
        </w:tc>
        <w:tc>
          <w:tcPr>
            <w:tcW w:w="124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2,022,023</w:t>
            </w: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8890</wp:posOffset>
            </wp:positionV>
            <wp:extent cx="7975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8890</wp:posOffset>
            </wp:positionV>
            <wp:extent cx="823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-130175</wp:posOffset>
            </wp:positionV>
            <wp:extent cx="797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-130175</wp:posOffset>
            </wp:positionV>
            <wp:extent cx="823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 w:lineRule="exact"/>
        <w:rPr>
          <w:sz w:val="20"/>
          <w:szCs w:val="20"/>
          <w:color w:val="auto"/>
        </w:rPr>
      </w:pPr>
    </w:p>
    <w:p>
      <w:pPr>
        <w:ind w:left="340" w:right="300" w:hanging="332"/>
        <w:spacing w:after="0" w:line="254"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Cushion gas is the portion of natural gas necessary to force saleable gas from a storage field into the transmission system and for system balancing, representing a permanent investment necessary to use storage facilities and maintain reliability. Depreciation of cushion gas is determined by the respective regulatory jurisdiction in which the cushion gas resides.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3"/>
              </w:rPr>
              <w:t>Lives (in years)</w:t>
            </w:r>
          </w:p>
        </w:tc>
        <w:tc>
          <w:tcPr>
            <w:tcW w:w="940" w:type="dxa"/>
            <w:vAlign w:val="bottom"/>
          </w:tcPr>
          <w:p>
            <w:pPr>
              <w:spacing w:after="0"/>
              <w:rPr>
                <w:sz w:val="20"/>
                <w:szCs w:val="20"/>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4"/>
              </w:rPr>
              <w:t>Less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Construction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Total Property</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2"/>
              </w:rPr>
              <w:t>Depreciation,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Net Property,</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4"/>
              </w:rPr>
              <w:t>Work in</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Plant and</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9"/>
              </w:rPr>
              <w:t>Plant and</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14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6"/>
              </w:rPr>
              <w:t>Progress</w:t>
            </w:r>
          </w:p>
        </w:tc>
        <w:tc>
          <w:tcPr>
            <w:tcW w:w="18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Equipment</w:t>
            </w:r>
          </w:p>
        </w:tc>
        <w:tc>
          <w:tcPr>
            <w:tcW w:w="16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Equipment</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8"/>
              </w:rPr>
              <w:t>Useful Life</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Minimum</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173,997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11,796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185,793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64,273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121,520</w:t>
            </w:r>
          </w:p>
        </w:tc>
        <w:tc>
          <w:tcPr>
            <w:tcW w:w="96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9"/>
              </w:rPr>
              <w:t>31</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Mining</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175,650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111,689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63,961</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13</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594"/>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3"/>
              </w:rPr>
              <w:t>Lives (in years)</w:t>
            </w:r>
          </w:p>
        </w:tc>
        <w:tc>
          <w:tcPr>
            <w:tcW w:w="940" w:type="dxa"/>
            <w:vAlign w:val="bottom"/>
          </w:tcPr>
          <w:p>
            <w:pPr>
              <w:spacing w:after="0"/>
              <w:rPr>
                <w:sz w:val="24"/>
                <w:szCs w:val="24"/>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4"/>
              </w:rPr>
              <w:t>Less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Construction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Total Property</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2"/>
              </w:rPr>
              <w:t>Depreciation,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Net Property,</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4"/>
              </w:rPr>
              <w:t>Work in</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Plant and</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9"/>
              </w:rPr>
              <w:t>Plant and</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14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6"/>
              </w:rPr>
              <w:t>Progress</w:t>
            </w:r>
          </w:p>
        </w:tc>
        <w:tc>
          <w:tcPr>
            <w:tcW w:w="18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Equipment</w:t>
            </w:r>
          </w:p>
        </w:tc>
        <w:tc>
          <w:tcPr>
            <w:tcW w:w="16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Equipment</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8"/>
              </w:rPr>
              <w:t>Useful Life</w:t>
            </w:r>
          </w:p>
        </w:tc>
        <w:tc>
          <w:tcPr>
            <w:tcW w:w="1260" w:type="dxa"/>
            <w:vAlign w:val="bottom"/>
          </w:tcPr>
          <w:p>
            <w:pPr>
              <w:ind w:left="180"/>
              <w:spacing w:after="0"/>
              <w:rPr>
                <w:sz w:val="20"/>
                <w:szCs w:val="20"/>
                <w:color w:val="auto"/>
              </w:rPr>
            </w:pPr>
            <w:r>
              <w:rPr>
                <w:rFonts w:ascii="Arial" w:cs="Arial" w:eastAsia="Arial" w:hAnsi="Arial"/>
                <w:sz w:val="18"/>
                <w:szCs w:val="18"/>
                <w:color w:val="auto"/>
              </w:rPr>
              <w:t>Minimum</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155,569</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155,793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57,813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97,980</w:t>
            </w:r>
          </w:p>
        </w:tc>
        <w:tc>
          <w:tcPr>
            <w:tcW w:w="96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9"/>
              </w:rPr>
              <w:t>33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Mining</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158,370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158,370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108,844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49,526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14</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931"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3"/>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00" w:type="dxa"/>
            <w:vAlign w:val="bottom"/>
            <w:gridSpan w:val="4"/>
          </w:tcPr>
          <w:p>
            <w:pPr>
              <w:ind w:left="80"/>
              <w:spacing w:after="0" w:line="151" w:lineRule="exact"/>
              <w:rPr>
                <w:sz w:val="20"/>
                <w:szCs w:val="20"/>
                <w:color w:val="auto"/>
              </w:rPr>
            </w:pPr>
            <w:r>
              <w:rPr>
                <w:rFonts w:ascii="Arial" w:cs="Arial" w:eastAsia="Arial" w:hAnsi="Arial"/>
                <w:sz w:val="14"/>
                <w:szCs w:val="14"/>
                <w:color w:val="auto"/>
                <w:w w:val="96"/>
              </w:rPr>
              <w:t>Less Accumulated Add 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Total Property</w:t>
            </w:r>
          </w:p>
        </w:tc>
        <w:tc>
          <w:tcPr>
            <w:tcW w:w="18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Depreciation -</w:t>
            </w:r>
          </w:p>
        </w:tc>
        <w:tc>
          <w:tcPr>
            <w:tcW w:w="140" w:type="dxa"/>
            <w:vAlign w:val="bottom"/>
          </w:tcPr>
          <w:p>
            <w:pPr>
              <w:spacing w:after="0"/>
              <w:rPr>
                <w:sz w:val="12"/>
                <w:szCs w:val="12"/>
                <w:color w:val="auto"/>
              </w:rPr>
            </w:pPr>
          </w:p>
        </w:tc>
        <w:tc>
          <w:tcPr>
            <w:tcW w:w="94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5"/>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Plant and</w:t>
            </w:r>
          </w:p>
        </w:tc>
        <w:tc>
          <w:tcPr>
            <w:tcW w:w="180" w:type="dxa"/>
            <w:vAlign w:val="bottom"/>
          </w:tcPr>
          <w:p>
            <w:pPr>
              <w:spacing w:after="0"/>
              <w:rPr>
                <w:sz w:val="12"/>
                <w:szCs w:val="12"/>
                <w:color w:val="auto"/>
              </w:rPr>
            </w:pPr>
          </w:p>
        </w:tc>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Depletion and</w:t>
            </w:r>
          </w:p>
        </w:tc>
        <w:tc>
          <w:tcPr>
            <w:tcW w:w="16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Capital Lease</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140" w:type="dxa"/>
            <w:vAlign w:val="bottom"/>
            <w:tcBorders>
              <w:bottom w:val="single" w:sz="8" w:color="CEFFE7"/>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5"/>
              </w:rPr>
              <w:t>Equipment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Elimination </w:t>
            </w:r>
            <w:r>
              <w:rPr>
                <w:rFonts w:ascii="Arial" w:cs="Arial" w:eastAsia="Arial" w:hAnsi="Arial"/>
                <w:sz w:val="8"/>
                <w:szCs w:val="8"/>
                <w:color w:val="auto"/>
              </w:rPr>
              <w:t>(a)</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Maximum</w:t>
            </w:r>
          </w:p>
        </w:tc>
      </w:tr>
      <w:tr>
        <w:trPr>
          <w:trHeight w:val="236"/>
        </w:trPr>
        <w:tc>
          <w:tcPr>
            <w:tcW w:w="20" w:type="dxa"/>
            <w:vAlign w:val="bottom"/>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394"/>
              <w:spacing w:after="0"/>
              <w:rPr>
                <w:sz w:val="20"/>
                <w:szCs w:val="20"/>
                <w:color w:val="auto"/>
              </w:rPr>
            </w:pPr>
            <w:r>
              <w:rPr>
                <w:rFonts w:ascii="Arial" w:cs="Arial" w:eastAsia="Arial" w:hAnsi="Arial"/>
                <w:sz w:val="16"/>
                <w:szCs w:val="16"/>
                <w:color w:val="auto"/>
                <w:w w:val="89"/>
              </w:rPr>
              <w:t>Corporate</w:t>
            </w:r>
          </w:p>
        </w:tc>
        <w:tc>
          <w:tcPr>
            <w:tcW w:w="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5,721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43"/>
              <w:spacing w:after="0"/>
              <w:rPr>
                <w:sz w:val="20"/>
                <w:szCs w:val="20"/>
                <w:color w:val="auto"/>
              </w:rPr>
            </w:pPr>
            <w:r>
              <w:rPr>
                <w:rFonts w:ascii="Arial" w:cs="Arial" w:eastAsia="Arial" w:hAnsi="Arial"/>
                <w:sz w:val="16"/>
                <w:szCs w:val="16"/>
                <w:color w:val="auto"/>
              </w:rPr>
              <w:t>16,548</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22,269</w:t>
            </w:r>
          </w:p>
        </w:tc>
        <w:tc>
          <w:tcPr>
            <w:tcW w:w="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670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46"/>
              <w:spacing w:after="0"/>
              <w:rPr>
                <w:sz w:val="20"/>
                <w:szCs w:val="20"/>
                <w:color w:val="auto"/>
              </w:rPr>
            </w:pPr>
            <w:r>
              <w:rPr>
                <w:rFonts w:ascii="Arial" w:cs="Arial" w:eastAsia="Arial" w:hAnsi="Arial"/>
                <w:sz w:val="16"/>
                <w:szCs w:val="16"/>
                <w:color w:val="auto"/>
              </w:rPr>
              <w:t>17,945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39,544</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8</w:t>
            </w:r>
          </w:p>
        </w:tc>
        <w:tc>
          <w:tcPr>
            <w:tcW w:w="132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w:t>
            </w:r>
          </w:p>
        </w:tc>
      </w:tr>
      <w:tr>
        <w:trPr>
          <w:trHeight w:val="220"/>
        </w:trPr>
        <w:tc>
          <w:tcPr>
            <w:tcW w:w="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w w:val="87"/>
              </w:rPr>
              <w:t>___________</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Reflects the elimination of the capital lease accumulated depreciation difference between Colorado Electric and Black Hills Colorado IPP of $18 million.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3"/>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00" w:type="dxa"/>
            <w:vAlign w:val="bottom"/>
            <w:gridSpan w:val="4"/>
          </w:tcPr>
          <w:p>
            <w:pPr>
              <w:ind w:left="80"/>
              <w:spacing w:after="0" w:line="151" w:lineRule="exact"/>
              <w:rPr>
                <w:sz w:val="20"/>
                <w:szCs w:val="20"/>
                <w:color w:val="auto"/>
              </w:rPr>
            </w:pPr>
            <w:r>
              <w:rPr>
                <w:rFonts w:ascii="Arial" w:cs="Arial" w:eastAsia="Arial" w:hAnsi="Arial"/>
                <w:sz w:val="14"/>
                <w:szCs w:val="14"/>
                <w:color w:val="auto"/>
                <w:w w:val="96"/>
              </w:rPr>
              <w:t>Less Accumulated Add 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Total Property</w:t>
            </w:r>
          </w:p>
        </w:tc>
        <w:tc>
          <w:tcPr>
            <w:tcW w:w="18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Depreciation -</w:t>
            </w:r>
          </w:p>
        </w:tc>
        <w:tc>
          <w:tcPr>
            <w:tcW w:w="140" w:type="dxa"/>
            <w:vAlign w:val="bottom"/>
          </w:tcPr>
          <w:p>
            <w:pPr>
              <w:spacing w:after="0"/>
              <w:rPr>
                <w:sz w:val="12"/>
                <w:szCs w:val="12"/>
                <w:color w:val="auto"/>
              </w:rPr>
            </w:pPr>
          </w:p>
        </w:tc>
        <w:tc>
          <w:tcPr>
            <w:tcW w:w="94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5"/>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Plant and</w:t>
            </w:r>
          </w:p>
        </w:tc>
        <w:tc>
          <w:tcPr>
            <w:tcW w:w="180" w:type="dxa"/>
            <w:vAlign w:val="bottom"/>
          </w:tcPr>
          <w:p>
            <w:pPr>
              <w:spacing w:after="0"/>
              <w:rPr>
                <w:sz w:val="12"/>
                <w:szCs w:val="12"/>
                <w:color w:val="auto"/>
              </w:rPr>
            </w:pPr>
          </w:p>
        </w:tc>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Depletion and</w:t>
            </w:r>
          </w:p>
        </w:tc>
        <w:tc>
          <w:tcPr>
            <w:tcW w:w="16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Capital Lease</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140" w:type="dxa"/>
            <w:vAlign w:val="bottom"/>
            <w:tcBorders>
              <w:bottom w:val="single" w:sz="8" w:color="CEFFE7"/>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5"/>
              </w:rPr>
              <w:t>Equipment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Elimination </w:t>
            </w:r>
            <w:r>
              <w:rPr>
                <w:rFonts w:ascii="Arial" w:cs="Arial" w:eastAsia="Arial" w:hAnsi="Arial"/>
                <w:sz w:val="8"/>
                <w:szCs w:val="8"/>
                <w:color w:val="auto"/>
              </w:rPr>
              <w:t>(a)</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8"/>
              </w:rPr>
              <w:t>Maximum</w:t>
            </w:r>
          </w:p>
        </w:tc>
      </w:tr>
      <w:tr>
        <w:trPr>
          <w:trHeight w:val="236"/>
        </w:trPr>
        <w:tc>
          <w:tcPr>
            <w:tcW w:w="20" w:type="dxa"/>
            <w:vAlign w:val="bottom"/>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394"/>
              <w:spacing w:after="0"/>
              <w:rPr>
                <w:sz w:val="20"/>
                <w:szCs w:val="20"/>
                <w:color w:val="auto"/>
              </w:rPr>
            </w:pPr>
            <w:r>
              <w:rPr>
                <w:rFonts w:ascii="Arial" w:cs="Arial" w:eastAsia="Arial" w:hAnsi="Arial"/>
                <w:sz w:val="16"/>
                <w:szCs w:val="16"/>
                <w:color w:val="auto"/>
                <w:w w:val="89"/>
              </w:rPr>
              <w:t>Corporate</w:t>
            </w:r>
          </w:p>
        </w:tc>
        <w:tc>
          <w:tcPr>
            <w:tcW w:w="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5,580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43"/>
              <w:spacing w:after="0"/>
              <w:rPr>
                <w:sz w:val="20"/>
                <w:szCs w:val="20"/>
                <w:color w:val="auto"/>
              </w:rPr>
            </w:pPr>
            <w:r>
              <w:rPr>
                <w:rFonts w:ascii="Arial" w:cs="Arial" w:eastAsia="Arial" w:hAnsi="Arial"/>
                <w:sz w:val="16"/>
                <w:szCs w:val="16"/>
                <w:color w:val="auto"/>
              </w:rPr>
              <w:t>6,374</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11,954</w:t>
            </w:r>
          </w:p>
        </w:tc>
        <w:tc>
          <w:tcPr>
            <w:tcW w:w="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309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46"/>
              <w:spacing w:after="0"/>
              <w:rPr>
                <w:sz w:val="20"/>
                <w:szCs w:val="20"/>
                <w:color w:val="auto"/>
              </w:rPr>
            </w:pPr>
            <w:r>
              <w:rPr>
                <w:rFonts w:ascii="Arial" w:cs="Arial" w:eastAsia="Arial" w:hAnsi="Arial"/>
                <w:sz w:val="16"/>
                <w:szCs w:val="16"/>
                <w:color w:val="auto"/>
              </w:rPr>
              <w:t>14,070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25,715</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8</w:t>
            </w:r>
          </w:p>
        </w:tc>
        <w:tc>
          <w:tcPr>
            <w:tcW w:w="132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tcBorders>
              <w:bottom w:val="single" w:sz="8" w:color="CEFFE7"/>
            </w:tcBorders>
            <w:shd w:val="clear" w:color="auto" w:fill="CEFFE7"/>
          </w:tcPr>
          <w:p>
            <w:pPr>
              <w:jc w:val="right"/>
              <w:ind w:right="403"/>
              <w:spacing w:after="0"/>
              <w:rPr>
                <w:sz w:val="20"/>
                <w:szCs w:val="20"/>
                <w:color w:val="auto"/>
              </w:rPr>
            </w:pPr>
            <w:r>
              <w:rPr>
                <w:rFonts w:ascii="Arial" w:cs="Arial" w:eastAsia="Arial" w:hAnsi="Arial"/>
                <w:sz w:val="16"/>
                <w:szCs w:val="16"/>
                <w:color w:val="auto"/>
              </w:rPr>
              <w:t>30</w:t>
            </w:r>
          </w:p>
        </w:tc>
      </w:tr>
      <w:tr>
        <w:trPr>
          <w:trHeight w:val="220"/>
        </w:trPr>
        <w:tc>
          <w:tcPr>
            <w:tcW w:w="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w w:val="87"/>
              </w:rPr>
              <w:t>___________</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Reflects the elimination of the capital lease accumulated depreciation difference between Colorado Electric and Black Hills Colorado IPP of $14 million.</w:t>
      </w:r>
    </w:p>
    <w:p>
      <w:pPr>
        <w:spacing w:after="0" w:line="1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tab/>
        <w:t>JOINTLY OWNED FACILITIES</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consolidated financial statements include our share of several jointly-owned utility and non-regulated facilities as described below. Our share of the facilities’ expenses are reflected in the appropriate categories of operating expenses in the Consolidated Statements of Income (Loss). Each owner of the facility is responsible for financing its investment in the jointly-owned facilities.</w:t>
      </w:r>
    </w:p>
    <w:p>
      <w:pPr>
        <w:spacing w:after="0" w:line="181" w:lineRule="exact"/>
        <w:rPr>
          <w:sz w:val="20"/>
          <w:szCs w:val="20"/>
          <w:color w:val="auto"/>
        </w:rPr>
      </w:pPr>
    </w:p>
    <w:p>
      <w:pPr>
        <w:ind w:left="500" w:right="80" w:hanging="330"/>
        <w:spacing w:after="0" w:line="255"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South Dakota Electric owns a 20% interest in the Wyodak Plant, a coal-fired electric generating station located in Campbell County, Wyoming. PacifiCorp owns the remaining ownership percentage and operates the Wyodak Plant. South Dakota Electric receives its proportionate share of the Wyodak Plant’s capacity and is committed to pay its proportionate share of its additions, replacements and operating and maintenance expenses. In addition to supplying South Dakota Electric with coal for its share of the Wyodak Plant, our Mining subsidiary, WRDC, supplies PacifiCorp’s share of the coal to the Wyodak Plant under a separate long-term agreement. This coal supply agreement is collateralized by a mortgage on and a security interest in some of WRDC’s coal reserves.</w:t>
      </w:r>
    </w:p>
    <w:p>
      <w:pPr>
        <w:spacing w:after="0" w:line="193" w:lineRule="exact"/>
        <w:rPr>
          <w:rFonts w:ascii="Arial" w:cs="Arial" w:eastAsia="Arial" w:hAnsi="Arial"/>
          <w:sz w:val="18"/>
          <w:szCs w:val="18"/>
          <w:color w:val="auto"/>
        </w:rPr>
      </w:pPr>
    </w:p>
    <w:p>
      <w:pPr>
        <w:ind w:left="500" w:right="60" w:hanging="330"/>
        <w:spacing w:after="0" w:line="297"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South Dakota Electric also owns a 35% interest in, and is the operator of, the Converter Station Site and South Rapid City Interconnection (the transmission tie), an AC-DC-AC transmission tie. Basin Electric owns the remaining ownership percentage. The transmission tie provides an interconnection between the Western and Eastern transmission grids, which provides us with access to both the WECC region and the SPP region. The total transfer capacity of the tie is 400 MW, including 200 MW from West to East and 200 MW from East to West. South Dakota Electric is committed to pay its proportionate share of the additions and replacements and operating and maintenance expenses of the transmission tie.</w:t>
      </w:r>
    </w:p>
    <w:p>
      <w:pPr>
        <w:spacing w:after="0" w:line="158" w:lineRule="exact"/>
        <w:rPr>
          <w:rFonts w:ascii="Arial" w:cs="Arial" w:eastAsia="Arial" w:hAnsi="Arial"/>
          <w:sz w:val="16"/>
          <w:szCs w:val="16"/>
          <w:color w:val="auto"/>
        </w:rPr>
      </w:pPr>
    </w:p>
    <w:p>
      <w:pPr>
        <w:ind w:left="500" w:right="100" w:hanging="330"/>
        <w:spacing w:after="0" w:line="259"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South Dakota Electric owns 52% of the Wygen III coal-fired generation facility. MDU and the City of Gillette each owns an undivided ownership interest in Wygen III and are obligated to make payments for costs associated with administrative services and their proportionate share of the costs of operating the plant for the life of the facility. South Dakota Electric retains responsibility for plant operations. Our Mining subsidiary supplies coal to Wygen III for the life of the plant.</w:t>
      </w:r>
    </w:p>
    <w:p>
      <w:pPr>
        <w:spacing w:after="0" w:line="186" w:lineRule="exact"/>
        <w:rPr>
          <w:rFonts w:ascii="Arial" w:cs="Arial" w:eastAsia="Arial" w:hAnsi="Arial"/>
          <w:sz w:val="18"/>
          <w:szCs w:val="18"/>
          <w:color w:val="auto"/>
        </w:rPr>
      </w:pPr>
    </w:p>
    <w:p>
      <w:pPr>
        <w:ind w:left="500" w:right="140" w:hanging="330"/>
        <w:spacing w:after="0" w:line="26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Black Hills Wyoming owns 76.5% of the Wygen I plant while MEAN owns the remaining ownership percentage. MEAN is obligated to make payments for its share of the costs associated with administrative services, plant operations and coal supply provided by our Mining subsidiary during the life of the facility. Black Hills Wyoming retains responsibility for plant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4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At December 31, 2018, our interests in jointly-owned generating facilities and transmission systems were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w w:val="94"/>
              </w:rPr>
              <w:t>Construction Work in</w:t>
            </w:r>
          </w:p>
        </w:tc>
        <w:tc>
          <w:tcPr>
            <w:tcW w:w="36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Accumulated</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Plant in Service</w:t>
            </w:r>
          </w:p>
        </w:tc>
        <w:tc>
          <w:tcPr>
            <w:tcW w:w="180" w:type="dxa"/>
            <w:vAlign w:val="bottom"/>
          </w:tcPr>
          <w:p>
            <w:pPr>
              <w:spacing w:after="0"/>
              <w:rPr>
                <w:sz w:val="20"/>
                <w:szCs w:val="20"/>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Progress</w:t>
            </w:r>
          </w:p>
        </w:tc>
        <w:tc>
          <w:tcPr>
            <w:tcW w:w="36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Depreciation</w:t>
            </w:r>
          </w:p>
        </w:tc>
      </w:tr>
      <w:tr>
        <w:trPr>
          <w:trHeight w:val="27"/>
        </w:trPr>
        <w:tc>
          <w:tcPr>
            <w:tcW w:w="56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Wyodak Plant</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115,198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61,730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Transmission Tie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20,855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1,860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6,667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Wygen I</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119,273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498</w:t>
            </w:r>
          </w:p>
        </w:tc>
        <w:tc>
          <w:tcPr>
            <w:tcW w:w="3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44,155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Wygen III</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140,072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645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22,647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Jointly Owned facility - Related Party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Colorado Electric owns 50% of the Busch Ranch I Wind Farm while Black Hills Electric Generation owns the remaining 50% ownership interest. Each company is obligated to make payments for costs associated with their proportionate share of the costs of operating the wind farm over the life of the facility. On December 11, 2018, Black Hills Electric Generation purchased its 50% ownership interest in the 29 MW Busch Ranch I Wind Farm from AltaGas for $16 million. Colorado Electric retains responsibility for operations of the wind farm. We recorded this purchase as an asset acquisition at fair value with $8.7 million of the purchase price recorded as wind generation assets, and $7.6 million recorded as an intangible asset, reflective of the fair value of the PPA. Black Hills Electric Generation will provide its share of energy from the wind farm to Colorado Electric through a new PPA, which replaces the PPA Colorado Electric had with AltaGas, expiring in October 2037.</w:t>
      </w:r>
    </w:p>
    <w:p>
      <w:pPr>
        <w:spacing w:after="0" w:line="1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BUSINESS SEGMENT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Segment information was as follows (in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2,895,577</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2,906,275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Gas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3,623,475</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3,426,466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154,203</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60,852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80,594</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209,478</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115,612</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(b)</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84,242</w:t>
            </w:r>
          </w:p>
        </w:tc>
        <w:tc>
          <w:tcPr>
            <w:tcW w:w="0" w:type="dxa"/>
            <w:vAlign w:val="bottom"/>
          </w:tcPr>
          <w:p>
            <w:pPr>
              <w:spacing w:after="0"/>
              <w:rPr>
                <w:sz w:val="1"/>
                <w:szCs w:val="1"/>
                <w:color w:val="auto"/>
              </w:rPr>
            </w:pPr>
          </w:p>
        </w:tc>
      </w:tr>
      <w:tr>
        <w:trPr>
          <w:trHeight w:val="257"/>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6,963,327</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6,658,902</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20"/>
                <w:szCs w:val="20"/>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160" w:hanging="332"/>
        <w:spacing w:after="0" w:line="263" w:lineRule="auto"/>
        <w:tabs>
          <w:tab w:leader="none" w:pos="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November 1, 2017, the BHC Board of Directors approved a complete divestiture of our Oil and Gas segment. See Note 21 for additional information.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for the years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Electric Utilities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152,524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138,060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Gas Utilities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288,438</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184,389</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Power Generation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30,945</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1,864</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18,794</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6,708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11,723</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6,668</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expenditures of continuing operations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502,424</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337,689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Total capital expenditures of discontinued operations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2,402</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23,222</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504,826</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360,911</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accruals for property, plant and equipment.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84"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Property, Plant and Equipment as of December 31,</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3,109,772</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2,990,208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2,506,531</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2,251,193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185,793</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155,793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175,650</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158,370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22,269</w:t>
            </w:r>
          </w:p>
        </w:tc>
        <w:tc>
          <w:tcPr>
            <w:tcW w:w="4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6,000,015</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5,567,518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90" w:lineRule="auto"/>
        <w:tabs>
          <w:tab w:leader="none" w:pos="3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spacing w:after="0" w:line="308"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7"/>
          </w:tcPr>
          <w:p>
            <w:pPr>
              <w:jc w:val="right"/>
              <w:ind w:right="679"/>
              <w:spacing w:after="0"/>
              <w:rPr>
                <w:sz w:val="20"/>
                <w:szCs w:val="20"/>
                <w:color w:val="auto"/>
              </w:rPr>
            </w:pPr>
            <w:r>
              <w:rPr>
                <w:rFonts w:ascii="Arial" w:cs="Arial" w:eastAsia="Arial" w:hAnsi="Arial"/>
                <w:sz w:val="16"/>
                <w:szCs w:val="16"/>
                <w:b w:val="1"/>
                <w:bCs w:val="1"/>
                <w:color w:val="auto"/>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rPr>
              <w:t>Year ended December 31, 2018</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w w:val="90"/>
              </w:rPr>
              <w:t>Generation</w:t>
            </w: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 -</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00" w:type="dxa"/>
            <w:vAlign w:val="bottom"/>
          </w:tcPr>
          <w:p>
            <w:pPr>
              <w:ind w:left="16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686,272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1,022,828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33,609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1,748,542</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2,427</w:t>
            </w:r>
          </w:p>
        </w:tc>
        <w:tc>
          <w:tcPr>
            <w:tcW w:w="2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955</w:t>
            </w:r>
          </w:p>
        </w:tc>
        <w:tc>
          <w:tcPr>
            <w:tcW w:w="1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1,413</w:t>
            </w:r>
          </w:p>
        </w:tc>
        <w:tc>
          <w:tcPr>
            <w:tcW w:w="16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931</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5,726</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688,699</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1,023,783</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7,246</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34,540</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1,754,268</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Inter-company operating revenue -</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00" w:type="dxa"/>
            <w:vAlign w:val="bottom"/>
          </w:tcPr>
          <w:p>
            <w:pPr>
              <w:ind w:left="16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22,752</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1,524</w:t>
            </w:r>
          </w:p>
        </w:tc>
        <w:tc>
          <w:tcPr>
            <w:tcW w:w="1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46,563</w:t>
            </w: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32,194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(103,181)</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35,143</w:t>
            </w:r>
          </w:p>
        </w:tc>
        <w:tc>
          <w:tcPr>
            <w:tcW w:w="16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1,299</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379,775</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(416,217)</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22,752</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1,524</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81,706</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33,493</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379,923</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(519,398)</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711,451</w:t>
            </w: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1,025,307</w:t>
            </w: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88,952</w:t>
            </w:r>
          </w:p>
        </w:tc>
        <w:tc>
          <w:tcPr>
            <w:tcW w:w="1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68,033</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379,923</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(519,398)</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1,754,268</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277,093</w:t>
            </w:r>
          </w:p>
        </w:tc>
        <w:tc>
          <w:tcPr>
            <w:tcW w:w="20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462,153</w:t>
            </w:r>
          </w:p>
        </w:tc>
        <w:tc>
          <w:tcPr>
            <w:tcW w:w="160" w:type="dxa"/>
            <w:vAlign w:val="bottom"/>
            <w:tcBorders>
              <w:bottom w:val="single" w:sz="8" w:color="CEFFE7"/>
            </w:tcBorders>
            <w:shd w:val="clear" w:color="auto" w:fill="CEFFE7"/>
          </w:tcPr>
          <w:p>
            <w:pPr>
              <w:spacing w:after="0"/>
              <w:rPr>
                <w:sz w:val="19"/>
                <w:szCs w:val="19"/>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(113,679)</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625,610</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186,175</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291,481</w:t>
            </w:r>
          </w:p>
        </w:tc>
        <w:tc>
          <w:tcPr>
            <w:tcW w:w="1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33,727</w:t>
            </w: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43,728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324,917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(344,735)</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535,293</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9"/>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98,639</w:t>
            </w:r>
          </w:p>
        </w:tc>
        <w:tc>
          <w:tcPr>
            <w:tcW w:w="2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86,434</w:t>
            </w:r>
          </w:p>
        </w:tc>
        <w:tc>
          <w:tcPr>
            <w:tcW w:w="1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6,913</w:t>
            </w:r>
          </w:p>
        </w:tc>
        <w:tc>
          <w:tcPr>
            <w:tcW w:w="16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7,965</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21,161</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(24,784)</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196,328</w:t>
            </w:r>
          </w:p>
        </w:tc>
        <w:tc>
          <w:tcPr>
            <w:tcW w:w="0" w:type="dxa"/>
            <w:vAlign w:val="bottom"/>
          </w:tcPr>
          <w:p>
            <w:pPr>
              <w:spacing w:after="0"/>
              <w:rPr>
                <w:sz w:val="1"/>
                <w:szCs w:val="1"/>
                <w:color w:val="auto"/>
              </w:rPr>
            </w:pPr>
          </w:p>
        </w:tc>
      </w:tr>
      <w:tr>
        <w:trPr>
          <w:trHeight w:val="217"/>
        </w:trPr>
        <w:tc>
          <w:tcPr>
            <w:tcW w:w="290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149,544</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185,239</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48,312</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16,340</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33,802</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(36,200)</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397,037</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0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86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62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(55,660)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(85,760)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(5,178)</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(150,455)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155,975</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(141,616)</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2,993</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5,580</w:t>
            </w:r>
          </w:p>
        </w:tc>
        <w:tc>
          <w:tcPr>
            <w:tcW w:w="1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CEFFE7"/>
            </w:tcBorders>
            <w:shd w:val="clear" w:color="auto" w:fill="CEFFE7"/>
          </w:tcPr>
          <w:p>
            <w:pPr>
              <w:spacing w:after="0"/>
              <w:rPr>
                <w:sz w:val="20"/>
                <w:szCs w:val="20"/>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113,188</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(120,305)</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456,481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(456,106)</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Income tax benefit (expense)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2"/>
                <w:szCs w:val="22"/>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(16,702)</w:t>
            </w:r>
          </w:p>
        </w:tc>
        <w:tc>
          <w:tcPr>
            <w:tcW w:w="20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55,655</w:t>
            </w:r>
          </w:p>
        </w:tc>
        <w:tc>
          <w:tcPr>
            <w:tcW w:w="160" w:type="dxa"/>
            <w:vAlign w:val="bottom"/>
            <w:tcBorders>
              <w:bottom w:val="single" w:sz="8" w:color="auto"/>
            </w:tcBorders>
            <w:shd w:val="clear" w:color="auto" w:fill="CEFFE7"/>
          </w:tcPr>
          <w:p>
            <w:pPr>
              <w:spacing w:after="0"/>
              <w:rPr>
                <w:sz w:val="22"/>
                <w:szCs w:val="22"/>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(8,267)</w:t>
            </w:r>
          </w:p>
        </w:tc>
        <w:tc>
          <w:tcPr>
            <w:tcW w:w="160" w:type="dxa"/>
            <w:vAlign w:val="bottom"/>
            <w:tcBorders>
              <w:bottom w:val="single" w:sz="8" w:color="auto"/>
            </w:tcBorders>
            <w:shd w:val="clear" w:color="auto" w:fill="CEFFE7"/>
          </w:tcPr>
          <w:p>
            <w:pPr>
              <w:spacing w:after="0"/>
              <w:rPr>
                <w:sz w:val="22"/>
                <w:szCs w:val="22"/>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(3,069)</w:t>
            </w:r>
          </w:p>
        </w:tc>
        <w:tc>
          <w:tcPr>
            <w:tcW w:w="16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(3,804)</w:t>
            </w:r>
          </w:p>
        </w:tc>
        <w:tc>
          <w:tcPr>
            <w:tcW w:w="1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23,667</w:t>
            </w:r>
          </w:p>
        </w:tc>
        <w:tc>
          <w:tcPr>
            <w:tcW w:w="0" w:type="dxa"/>
            <w:vAlign w:val="bottom"/>
          </w:tcPr>
          <w:p>
            <w:pPr>
              <w:spacing w:after="0"/>
              <w:rPr>
                <w:sz w:val="1"/>
                <w:szCs w:val="1"/>
                <w:color w:val="auto"/>
              </w:rPr>
            </w:pPr>
          </w:p>
        </w:tc>
      </w:tr>
      <w:tr>
        <w:trPr>
          <w:trHeight w:val="217"/>
        </w:trPr>
        <w:tc>
          <w:tcPr>
            <w:tcW w:w="2900" w:type="dxa"/>
            <w:vAlign w:val="bottom"/>
          </w:tcPr>
          <w:p>
            <w:pPr>
              <w:ind w:left="160"/>
              <w:spacing w:after="0"/>
              <w:rPr>
                <w:sz w:val="20"/>
                <w:szCs w:val="20"/>
                <w:color w:val="auto"/>
              </w:rPr>
            </w:pPr>
            <w:r>
              <w:rPr>
                <w:rFonts w:ascii="Arial" w:cs="Arial" w:eastAsia="Arial" w:hAnsi="Arial"/>
                <w:sz w:val="16"/>
                <w:szCs w:val="16"/>
                <w:color w:val="auto"/>
                <w:w w:val="94"/>
              </w:rPr>
              <w:t>Income (loss) from continuing operations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78,940</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160,283</w:t>
            </w:r>
          </w:p>
        </w:tc>
        <w:tc>
          <w:tcPr>
            <w:tcW w:w="1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34,997</w:t>
            </w: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12,899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449,212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(456,782)</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279,549</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w w:val="94"/>
              </w:rPr>
              <w:t>(Loss) from discontinued operations, net of</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6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tax</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(6,887)</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(6,887)</w:t>
            </w:r>
          </w:p>
        </w:tc>
        <w:tc>
          <w:tcPr>
            <w:tcW w:w="0" w:type="dxa"/>
            <w:vAlign w:val="bottom"/>
          </w:tcPr>
          <w:p>
            <w:pPr>
              <w:spacing w:after="0"/>
              <w:rPr>
                <w:sz w:val="1"/>
                <w:szCs w:val="1"/>
                <w:color w:val="auto"/>
              </w:rPr>
            </w:pPr>
          </w:p>
        </w:tc>
      </w:tr>
      <w:tr>
        <w:trPr>
          <w:trHeight w:val="217"/>
        </w:trPr>
        <w:tc>
          <w:tcPr>
            <w:tcW w:w="290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78,940</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160,283</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34,997</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12,899</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449,212</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(456,782)</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(6,887)</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272,662</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w w:val="99"/>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6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(14,220)</w:t>
            </w:r>
          </w:p>
        </w:tc>
        <w:tc>
          <w:tcPr>
            <w:tcW w:w="160" w:type="dxa"/>
            <w:vAlign w:val="bottom"/>
            <w:tcBorders>
              <w:bottom w:val="single" w:sz="8" w:color="CEFFE7"/>
            </w:tcBorders>
            <w:shd w:val="clear" w:color="auto" w:fill="CEFFE7"/>
          </w:tcPr>
          <w:p>
            <w:pPr>
              <w:spacing w:after="0"/>
              <w:rPr>
                <w:sz w:val="20"/>
                <w:szCs w:val="20"/>
                <w:color w:val="auto"/>
              </w:rPr>
            </w:pPr>
          </w:p>
        </w:tc>
        <w:tc>
          <w:tcPr>
            <w:tcW w:w="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(14,220)</w:t>
            </w:r>
          </w:p>
        </w:tc>
        <w:tc>
          <w:tcPr>
            <w:tcW w:w="0" w:type="dxa"/>
            <w:vAlign w:val="bottom"/>
          </w:tcPr>
          <w:p>
            <w:pPr>
              <w:spacing w:after="0"/>
              <w:rPr>
                <w:sz w:val="1"/>
                <w:szCs w:val="1"/>
                <w:color w:val="auto"/>
              </w:rPr>
            </w:pPr>
          </w:p>
        </w:tc>
      </w:tr>
      <w:tr>
        <w:trPr>
          <w:trHeight w:val="200"/>
        </w:trPr>
        <w:tc>
          <w:tcPr>
            <w:tcW w:w="2900" w:type="dxa"/>
            <w:vAlign w:val="bottom"/>
          </w:tcPr>
          <w:p>
            <w:pPr>
              <w:ind w:left="160"/>
              <w:spacing w:after="0"/>
              <w:rPr>
                <w:sz w:val="20"/>
                <w:szCs w:val="20"/>
                <w:color w:val="auto"/>
              </w:rPr>
            </w:pPr>
            <w:r>
              <w:rPr>
                <w:rFonts w:ascii="Arial" w:cs="Arial" w:eastAsia="Arial" w:hAnsi="Arial"/>
                <w:sz w:val="16"/>
                <w:szCs w:val="16"/>
                <w:color w:val="auto"/>
                <w:w w:val="96"/>
              </w:rPr>
              <w:t>Net income (loss) available for common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78,940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160,283</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20,777</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12,899</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449,212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(456,782)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(6,887)</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258,442</w:t>
            </w:r>
          </w:p>
        </w:tc>
        <w:tc>
          <w:tcPr>
            <w:tcW w:w="0" w:type="dxa"/>
            <w:vAlign w:val="bottom"/>
          </w:tcPr>
          <w:p>
            <w:pPr>
              <w:spacing w:after="0"/>
              <w:rPr>
                <w:sz w:val="1"/>
                <w:szCs w:val="1"/>
                <w:color w:val="auto"/>
              </w:rPr>
            </w:pPr>
          </w:p>
        </w:tc>
      </w:tr>
      <w:tr>
        <w:trPr>
          <w:trHeight w:val="206"/>
        </w:trPr>
        <w:tc>
          <w:tcPr>
            <w:tcW w:w="2900" w:type="dxa"/>
            <w:vAlign w:val="bottom"/>
          </w:tcPr>
          <w:p>
            <w:pPr>
              <w:ind w:left="160"/>
              <w:spacing w:after="0"/>
              <w:rPr>
                <w:sz w:val="20"/>
                <w:szCs w:val="20"/>
                <w:color w:val="auto"/>
              </w:rPr>
            </w:pPr>
            <w:r>
              <w:rPr>
                <w:rFonts w:ascii="Arial" w:cs="Arial" w:eastAsia="Arial" w:hAnsi="Arial"/>
                <w:sz w:val="16"/>
                <w:szCs w:val="16"/>
                <w:color w:val="auto"/>
              </w:rPr>
              <w:t>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12700</wp:posOffset>
            </wp:positionV>
            <wp:extent cx="5240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-98425</wp:posOffset>
            </wp:positionV>
            <wp:extent cx="5240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Income tax benefit (expense) includes a tax benefit of $73 million at our Gas Utilities resulting from legal entity restructuring. See Note 15.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46" w:right="239" w:bottom="1440" w:gutter="0" w:footer="0" w:header="0"/>
        </w:sectPr>
      </w:pPr>
    </w:p>
    <w:bookmarkStart w:id="116" w:name="page117"/>
    <w:bookmarkEnd w:id="116"/>
    <w:tbl>
      <w:tblPr>
        <w:tblLayout w:type="fixed"/>
        <w:tblInd w:w="2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gridSpan w:val="6"/>
          </w:tcPr>
          <w:p>
            <w:pPr>
              <w:jc w:val="right"/>
              <w:ind w:right="739"/>
              <w:spacing w:after="0"/>
              <w:rPr>
                <w:sz w:val="20"/>
                <w:szCs w:val="20"/>
                <w:color w:val="auto"/>
              </w:rPr>
            </w:pPr>
            <w:r>
              <w:rPr>
                <w:rFonts w:ascii="Arial" w:cs="Arial" w:eastAsia="Arial" w:hAnsi="Arial"/>
                <w:sz w:val="16"/>
                <w:szCs w:val="16"/>
                <w:b w:val="1"/>
                <w:bCs w:val="1"/>
                <w:color w:val="auto"/>
                <w:w w:val="94"/>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Year ended December 31, 2017</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90"/>
              </w:rPr>
              <w:t>Generation</w:t>
            </w:r>
          </w:p>
        </w:tc>
        <w:tc>
          <w:tcPr>
            <w:tcW w:w="20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689,945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947,595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7,263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35,463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Intercompany revenue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14,705</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84,283</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31,158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344,685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(474,866)</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704,650</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947,630</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91,546</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66,621</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344,685</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(474,866)</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1"/>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268,405</w:t>
            </w:r>
          </w:p>
        </w:tc>
        <w:tc>
          <w:tcPr>
            <w:tcW w:w="200" w:type="dxa"/>
            <w:vAlign w:val="bottom"/>
            <w:tcBorders>
              <w:bottom w:val="single" w:sz="8" w:color="CEFFE7"/>
            </w:tcBorders>
            <w:shd w:val="clear" w:color="auto" w:fill="CEFFE7"/>
          </w:tcPr>
          <w:p>
            <w:pPr>
              <w:spacing w:after="0"/>
              <w:rPr>
                <w:sz w:val="19"/>
                <w:szCs w:val="19"/>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409,603</w:t>
            </w:r>
          </w:p>
        </w:tc>
        <w:tc>
          <w:tcPr>
            <w:tcW w:w="1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(114,871)</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563,288</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172,307</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269,190</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32,382</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44,882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296,067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(302,832)</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511,996</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5"/>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93,315</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83,732</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5,993</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8,239</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21,031</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(24,064)</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188,246</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170,623</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185,105</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53,171</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13,500</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27,436</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(33,099)</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416,736</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(55,229)</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(80,829)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(152,416)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154,543</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(138,118)</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2,955</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2,254</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1,123</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115,382</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(120,721)</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2,191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330,373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(331,303)</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(9,997)</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(39,799)</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10,333</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(32,433)</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(371)</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(73,367)</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Income (loss) from continuing</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65,902</w:t>
            </w: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208,375</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(Loss) from discontinued operations,</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CEFFE7"/>
          </w:tcPr>
          <w:p>
            <w:pPr>
              <w:ind w:left="160"/>
              <w:spacing w:after="0" w:line="239" w:lineRule="exact"/>
              <w:rPr>
                <w:sz w:val="20"/>
                <w:szCs w:val="20"/>
                <w:color w:val="auto"/>
              </w:rPr>
            </w:pPr>
            <w:r>
              <w:rPr>
                <w:rFonts w:ascii="Arial" w:cs="Arial" w:eastAsia="Arial" w:hAnsi="Arial"/>
                <w:sz w:val="16"/>
                <w:szCs w:val="16"/>
                <w:color w:val="auto"/>
              </w:rPr>
              <w:t xml:space="preserve">net of tax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(17,099)</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65,902</w:t>
            </w:r>
          </w:p>
        </w:tc>
        <w:tc>
          <w:tcPr>
            <w:tcW w:w="1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191,276</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(14,135)</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(14,242)</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 available for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65,795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46,479</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177,034</w:t>
            </w: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12700</wp:posOffset>
            </wp:positionV>
            <wp:extent cx="5316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-98425</wp:posOffset>
            </wp:positionV>
            <wp:extent cx="53168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Discontinued operations includes oil and gas property impairments. See Note 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60" w:right="239" w:bottom="1440" w:gutter="0" w:footer="0" w:header="0"/>
        </w:sectPr>
      </w:pPr>
    </w:p>
    <w:bookmarkStart w:id="117" w:name="page118"/>
    <w:bookmarkEnd w:id="117"/>
    <w:tbl>
      <w:tblPr>
        <w:tblLayout w:type="fixed"/>
        <w:tblInd w:w="2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gridSpan w:val="6"/>
          </w:tcPr>
          <w:p>
            <w:pPr>
              <w:jc w:val="right"/>
              <w:ind w:right="739"/>
              <w:spacing w:after="0"/>
              <w:rPr>
                <w:sz w:val="20"/>
                <w:szCs w:val="20"/>
                <w:color w:val="auto"/>
              </w:rPr>
            </w:pPr>
            <w:r>
              <w:rPr>
                <w:rFonts w:ascii="Arial" w:cs="Arial" w:eastAsia="Arial" w:hAnsi="Arial"/>
                <w:sz w:val="16"/>
                <w:szCs w:val="16"/>
                <w:b w:val="1"/>
                <w:bCs w:val="1"/>
                <w:color w:val="auto"/>
                <w:w w:val="94"/>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Year ended December 31, 2016</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90"/>
              </w:rPr>
              <w:t>Generation</w:t>
            </w:r>
          </w:p>
        </w:tc>
        <w:tc>
          <w:tcPr>
            <w:tcW w:w="20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664,330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838,343</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7,176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29,067</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1,538,916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Intercompany revenue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12,951</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83,955</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31,213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347,500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(475,619)</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677,281</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838,343</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91,131</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60,280</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347,500</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(475,619)</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1,538,916</w:t>
            </w: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1"/>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261,349</w:t>
            </w:r>
          </w:p>
        </w:tc>
        <w:tc>
          <w:tcPr>
            <w:tcW w:w="200" w:type="dxa"/>
            <w:vAlign w:val="bottom"/>
            <w:tcBorders>
              <w:bottom w:val="single" w:sz="8" w:color="CEFFE7"/>
            </w:tcBorders>
            <w:shd w:val="clear" w:color="auto" w:fill="CEFFE7"/>
          </w:tcPr>
          <w:p>
            <w:pPr>
              <w:spacing w:after="0"/>
              <w:rPr>
                <w:sz w:val="19"/>
                <w:szCs w:val="19"/>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352,165</w:t>
            </w:r>
          </w:p>
        </w:tc>
        <w:tc>
          <w:tcPr>
            <w:tcW w:w="1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(114,838)</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499,132</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158,134</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245,826</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32,636</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39,576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378,744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(326,846)</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528,070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5"/>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84,645</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78,335</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4,104</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9,346</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22,930</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(23,827)</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175,533</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173,153</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162,017</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54,391</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11,358</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(54,630)</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336,181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(56,237)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(76,586)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(114,597)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115,469</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(136,110)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5,946</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1,573</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1,983</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97,147</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(105,244)</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3,193</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2,209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179,838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(181,032)</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(40,228)</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(27,462)</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(17,129)</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(3,137)</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28,398</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457</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(59,101)</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Income (loss) from continuing</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59,726</w:t>
            </w: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35,489</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146,793</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(Loss) from discontinued operations, net</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CEFFE7"/>
          </w:tcPr>
          <w:p>
            <w:pPr>
              <w:ind w:left="20"/>
              <w:spacing w:after="0" w:line="239" w:lineRule="exact"/>
              <w:rPr>
                <w:sz w:val="20"/>
                <w:szCs w:val="20"/>
                <w:color w:val="auto"/>
              </w:rPr>
            </w:pPr>
            <w:r>
              <w:rPr>
                <w:rFonts w:ascii="Arial" w:cs="Arial" w:eastAsia="Arial" w:hAnsi="Arial"/>
                <w:sz w:val="16"/>
                <w:szCs w:val="16"/>
                <w:color w:val="auto"/>
              </w:rPr>
              <w:t xml:space="preserve">of tax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(64,162)</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59,726</w:t>
            </w:r>
          </w:p>
        </w:tc>
        <w:tc>
          <w:tcPr>
            <w:tcW w:w="1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35,489</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82,631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(9,559)</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(9,661)</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 available for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59,624</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25,930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72,970</w:t>
            </w: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12700</wp:posOffset>
            </wp:positionV>
            <wp:extent cx="5316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-98425</wp:posOffset>
            </wp:positionV>
            <wp:extent cx="53168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Discontinued operations includes oil and gas property impairments. See Note 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 reallocation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accordance with GAAP, indirect corporate operating costs previously allocated to BHEP were not reclassified to discontinued operations. These corporate operating costs for 2017 were reallocated to our operating segments; allocated interest was reclassified to Corporate and Other. Indirect corporate operating costs for 2016 were reclassified to Corporate and Other. The reallocation of these costs to our operating segments in 2017 and an estimate of how these costs could have been allocated to segments other than Corporate and Other in 2016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3"/>
          </w:tcPr>
          <w:p>
            <w:pPr>
              <w:jc w:val="right"/>
              <w:ind w:right="153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70"/>
        </w:trPr>
        <w:tc>
          <w:tcPr>
            <w:tcW w:w="7320" w:type="dxa"/>
            <w:vAlign w:val="bottom"/>
          </w:tcPr>
          <w:p>
            <w:pPr>
              <w:ind w:left="3000"/>
              <w:spacing w:after="0"/>
              <w:rPr>
                <w:sz w:val="20"/>
                <w:szCs w:val="20"/>
                <w:color w:val="auto"/>
              </w:rPr>
            </w:pPr>
            <w:r>
              <w:rPr>
                <w:rFonts w:ascii="Arial" w:cs="Arial" w:eastAsia="Arial" w:hAnsi="Arial"/>
                <w:sz w:val="18"/>
                <w:szCs w:val="18"/>
                <w:color w:val="auto"/>
              </w:rPr>
              <w:t>Business Segment</w:t>
            </w:r>
          </w:p>
        </w:tc>
        <w:tc>
          <w:tcPr>
            <w:tcW w:w="220" w:type="dxa"/>
            <w:vAlign w:val="bottom"/>
          </w:tcPr>
          <w:p>
            <w:pPr>
              <w:spacing w:after="0"/>
              <w:rPr>
                <w:sz w:val="23"/>
                <w:szCs w:val="23"/>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2017</w:t>
            </w:r>
          </w:p>
        </w:tc>
        <w:tc>
          <w:tcPr>
            <w:tcW w:w="26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Electric Utilities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2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Power Generation</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reportable segments</w:t>
            </w: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EFFE7"/>
          </w:tcPr>
          <w:p>
            <w:pPr>
              <w:spacing w:after="0"/>
              <w:rPr>
                <w:sz w:val="23"/>
                <w:szCs w:val="23"/>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6,405</w:t>
            </w:r>
          </w:p>
        </w:tc>
        <w:tc>
          <w:tcPr>
            <w:tcW w:w="260" w:type="dxa"/>
            <w:vAlign w:val="bottom"/>
            <w:tcBorders>
              <w:bottom w:val="single" w:sz="8" w:color="auto"/>
            </w:tcBorders>
            <w:shd w:val="clear" w:color="auto" w:fill="CEFFE7"/>
          </w:tcPr>
          <w:p>
            <w:pPr>
              <w:spacing w:after="0"/>
              <w:rPr>
                <w:sz w:val="23"/>
                <w:szCs w:val="23"/>
                <w:color w:val="auto"/>
              </w:rPr>
            </w:pP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57"/>
        </w:trPr>
        <w:tc>
          <w:tcPr>
            <w:tcW w:w="73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________________________</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interest allocations in 2017 and 2016 of approximately $4.9 million and $5.6 million, respectively.</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118</w:t>
      </w:r>
    </w:p>
    <w:p>
      <w:pPr>
        <w:sectPr>
          <w:pgSz w:w="11900" w:h="16838" w:orient="portrait"/>
          <w:cols w:equalWidth="0" w:num="1">
            <w:col w:w="11420"/>
          </w:cols>
          <w:pgMar w:left="240" w:top="760" w:right="239" w:bottom="1440" w:gutter="0" w:footer="0" w:header="0"/>
        </w:sectPr>
      </w:pPr>
    </w:p>
    <w:bookmarkStart w:id="118" w:name="page119"/>
    <w:bookmarkEnd w:id="118"/>
    <w:p>
      <w:pPr>
        <w:spacing w:after="0"/>
        <w:tabs>
          <w:tab w:leader="none" w:pos="380" w:val="left"/>
        </w:tabs>
        <w:rPr>
          <w:sz w:val="20"/>
          <w:szCs w:val="20"/>
          <w:color w:val="auto"/>
        </w:rPr>
      </w:pPr>
      <w:r>
        <w:rPr>
          <w:rFonts w:ascii="Arial" w:cs="Arial" w:eastAsia="Arial" w:hAnsi="Arial"/>
          <w:sz w:val="18"/>
          <w:szCs w:val="18"/>
          <w:b w:val="1"/>
          <w:bCs w:val="1"/>
          <w:color w:val="auto"/>
        </w:rPr>
        <w:t>(6)</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was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89"/>
              </w:rPr>
              <w:t>Interest Rate at</w:t>
            </w:r>
          </w:p>
        </w:tc>
        <w:tc>
          <w:tcPr>
            <w:tcW w:w="140" w:type="dxa"/>
            <w:vAlign w:val="bottom"/>
          </w:tcPr>
          <w:p>
            <w:pPr>
              <w:spacing w:after="0"/>
              <w:rPr>
                <w:sz w:val="17"/>
                <w:szCs w:val="17"/>
                <w:color w:val="auto"/>
              </w:rPr>
            </w:pPr>
          </w:p>
        </w:tc>
        <w:tc>
          <w:tcPr>
            <w:tcW w:w="2340" w:type="dxa"/>
            <w:vAlign w:val="bottom"/>
            <w:gridSpan w:val="3"/>
          </w:tcPr>
          <w:p>
            <w:pPr>
              <w:jc w:val="right"/>
              <w:ind w:right="479"/>
              <w:spacing w:after="0"/>
              <w:rPr>
                <w:sz w:val="20"/>
                <w:szCs w:val="20"/>
                <w:color w:val="auto"/>
              </w:rPr>
            </w:pPr>
            <w:r>
              <w:rPr>
                <w:rFonts w:ascii="Arial" w:cs="Arial" w:eastAsia="Arial" w:hAnsi="Arial"/>
                <w:sz w:val="16"/>
                <w:szCs w:val="16"/>
                <w:color w:val="auto"/>
              </w:rPr>
              <w:t>Balance Outstanding</w:t>
            </w:r>
          </w:p>
        </w:tc>
        <w:tc>
          <w:tcPr>
            <w:tcW w:w="0" w:type="dxa"/>
            <w:vAlign w:val="bottom"/>
          </w:tcPr>
          <w:p>
            <w:pPr>
              <w:spacing w:after="0"/>
              <w:rPr>
                <w:sz w:val="1"/>
                <w:szCs w:val="1"/>
                <w:color w:val="auto"/>
              </w:rPr>
            </w:pPr>
          </w:p>
        </w:tc>
      </w:tr>
      <w:tr>
        <w:trPr>
          <w:trHeight w:val="253"/>
        </w:trPr>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w w:val="91"/>
              </w:rPr>
              <w:t>December 31,</w:t>
            </w: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88"/>
              </w:rPr>
              <w:t>Due Date</w:t>
            </w:r>
          </w:p>
        </w:tc>
        <w:tc>
          <w:tcPr>
            <w:tcW w:w="1500" w:type="dxa"/>
            <w:vAlign w:val="bottom"/>
          </w:tcPr>
          <w:p>
            <w:pPr>
              <w:jc w:val="center"/>
              <w:ind w:left="19"/>
              <w:spacing w:after="0"/>
              <w:rPr>
                <w:sz w:val="20"/>
                <w:szCs w:val="20"/>
                <w:color w:val="auto"/>
              </w:rPr>
            </w:pPr>
            <w:r>
              <w:rPr>
                <w:rFonts w:ascii="Arial" w:cs="Arial" w:eastAsia="Arial" w:hAnsi="Arial"/>
                <w:sz w:val="16"/>
                <w:szCs w:val="16"/>
                <w:color w:val="auto"/>
                <w:w w:val="91"/>
              </w:rPr>
              <w:t>December 31, 2018</w:t>
            </w:r>
          </w:p>
        </w:tc>
        <w:tc>
          <w:tcPr>
            <w:tcW w:w="14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540" w:type="dxa"/>
            <w:vAlign w:val="bottom"/>
            <w:gridSpan w:val="3"/>
            <w:vMerge w:val="restart"/>
          </w:tcPr>
          <w:p>
            <w:pPr>
              <w:spacing w:after="0"/>
              <w:rPr>
                <w:sz w:val="20"/>
                <w:szCs w:val="20"/>
                <w:color w:val="auto"/>
              </w:rPr>
            </w:pPr>
            <w:r>
              <w:rPr>
                <w:rFonts w:ascii="Arial" w:cs="Arial" w:eastAsia="Arial" w:hAnsi="Arial"/>
                <w:sz w:val="16"/>
                <w:szCs w:val="16"/>
                <w:color w:val="auto"/>
              </w:rPr>
              <w:t>Corporate</w:t>
            </w: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54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2023</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30, 2023</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4.25%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525,000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2020</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2"/>
              </w:rPr>
              <w:t>July 15, 2020</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5.88%</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5540" w:type="dxa"/>
            <w:vAlign w:val="bottom"/>
            <w:gridSpan w:val="3"/>
            <w:shd w:val="clear" w:color="auto" w:fill="CEFFE7"/>
          </w:tcPr>
          <w:p>
            <w:pPr>
              <w:ind w:left="100"/>
              <w:spacing w:after="0"/>
              <w:rPr>
                <w:sz w:val="20"/>
                <w:szCs w:val="20"/>
                <w:color w:val="auto"/>
              </w:rPr>
            </w:pPr>
            <w:r>
              <w:rPr>
                <w:rFonts w:ascii="Arial" w:cs="Arial" w:eastAsia="Arial" w:hAnsi="Arial"/>
                <w:sz w:val="16"/>
                <w:szCs w:val="16"/>
                <w:color w:val="auto"/>
              </w:rPr>
              <w:t xml:space="preserve">Remarketable junior subordinated notes </w:t>
            </w:r>
            <w:r>
              <w:rPr>
                <w:rFonts w:ascii="Arial" w:cs="Arial" w:eastAsia="Arial" w:hAnsi="Arial"/>
                <w:sz w:val="21"/>
                <w:szCs w:val="21"/>
                <w:color w:val="auto"/>
                <w:vertAlign w:val="superscript"/>
              </w:rPr>
              <w:t>(b)</w:t>
            </w:r>
          </w:p>
        </w:tc>
        <w:tc>
          <w:tcPr>
            <w:tcW w:w="17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1, 2028</w:t>
            </w:r>
          </w:p>
        </w:tc>
        <w:tc>
          <w:tcPr>
            <w:tcW w:w="15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2"/>
              </w:rPr>
              <w:t>3.50%</w:t>
            </w:r>
          </w:p>
        </w:tc>
        <w:tc>
          <w:tcPr>
            <w:tcW w:w="140" w:type="dxa"/>
            <w:vAlign w:val="bottom"/>
            <w:shd w:val="clear" w:color="auto" w:fill="CEFFE7"/>
          </w:tcPr>
          <w:p>
            <w:pPr>
              <w:spacing w:after="0"/>
              <w:rPr>
                <w:sz w:val="22"/>
                <w:szCs w:val="22"/>
                <w:color w:val="auto"/>
              </w:rPr>
            </w:pP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22"/>
                <w:szCs w:val="22"/>
                <w:color w:val="auto"/>
              </w:rPr>
            </w:pP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299,000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2019</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January 11, 2019</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2.50%</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2026</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January 15, 2026</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3.95%</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2027</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January 15, 2027</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3.15%</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2033</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5"/>
              </w:rPr>
              <w:t>May 1, 2033</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4.35%</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2046</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89"/>
              </w:rPr>
              <w:t>September 15, 2046</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4.20%</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Corporate term loan due 2019</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August 9, 2019</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2.55%</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 xml:space="preserve">Corporate term loan due 2020 </w:t>
            </w:r>
            <w:r>
              <w:rPr>
                <w:rFonts w:ascii="Arial" w:cs="Arial" w:eastAsia="Arial" w:hAnsi="Arial"/>
                <w:sz w:val="21"/>
                <w:szCs w:val="21"/>
                <w:color w:val="auto"/>
                <w:vertAlign w:val="superscript"/>
              </w:rPr>
              <w:t>(a)</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2"/>
              </w:rPr>
              <w:t>July 30, 2020</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3.16%</w:t>
            </w: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EFFE7"/>
            </w:tcBorders>
            <w:shd w:val="clear" w:color="auto" w:fill="CEFFE7"/>
          </w:tcPr>
          <w:p>
            <w:pPr>
              <w:spacing w:after="0"/>
              <w:rPr>
                <w:sz w:val="22"/>
                <w:szCs w:val="22"/>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Corporate term loan due 2021</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June 7, 2021</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2.32%</w:t>
            </w:r>
          </w:p>
        </w:tc>
        <w:tc>
          <w:tcPr>
            <w:tcW w:w="140" w:type="dxa"/>
            <w:vAlign w:val="bottom"/>
            <w:tcBorders>
              <w:bottom w:val="single" w:sz="8" w:color="CEFFE7"/>
            </w:tcBorders>
            <w:shd w:val="clear" w:color="auto" w:fill="CEFFE7"/>
          </w:tcPr>
          <w:p>
            <w:pPr>
              <w:spacing w:after="0"/>
              <w:rPr>
                <w:sz w:val="22"/>
                <w:szCs w:val="22"/>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12,921</w:t>
            </w:r>
          </w:p>
        </w:tc>
        <w:tc>
          <w:tcPr>
            <w:tcW w:w="1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18,664</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6"/>
                <w:szCs w:val="16"/>
                <w:color w:val="auto"/>
              </w:rPr>
              <w:t>Total Corporate debt</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2,437,921</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2,592,664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EFFE7"/>
            </w:tcBorders>
            <w:shd w:val="clear" w:color="auto" w:fill="CEFFE7"/>
          </w:tcPr>
          <w:p>
            <w:pPr>
              <w:spacing w:after="0"/>
              <w:rPr>
                <w:sz w:val="23"/>
                <w:szCs w:val="23"/>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Less unamortized debt discount</w:t>
            </w:r>
          </w:p>
        </w:tc>
        <w:tc>
          <w:tcPr>
            <w:tcW w:w="17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(5,122)</w:t>
            </w:r>
          </w:p>
        </w:tc>
        <w:tc>
          <w:tcPr>
            <w:tcW w:w="16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6"/>
                <w:szCs w:val="16"/>
                <w:color w:val="auto"/>
              </w:rPr>
              <w:t>Total Corporate debt, net</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2,432,799</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2,588,856</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4480" w:type="dxa"/>
            <w:vAlign w:val="bottom"/>
            <w:tcBorders>
              <w:bottom w:val="single" w:sz="8" w:color="CEFFE7"/>
            </w:tcBorders>
          </w:tcPr>
          <w:p>
            <w:pPr>
              <w:spacing w:after="0"/>
              <w:rPr>
                <w:sz w:val="2"/>
                <w:szCs w:val="2"/>
                <w:color w:val="auto"/>
              </w:rPr>
            </w:pPr>
          </w:p>
        </w:tc>
        <w:tc>
          <w:tcPr>
            <w:tcW w:w="17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4480" w:type="dxa"/>
            <w:vAlign w:val="bottom"/>
            <w:shd w:val="clear" w:color="auto" w:fill="CEFFE7"/>
          </w:tcPr>
          <w:p>
            <w:pPr>
              <w:spacing w:after="0"/>
              <w:rPr>
                <w:sz w:val="20"/>
                <w:szCs w:val="20"/>
                <w:color w:val="auto"/>
              </w:rPr>
            </w:pPr>
          </w:p>
        </w:tc>
        <w:tc>
          <w:tcPr>
            <w:tcW w:w="1720" w:type="dxa"/>
            <w:vAlign w:val="bottom"/>
            <w:shd w:val="clear" w:color="auto" w:fill="CEFFE7"/>
          </w:tcPr>
          <w:p>
            <w:pPr>
              <w:spacing w:after="0"/>
              <w:rPr>
                <w:sz w:val="20"/>
                <w:szCs w:val="20"/>
                <w:color w:val="auto"/>
              </w:rPr>
            </w:pPr>
          </w:p>
        </w:tc>
        <w:tc>
          <w:tcPr>
            <w:tcW w:w="150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6"/>
                <w:szCs w:val="16"/>
                <w:color w:val="auto"/>
              </w:rPr>
              <w:t>Electric Utilities</w:t>
            </w: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2044</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October 20, 2044</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4.43%</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First Mortgage Bonds due 2044</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October 20, 2044</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4.53%</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2032</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August 15, 2032</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7.23%</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75,000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First Mortgage Bonds due 2039</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1"/>
              </w:rPr>
              <w:t>November 1, 2039</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6.13%</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2037</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20, 2037</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6.67%</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 xml:space="preserve">Industrial development revenue bonds due 2021 </w:t>
            </w:r>
            <w:r>
              <w:rPr>
                <w:rFonts w:ascii="Arial" w:cs="Arial" w:eastAsia="Arial" w:hAnsi="Arial"/>
                <w:sz w:val="21"/>
                <w:szCs w:val="21"/>
                <w:color w:val="auto"/>
                <w:vertAlign w:val="superscript"/>
              </w:rPr>
              <w:t>(c)</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89"/>
              </w:rPr>
              <w:t>September 1, 2021</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1.73%</w:t>
            </w: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5540" w:type="dxa"/>
            <w:vAlign w:val="bottom"/>
            <w:gridSpan w:val="3"/>
            <w:shd w:val="clear" w:color="auto" w:fill="CEFFE7"/>
          </w:tcPr>
          <w:p>
            <w:pPr>
              <w:ind w:left="200"/>
              <w:spacing w:after="0"/>
              <w:rPr>
                <w:sz w:val="20"/>
                <w:szCs w:val="20"/>
                <w:color w:val="auto"/>
              </w:rPr>
            </w:pPr>
            <w:r>
              <w:rPr>
                <w:rFonts w:ascii="Arial" w:cs="Arial" w:eastAsia="Arial" w:hAnsi="Arial"/>
                <w:sz w:val="16"/>
                <w:szCs w:val="16"/>
                <w:color w:val="auto"/>
              </w:rPr>
              <w:t xml:space="preserve">Industrial development revenue bonds due 2027 </w:t>
            </w:r>
            <w:r>
              <w:rPr>
                <w:rFonts w:ascii="Arial" w:cs="Arial" w:eastAsia="Arial" w:hAnsi="Arial"/>
                <w:sz w:val="21"/>
                <w:szCs w:val="21"/>
                <w:color w:val="auto"/>
                <w:vertAlign w:val="superscript"/>
              </w:rPr>
              <w:t>(c)</w:t>
            </w:r>
          </w:p>
        </w:tc>
        <w:tc>
          <w:tcPr>
            <w:tcW w:w="17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March 1, 2027</w:t>
            </w:r>
          </w:p>
        </w:tc>
        <w:tc>
          <w:tcPr>
            <w:tcW w:w="15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2"/>
              </w:rPr>
              <w:t>1.73%</w:t>
            </w:r>
          </w:p>
        </w:tc>
        <w:tc>
          <w:tcPr>
            <w:tcW w:w="140" w:type="dxa"/>
            <w:vAlign w:val="bottom"/>
            <w:shd w:val="clear" w:color="auto" w:fill="CEFFE7"/>
          </w:tcPr>
          <w:p>
            <w:pPr>
              <w:spacing w:after="0"/>
              <w:rPr>
                <w:sz w:val="22"/>
                <w:szCs w:val="22"/>
                <w:color w:val="auto"/>
              </w:rPr>
            </w:pP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EFFE7"/>
          </w:tcPr>
          <w:p>
            <w:pPr>
              <w:spacing w:after="0"/>
              <w:rPr>
                <w:sz w:val="22"/>
                <w:szCs w:val="22"/>
                <w:color w:val="auto"/>
              </w:rPr>
            </w:pP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EFFE7"/>
            </w:tcBorders>
          </w:tcPr>
          <w:p>
            <w:pPr>
              <w:spacing w:after="0"/>
              <w:rPr>
                <w:sz w:val="22"/>
                <w:szCs w:val="22"/>
                <w:color w:val="auto"/>
              </w:rPr>
            </w:pPr>
          </w:p>
        </w:tc>
        <w:tc>
          <w:tcPr>
            <w:tcW w:w="5540" w:type="dxa"/>
            <w:vAlign w:val="bottom"/>
            <w:tcBorders>
              <w:bottom w:val="single" w:sz="8" w:color="CEFFE7"/>
            </w:tcBorders>
            <w:gridSpan w:val="3"/>
          </w:tcPr>
          <w:p>
            <w:pPr>
              <w:ind w:left="200"/>
              <w:spacing w:after="0"/>
              <w:rPr>
                <w:sz w:val="20"/>
                <w:szCs w:val="20"/>
                <w:color w:val="auto"/>
              </w:rPr>
            </w:pPr>
            <w:r>
              <w:rPr>
                <w:rFonts w:ascii="Arial" w:cs="Arial" w:eastAsia="Arial" w:hAnsi="Arial"/>
                <w:sz w:val="16"/>
                <w:szCs w:val="16"/>
                <w:color w:val="auto"/>
              </w:rPr>
              <w:t xml:space="preserve">Series 94A Debt, variable rate </w:t>
            </w:r>
            <w:r>
              <w:rPr>
                <w:rFonts w:ascii="Arial" w:cs="Arial" w:eastAsia="Arial" w:hAnsi="Arial"/>
                <w:sz w:val="21"/>
                <w:szCs w:val="21"/>
                <w:color w:val="auto"/>
                <w:vertAlign w:val="superscript"/>
              </w:rPr>
              <w:t>(c)</w:t>
            </w:r>
          </w:p>
        </w:tc>
        <w:tc>
          <w:tcPr>
            <w:tcW w:w="1720" w:type="dxa"/>
            <w:vAlign w:val="bottom"/>
            <w:tcBorders>
              <w:bottom w:val="single" w:sz="8" w:color="CEFFE7"/>
            </w:tcBorders>
          </w:tcPr>
          <w:p>
            <w:pPr>
              <w:jc w:val="center"/>
              <w:ind w:left="39"/>
              <w:spacing w:after="0"/>
              <w:rPr>
                <w:sz w:val="20"/>
                <w:szCs w:val="20"/>
                <w:color w:val="auto"/>
              </w:rPr>
            </w:pPr>
            <w:r>
              <w:rPr>
                <w:rFonts w:ascii="Arial" w:cs="Arial" w:eastAsia="Arial" w:hAnsi="Arial"/>
                <w:sz w:val="16"/>
                <w:szCs w:val="16"/>
                <w:color w:val="auto"/>
                <w:w w:val="90"/>
              </w:rPr>
              <w:t>June 1, 2024</w:t>
            </w:r>
          </w:p>
        </w:tc>
        <w:tc>
          <w:tcPr>
            <w:tcW w:w="1500" w:type="dxa"/>
            <w:vAlign w:val="bottom"/>
            <w:tcBorders>
              <w:bottom w:val="single" w:sz="8" w:color="CEFFE7"/>
            </w:tcBorders>
          </w:tcPr>
          <w:p>
            <w:pPr>
              <w:jc w:val="center"/>
              <w:ind w:left="39"/>
              <w:spacing w:after="0"/>
              <w:rPr>
                <w:sz w:val="20"/>
                <w:szCs w:val="20"/>
                <w:color w:val="auto"/>
              </w:rPr>
            </w:pPr>
            <w:r>
              <w:rPr>
                <w:rFonts w:ascii="Arial" w:cs="Arial" w:eastAsia="Arial" w:hAnsi="Arial"/>
                <w:sz w:val="16"/>
                <w:szCs w:val="16"/>
                <w:color w:val="auto"/>
                <w:w w:val="92"/>
              </w:rPr>
              <w:t>1.93%</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2,855</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420"/>
              <w:spacing w:after="0"/>
              <w:rPr>
                <w:sz w:val="20"/>
                <w:szCs w:val="20"/>
                <w:color w:val="auto"/>
              </w:rPr>
            </w:pPr>
            <w:r>
              <w:rPr>
                <w:rFonts w:ascii="Arial" w:cs="Arial" w:eastAsia="Arial" w:hAnsi="Arial"/>
                <w:sz w:val="16"/>
                <w:szCs w:val="16"/>
                <w:color w:val="auto"/>
              </w:rPr>
              <w:t>Total Electric Utilities debt</w:t>
            </w:r>
          </w:p>
        </w:tc>
        <w:tc>
          <w:tcPr>
            <w:tcW w:w="1720" w:type="dxa"/>
            <w:vAlign w:val="bottom"/>
            <w:tcBorders>
              <w:bottom w:val="single" w:sz="8" w:color="CEFFE7"/>
            </w:tcBorders>
            <w:shd w:val="clear" w:color="auto" w:fill="CEFFE7"/>
          </w:tcPr>
          <w:p>
            <w:pPr>
              <w:spacing w:after="0"/>
              <w:rPr>
                <w:sz w:val="20"/>
                <w:szCs w:val="20"/>
                <w:color w:val="auto"/>
              </w:rPr>
            </w:pPr>
          </w:p>
        </w:tc>
        <w:tc>
          <w:tcPr>
            <w:tcW w:w="15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544,855</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544,855</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Less unamortized debt discount</w:t>
            </w: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4480" w:type="dxa"/>
            <w:vAlign w:val="bottom"/>
            <w:tcBorders>
              <w:bottom w:val="single" w:sz="8" w:color="CEFFE7"/>
            </w:tcBorders>
          </w:tcPr>
          <w:p>
            <w:pPr>
              <w:spacing w:after="0"/>
              <w:rPr>
                <w:sz w:val="2"/>
                <w:szCs w:val="2"/>
                <w:color w:val="auto"/>
              </w:rPr>
            </w:pPr>
          </w:p>
        </w:tc>
        <w:tc>
          <w:tcPr>
            <w:tcW w:w="17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EFFE7"/>
            </w:tcBorders>
            <w:shd w:val="clear" w:color="auto" w:fill="CEFFE7"/>
          </w:tcPr>
          <w:p>
            <w:pPr>
              <w:spacing w:after="0"/>
              <w:rPr>
                <w:sz w:val="21"/>
                <w:szCs w:val="21"/>
                <w:color w:val="auto"/>
              </w:rPr>
            </w:pPr>
          </w:p>
        </w:tc>
        <w:tc>
          <w:tcPr>
            <w:tcW w:w="5540" w:type="dxa"/>
            <w:vAlign w:val="bottom"/>
            <w:tcBorders>
              <w:bottom w:val="single" w:sz="8" w:color="CEFFE7"/>
            </w:tcBorders>
            <w:gridSpan w:val="3"/>
            <w:shd w:val="clear" w:color="auto" w:fill="CEFFE7"/>
          </w:tcPr>
          <w:p>
            <w:pPr>
              <w:ind w:left="420"/>
              <w:spacing w:after="0"/>
              <w:rPr>
                <w:sz w:val="20"/>
                <w:szCs w:val="20"/>
                <w:color w:val="auto"/>
              </w:rPr>
            </w:pPr>
            <w:r>
              <w:rPr>
                <w:rFonts w:ascii="Arial" w:cs="Arial" w:eastAsia="Arial" w:hAnsi="Arial"/>
                <w:sz w:val="16"/>
                <w:szCs w:val="16"/>
                <w:color w:val="auto"/>
              </w:rPr>
              <w:t>Total Electric Utilities debt, net</w:t>
            </w:r>
          </w:p>
        </w:tc>
        <w:tc>
          <w:tcPr>
            <w:tcW w:w="17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544,769</w:t>
            </w:r>
          </w:p>
        </w:tc>
        <w:tc>
          <w:tcPr>
            <w:tcW w:w="1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544,765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6"/>
                <w:szCs w:val="16"/>
                <w:color w:val="auto"/>
              </w:rPr>
              <w:t>Total long-term debt</w:t>
            </w:r>
          </w:p>
        </w:tc>
        <w:tc>
          <w:tcPr>
            <w:tcW w:w="17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2,977,568</w:t>
            </w:r>
          </w:p>
        </w:tc>
        <w:tc>
          <w:tcPr>
            <w:tcW w:w="1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3,133,621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6"/>
                <w:szCs w:val="16"/>
                <w:color w:val="auto"/>
              </w:rPr>
              <w:t>Less current maturities</w:t>
            </w: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EFFE7"/>
          </w:tcPr>
          <w:p>
            <w:pPr>
              <w:spacing w:after="0"/>
              <w:rPr>
                <w:sz w:val="23"/>
                <w:szCs w:val="23"/>
                <w:color w:val="auto"/>
              </w:rPr>
            </w:pPr>
          </w:p>
        </w:tc>
        <w:tc>
          <w:tcPr>
            <w:tcW w:w="554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(d)</w:t>
            </w:r>
          </w:p>
        </w:tc>
        <w:tc>
          <w:tcPr>
            <w:tcW w:w="1720" w:type="dxa"/>
            <w:vAlign w:val="bottom"/>
            <w:shd w:val="clear" w:color="auto" w:fill="CEFFE7"/>
          </w:tcPr>
          <w:p>
            <w:pPr>
              <w:spacing w:after="0"/>
              <w:rPr>
                <w:sz w:val="23"/>
                <w:szCs w:val="23"/>
                <w:color w:val="auto"/>
              </w:rPr>
            </w:pPr>
          </w:p>
        </w:tc>
        <w:tc>
          <w:tcPr>
            <w:tcW w:w="1500" w:type="dxa"/>
            <w:vAlign w:val="bottom"/>
            <w:shd w:val="clear" w:color="auto" w:fill="CEFFE7"/>
          </w:tcPr>
          <w:p>
            <w:pPr>
              <w:spacing w:after="0"/>
              <w:rPr>
                <w:sz w:val="23"/>
                <w:szCs w:val="23"/>
                <w:color w:val="auto"/>
              </w:rPr>
            </w:pPr>
          </w:p>
        </w:tc>
        <w:tc>
          <w:tcPr>
            <w:tcW w:w="140" w:type="dxa"/>
            <w:vAlign w:val="bottom"/>
            <w:tcBorders>
              <w:bottom w:val="single" w:sz="8" w:color="auto"/>
            </w:tcBorders>
            <w:shd w:val="clear" w:color="auto" w:fill="CEFFE7"/>
          </w:tcPr>
          <w:p>
            <w:pPr>
              <w:spacing w:after="0"/>
              <w:rPr>
                <w:sz w:val="23"/>
                <w:szCs w:val="23"/>
                <w:color w:val="auto"/>
              </w:rPr>
            </w:pP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20,990</w:t>
            </w:r>
          </w:p>
        </w:tc>
        <w:tc>
          <w:tcPr>
            <w:tcW w:w="160" w:type="dxa"/>
            <w:vAlign w:val="bottom"/>
            <w:tcBorders>
              <w:bottom w:val="single" w:sz="8" w:color="auto"/>
            </w:tcBorders>
            <w:shd w:val="clear" w:color="auto" w:fill="CEFFE7"/>
          </w:tcPr>
          <w:p>
            <w:pPr>
              <w:spacing w:after="0"/>
              <w:rPr>
                <w:sz w:val="23"/>
                <w:szCs w:val="23"/>
                <w:color w:val="auto"/>
              </w:rPr>
            </w:pPr>
          </w:p>
        </w:tc>
        <w:tc>
          <w:tcPr>
            <w:tcW w:w="11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18,478</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540" w:type="dxa"/>
            <w:vAlign w:val="bottom"/>
            <w:gridSpan w:val="3"/>
          </w:tcPr>
          <w:p>
            <w:pPr>
              <w:ind w:left="320"/>
              <w:spacing w:after="0"/>
              <w:rPr>
                <w:sz w:val="20"/>
                <w:szCs w:val="20"/>
                <w:color w:val="auto"/>
              </w:rPr>
            </w:pPr>
            <w:r>
              <w:rPr>
                <w:rFonts w:ascii="Arial" w:cs="Arial" w:eastAsia="Arial" w:hAnsi="Arial"/>
                <w:sz w:val="16"/>
                <w:szCs w:val="16"/>
                <w:color w:val="auto"/>
              </w:rPr>
              <w:t>Long-term debt, net of current maturities and deferred financing costs</w:t>
            </w: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2,950,835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3,109,400</w:t>
            </w:r>
          </w:p>
        </w:tc>
        <w:tc>
          <w:tcPr>
            <w:tcW w:w="0" w:type="dxa"/>
            <w:vAlign w:val="bottom"/>
          </w:tcPr>
          <w:p>
            <w:pPr>
              <w:spacing w:after="0"/>
              <w:rPr>
                <w:sz w:val="1"/>
                <w:szCs w:val="1"/>
                <w:color w:val="auto"/>
              </w:rPr>
            </w:pPr>
          </w:p>
        </w:tc>
      </w:tr>
      <w:tr>
        <w:trPr>
          <w:trHeight w:val="20"/>
        </w:trPr>
        <w:tc>
          <w:tcPr>
            <w:tcW w:w="124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_______________</w:t>
            </w:r>
          </w:p>
        </w:tc>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40" w:type="dxa"/>
            <w:vAlign w:val="bottom"/>
            <w:gridSpan w:val="3"/>
            <w:vMerge w:val="continue"/>
          </w:tcPr>
          <w:p>
            <w:pPr>
              <w:spacing w:after="0"/>
              <w:rPr>
                <w:sz w:val="15"/>
                <w:szCs w:val="15"/>
                <w:color w:val="auto"/>
              </w:rPr>
            </w:pPr>
          </w:p>
        </w:tc>
        <w:tc>
          <w:tcPr>
            <w:tcW w:w="4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Variable interest rate, based on LIBOR plus a spread.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See Note 12 for RSN details.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Variable interest rate.</w:t>
      </w:r>
    </w:p>
    <w:p>
      <w:pPr>
        <w:spacing w:after="0" w:line="5" w:lineRule="exact"/>
        <w:rPr>
          <w:rFonts w:ascii="Arial" w:cs="Arial" w:eastAsia="Arial" w:hAnsi="Arial"/>
          <w:sz w:val="16"/>
          <w:szCs w:val="16"/>
          <w:color w:val="auto"/>
        </w:rPr>
      </w:pPr>
    </w:p>
    <w:p>
      <w:pPr>
        <w:ind w:left="340" w:right="540" w:hanging="332"/>
        <w:spacing w:after="0" w:line="257"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deferred financing costs associated with our Revolving Credit Facility of $2.3 million and $1.7 million as of December 31, 2018 and December 31, 2017,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96"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Scheduled maturities of long-term debt, excluding amortization of premiums or discounts, for future years are (in thousands):</w:t>
      </w:r>
    </w:p>
    <w:p>
      <w:pPr>
        <w:spacing w:after="0" w:line="158" w:lineRule="exact"/>
        <w:rPr>
          <w:sz w:val="20"/>
          <w:szCs w:val="20"/>
          <w:color w:val="auto"/>
        </w:rPr>
      </w:pPr>
    </w:p>
    <w:tbl>
      <w:tblPr>
        <w:tblLayout w:type="fixed"/>
        <w:tblInd w:w="3500" w:type="dxa"/>
        <w:tblCellMar>
          <w:top w:w="0" w:type="dxa"/>
          <w:left w:w="0" w:type="dxa"/>
          <w:bottom w:w="0" w:type="dxa"/>
          <w:right w:w="0" w:type="dxa"/>
        </w:tblCellMar>
      </w:tblPr>
      <w:tr>
        <w:trPr>
          <w:trHeight w:val="270"/>
        </w:trPr>
        <w:tc>
          <w:tcPr>
            <w:tcW w:w="88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w w:val="89"/>
              </w:rPr>
              <w:t>2019</w:t>
            </w:r>
          </w:p>
        </w:tc>
        <w:tc>
          <w:tcPr>
            <w:tcW w:w="2100" w:type="dxa"/>
            <w:vAlign w:val="bottom"/>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5,743</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2020</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505,743</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2021</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8,435</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2022</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2023</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525,000</w:t>
            </w:r>
          </w:p>
        </w:tc>
      </w:tr>
      <w:tr>
        <w:trPr>
          <w:trHeight w:val="243"/>
        </w:trPr>
        <w:tc>
          <w:tcPr>
            <w:tcW w:w="880" w:type="dxa"/>
            <w:vAlign w:val="bottom"/>
          </w:tcPr>
          <w:p>
            <w:pPr>
              <w:spacing w:after="0"/>
              <w:rPr>
                <w:sz w:val="21"/>
                <w:szCs w:val="21"/>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Thereafter $</w:t>
            </w:r>
          </w:p>
        </w:tc>
        <w:tc>
          <w:tcPr>
            <w:tcW w:w="1460" w:type="dxa"/>
            <w:vAlign w:val="bottom"/>
          </w:tcPr>
          <w:p>
            <w:pPr>
              <w:jc w:val="right"/>
              <w:spacing w:after="0"/>
              <w:rPr>
                <w:sz w:val="20"/>
                <w:szCs w:val="20"/>
                <w:color w:val="auto"/>
              </w:rPr>
            </w:pPr>
            <w:r>
              <w:rPr>
                <w:rFonts w:ascii="Arial" w:cs="Arial" w:eastAsia="Arial" w:hAnsi="Arial"/>
                <w:sz w:val="18"/>
                <w:szCs w:val="18"/>
                <w:color w:val="auto"/>
              </w:rPr>
              <w:t>1,937,855</w:t>
            </w: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debt securities contain certain restrictive financial covenants, all of which the Company and its subsidiaries were in compliance with at December 31, 2018.</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 The first mortgage bonds issued by South Dakota Electric and Wyoming Electric are callable, but are subject to make-whole provisions which would eliminate any economic benefit for us to call the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Transactions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12, 2018, we paid off the $250 million, 2.5% senior unsecured notes due January 11, 2019. Proceeds from the November 1, 2018 Equity Unit conversion were used to pay off this debt.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August 17, 2018, we issued $400 million principal amount, 4.350% senior unsecured notes due 2033. A portion of these notes were issued in a private exchange that resulted in the retirement of all $299 million principal amount of our RSNs due 2028. The remainder of the notes were sold for cash in a public offering, with the net proceeds being used to pay down short-term debt.</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issuance of these new senior notes was the culmination of a series of transactions that also included the contractually required remarketing of such RSNs on behalf of the holders of our Equity Units, with the proceeds being deposited as collateral to secure the obligations of those holders under the purchase contracts included in the Equity Units (see Note 12). As a result of the remarketing, the annual interest rate on such RSNs was automatically reset to 4.579% (however, because the RSNs were then immediately retired, no interest accrued at this reset 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30, 2018, we amended and restated our unsecured term loan due August 2019. This amended and restated term loan, with $300 million outstanding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will now mature on July 30, 2020 and has substantially similar terms and covenants as the amended and restated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The interest cost associated with this term loan is determined based upon our corporate credit rating from S&amp;P, Fitch, and Moody’s for our senior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unsecured long-term debt. Based on our credit ratings, the margins for base rate borrowings and Eurodollar borrowings were 0.000% and 0.700%,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16, 2017, we paid down $50 million on our Corporate term loan due August 9, 2019. On July 17, 2017, we paid down an additional $50 million on the same term loan. Short-term borrowings from our CP program were used to fund the payments on the Corporate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Expense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deferred financing costs and associated amortization expense included in Interest expense on the accompanying Consolidated Statements of Income (Loss) were as follows (in thousands):</w:t>
      </w:r>
    </w:p>
    <w:p>
      <w:pPr>
        <w:sectPr>
          <w:pgSz w:w="11900" w:h="16838" w:orient="portrait"/>
          <w:cols w:equalWidth="0" w:num="1">
            <w:col w:w="11400"/>
          </w:cols>
          <w:pgMar w:left="240" w:top="584" w:right="259" w:bottom="1440" w:gutter="0" w:footer="0" w:header="0"/>
        </w:sectPr>
      </w:pPr>
    </w:p>
    <w:p>
      <w:pPr>
        <w:spacing w:after="0" w:line="116" w:lineRule="exact"/>
        <w:rPr>
          <w:sz w:val="20"/>
          <w:szCs w:val="20"/>
          <w:color w:val="auto"/>
        </w:rPr>
      </w:pPr>
    </w:p>
    <w:p>
      <w:pPr>
        <w:jc w:val="center"/>
        <w:ind w:left="2960"/>
        <w:spacing w:after="0"/>
        <w:rPr>
          <w:sz w:val="20"/>
          <w:szCs w:val="20"/>
          <w:color w:val="auto"/>
        </w:rPr>
      </w:pPr>
      <w:r>
        <w:rPr>
          <w:rFonts w:ascii="Arial" w:cs="Arial" w:eastAsia="Arial" w:hAnsi="Arial"/>
          <w:sz w:val="17"/>
          <w:szCs w:val="17"/>
          <w:color w:val="auto"/>
        </w:rPr>
        <w:t>Deferred Financing Costs</w:t>
      </w:r>
    </w:p>
    <w:p>
      <w:pPr>
        <w:spacing w:after="0" w:line="35"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Remaining at</w:t>
      </w:r>
    </w:p>
    <w:p>
      <w:pPr>
        <w:spacing w:after="0" w:line="49"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December 31, 2018</w:t>
      </w:r>
    </w:p>
    <w:p>
      <w:pPr>
        <w:spacing w:after="0" w:line="77" w:lineRule="exact"/>
        <w:rPr>
          <w:sz w:val="20"/>
          <w:szCs w:val="20"/>
          <w:color w:val="auto"/>
        </w:rPr>
      </w:pPr>
    </w:p>
    <w:p>
      <w:pPr>
        <w:ind w:left="2940"/>
        <w:spacing w:after="0"/>
        <w:tabs>
          <w:tab w:leader="none" w:pos="4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63500</wp:posOffset>
            </wp:positionV>
            <wp:extent cx="1311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2880"/>
        <w:spacing w:after="0"/>
        <w:rPr>
          <w:sz w:val="20"/>
          <w:szCs w:val="20"/>
          <w:color w:val="auto"/>
        </w:rPr>
      </w:pPr>
      <w:r>
        <w:rPr>
          <w:rFonts w:ascii="Arial" w:cs="Arial" w:eastAsia="Arial" w:hAnsi="Arial"/>
          <w:sz w:val="16"/>
          <w:szCs w:val="16"/>
          <w:color w:val="auto"/>
        </w:rPr>
        <w:t>Amortization Expense for the years ended</w:t>
      </w:r>
    </w:p>
    <w:p>
      <w:pPr>
        <w:spacing w:after="0" w:line="46" w:lineRule="exact"/>
        <w:rPr>
          <w:sz w:val="20"/>
          <w:szCs w:val="20"/>
          <w:color w:val="auto"/>
        </w:rPr>
      </w:pPr>
    </w:p>
    <w:p>
      <w:pPr>
        <w:jc w:val="center"/>
        <w:ind w:right="2880"/>
        <w:spacing w:after="0"/>
        <w:rPr>
          <w:sz w:val="20"/>
          <w:szCs w:val="20"/>
          <w:color w:val="auto"/>
        </w:rPr>
      </w:pPr>
      <w:r>
        <w:rPr>
          <w:rFonts w:ascii="Arial" w:cs="Arial" w:eastAsia="Arial" w:hAnsi="Arial"/>
          <w:sz w:val="18"/>
          <w:szCs w:val="18"/>
          <w:color w:val="auto"/>
        </w:rPr>
        <w:t>December 31,</w:t>
      </w:r>
    </w:p>
    <w:p>
      <w:pPr>
        <w:spacing w:after="0" w:line="49" w:lineRule="exact"/>
        <w:rPr>
          <w:sz w:val="20"/>
          <w:szCs w:val="20"/>
          <w:color w:val="auto"/>
        </w:rPr>
      </w:pPr>
    </w:p>
    <w:p>
      <w:pPr>
        <w:ind w:left="320"/>
        <w:spacing w:after="0"/>
        <w:tabs>
          <w:tab w:leader="none" w:pos="1340" w:val="left"/>
          <w:tab w:leader="none" w:pos="238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31750</wp:posOffset>
            </wp:positionV>
            <wp:extent cx="355917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9175" cy="188595"/>
                    </a:xfrm>
                    <a:prstGeom prst="rect">
                      <a:avLst/>
                    </a:prstGeom>
                    <a:noFill/>
                  </pic:spPr>
                </pic:pic>
              </a:graphicData>
            </a:graphic>
          </wp:anchor>
        </w:drawing>
      </w:r>
    </w:p>
    <w:p>
      <w:pPr>
        <w:spacing w:after="0" w:line="57" w:lineRule="exact"/>
        <w:rPr>
          <w:sz w:val="20"/>
          <w:szCs w:val="20"/>
          <w:color w:val="auto"/>
        </w:rPr>
      </w:pPr>
    </w:p>
    <w:p>
      <w:pPr>
        <w:spacing w:after="0"/>
        <w:tabs>
          <w:tab w:leader="none" w:pos="540" w:val="left"/>
          <w:tab w:leader="none" w:pos="158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2,829 $</w:t>
      </w:r>
      <w:r>
        <w:rPr>
          <w:sz w:val="20"/>
          <w:szCs w:val="20"/>
          <w:color w:val="auto"/>
        </w:rPr>
        <w:tab/>
      </w:r>
      <w:r>
        <w:rPr>
          <w:rFonts w:ascii="Arial" w:cs="Arial" w:eastAsia="Arial" w:hAnsi="Arial"/>
          <w:sz w:val="18"/>
          <w:szCs w:val="18"/>
          <w:color w:val="auto"/>
        </w:rPr>
        <w:t>3,349 $</w:t>
      </w:r>
      <w:r>
        <w:rPr>
          <w:sz w:val="20"/>
          <w:szCs w:val="20"/>
          <w:color w:val="auto"/>
        </w:rPr>
        <w:tab/>
      </w:r>
      <w:r>
        <w:rPr>
          <w:rFonts w:ascii="Arial" w:cs="Arial" w:eastAsia="Arial" w:hAnsi="Arial"/>
          <w:sz w:val="15"/>
          <w:szCs w:val="15"/>
          <w:color w:val="auto"/>
        </w:rPr>
        <w:t>3,861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1981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500"/>
            <w:col w:w="5980"/>
          </w:cols>
          <w:pgMar w:left="240" w:top="584" w:right="25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00"/>
          </w:cols>
          <w:pgMar w:left="240" w:top="584" w:right="2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credit facility and other debt obligations contain restrictions on the payment of cash dividends when a default or event of default occurs. In addition, the agreements governing our equity units contain restrictions on the payment of cash dividends upon any time we have exercised our right to defer payment of contract adjustment payments under the purchase contracts or interest payments under the RSNs included in such equity units. As of December 31, 2018, we were in compliance with these covenants.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 The following restrictions on distributions from our subsidiaries existed at December 31, 2018:</w:t>
      </w:r>
    </w:p>
    <w:p>
      <w:pPr>
        <w:spacing w:after="0" w:line="187" w:lineRule="exact"/>
        <w:rPr>
          <w:sz w:val="20"/>
          <w:szCs w:val="20"/>
          <w:color w:val="auto"/>
        </w:rPr>
      </w:pPr>
    </w:p>
    <w:p>
      <w:pPr>
        <w:ind w:left="660" w:right="280" w:hanging="328"/>
        <w:spacing w:after="0" w:line="264"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Our utilities are generally limited to the amount of dividends allowed to be paid to our utility holding company under the Federal Power Act and settlement agreements with state regulatory jurisdictions. As of December 31, 2018, the restricted net assets at our Electric and Gas Utilities were approximately $257 million.</w:t>
      </w:r>
    </w:p>
    <w:p>
      <w:pPr>
        <w:spacing w:after="0" w:line="177" w:lineRule="exact"/>
        <w:rPr>
          <w:rFonts w:ascii="Arial" w:cs="Arial" w:eastAsia="Arial" w:hAnsi="Arial"/>
          <w:sz w:val="18"/>
          <w:szCs w:val="18"/>
          <w:color w:val="auto"/>
        </w:rPr>
      </w:pPr>
    </w:p>
    <w:p>
      <w:pPr>
        <w:ind w:left="400" w:hanging="392"/>
        <w:spacing w:after="0"/>
        <w:tabs>
          <w:tab w:leader="none" w:pos="4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Revolving Credit Facility and debt securities contain certain restrictive financial covenants. As of December 31, 2018, we were in compliance with all of these financial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short-term debt outstanding at the Consolidated Balance Sheets date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3"/>
          </w:tcPr>
          <w:p>
            <w:pPr>
              <w:jc w:val="right"/>
              <w:ind w:right="1330"/>
              <w:spacing w:after="0"/>
              <w:rPr>
                <w:sz w:val="20"/>
                <w:szCs w:val="20"/>
                <w:color w:val="auto"/>
              </w:rPr>
            </w:pPr>
            <w:r>
              <w:rPr>
                <w:rFonts w:ascii="Arial" w:cs="Arial" w:eastAsia="Arial" w:hAnsi="Arial"/>
                <w:sz w:val="18"/>
                <w:szCs w:val="18"/>
                <w:color w:val="auto"/>
              </w:rPr>
              <w:t>Balance Outstanding at</w:t>
            </w: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7"/>
              </w:rPr>
              <w:t>December 31, 2018</w:t>
            </w:r>
          </w:p>
        </w:tc>
        <w:tc>
          <w:tcPr>
            <w:tcW w:w="320" w:type="dxa"/>
            <w:vAlign w:val="bottom"/>
          </w:tcPr>
          <w:p>
            <w:pPr>
              <w:spacing w:after="0"/>
              <w:rPr>
                <w:sz w:val="23"/>
                <w:szCs w:val="23"/>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31, 2017</w:t>
            </w:r>
          </w:p>
        </w:tc>
      </w:tr>
      <w:tr>
        <w:trPr>
          <w:trHeight w:val="27"/>
        </w:trPr>
        <w:tc>
          <w:tcPr>
            <w:tcW w:w="6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CP Program</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211,300</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December 31, 2018. Based on our credit ratings, a 0.175% commitment fee was charged on the unused amount at December 31, 2018. Margins and the commitment fee rate decreased in August 2018 due to our upgraded credit rating from S&amp;P.</w:t>
      </w:r>
    </w:p>
    <w:p>
      <w:pPr>
        <w:spacing w:after="0" w:line="18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(payments) under the CP Program during 2018 were $(26) million and our notes outstanding as of December 31, 2018 were $186 million. As of December 31, 2018, the weighted average interest rate on CP Program borrowings was 2.88%.</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2018 and December 31, 2017, we had outstanding letters of credit totaling approximately $22 million and approximately $27 million, respectively.</w:t>
      </w:r>
    </w:p>
    <w:p>
      <w:pPr>
        <w:spacing w:after="0" w:line="1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Total accumulated deferred financing costs on the Revolving Credit Facility of $6.7 million are being amortized over its estimated useful life and were included in Interest expense on the accompanying Consolidated Statements of Income (Loss). See Note 6 above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80"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our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by (ii) Capital, which includes Consolidated Indebtedness plus Net Worth, which excludes noncontrolling interest in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our Term Loans require compliance with the following financial covenant at the end of each quarter:</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gridSpan w:val="2"/>
          </w:tcPr>
          <w:p>
            <w:pPr>
              <w:jc w:val="center"/>
              <w:spacing w:after="0"/>
              <w:rPr>
                <w:sz w:val="20"/>
                <w:szCs w:val="20"/>
                <w:color w:val="auto"/>
              </w:rPr>
            </w:pPr>
            <w:r>
              <w:rPr>
                <w:rFonts w:ascii="Arial" w:cs="Arial" w:eastAsia="Arial" w:hAnsi="Arial"/>
                <w:sz w:val="18"/>
                <w:szCs w:val="18"/>
                <w:color w:val="auto"/>
                <w:w w:val="88"/>
              </w:rPr>
              <w:t>Covenant Requirement at</w:t>
            </w:r>
          </w:p>
        </w:tc>
      </w:tr>
      <w:tr>
        <w:trPr>
          <w:trHeight w:val="230"/>
        </w:trPr>
        <w:tc>
          <w:tcPr>
            <w:tcW w:w="6140" w:type="dxa"/>
            <w:vAlign w:val="bottom"/>
          </w:tcPr>
          <w:p>
            <w:pPr>
              <w:spacing w:after="0"/>
              <w:rPr>
                <w:sz w:val="20"/>
                <w:szCs w:val="20"/>
                <w:color w:val="auto"/>
              </w:rPr>
            </w:pPr>
          </w:p>
        </w:tc>
        <w:tc>
          <w:tcPr>
            <w:tcW w:w="2580" w:type="dxa"/>
            <w:vAlign w:val="bottom"/>
          </w:tcPr>
          <w:p>
            <w:pPr>
              <w:jc w:val="right"/>
              <w:ind w:right="570"/>
              <w:spacing w:after="0"/>
              <w:rPr>
                <w:sz w:val="20"/>
                <w:szCs w:val="20"/>
                <w:color w:val="auto"/>
              </w:rPr>
            </w:pPr>
            <w:r>
              <w:rPr>
                <w:rFonts w:ascii="Arial" w:cs="Arial" w:eastAsia="Arial" w:hAnsi="Arial"/>
                <w:sz w:val="18"/>
                <w:szCs w:val="18"/>
                <w:color w:val="auto"/>
              </w:rPr>
              <w:t>At December 31, 2018</w:t>
            </w:r>
          </w:p>
        </w:tc>
        <w:tc>
          <w:tcPr>
            <w:tcW w:w="2160" w:type="dxa"/>
            <w:vAlign w:val="bottom"/>
          </w:tcPr>
          <w:p>
            <w:pPr>
              <w:jc w:val="center"/>
              <w:ind w:left="450"/>
              <w:spacing w:after="0"/>
              <w:rPr>
                <w:sz w:val="20"/>
                <w:szCs w:val="20"/>
                <w:color w:val="auto"/>
              </w:rPr>
            </w:pPr>
            <w:r>
              <w:rPr>
                <w:rFonts w:ascii="Arial" w:cs="Arial" w:eastAsia="Arial" w:hAnsi="Arial"/>
                <w:sz w:val="18"/>
                <w:szCs w:val="18"/>
                <w:color w:val="auto"/>
                <w:w w:val="89"/>
              </w:rPr>
              <w:t>December 31, 2018</w:t>
            </w:r>
          </w:p>
        </w:tc>
        <w:tc>
          <w:tcPr>
            <w:tcW w:w="480" w:type="dxa"/>
            <w:vAlign w:val="bottom"/>
          </w:tcPr>
          <w:p>
            <w:pPr>
              <w:spacing w:after="0"/>
              <w:rPr>
                <w:sz w:val="20"/>
                <w:szCs w:val="20"/>
                <w:color w:val="auto"/>
              </w:rPr>
            </w:pPr>
          </w:p>
        </w:tc>
      </w:tr>
      <w:tr>
        <w:trPr>
          <w:trHeight w:val="27"/>
        </w:trPr>
        <w:tc>
          <w:tcPr>
            <w:tcW w:w="6140" w:type="dxa"/>
            <w:vAlign w:val="bottom"/>
            <w:tcBorders>
              <w:bottom w:val="single" w:sz="8" w:color="CEFFE7"/>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614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Consolidated Indebtedness to Capitalization Ratio</w:t>
            </w:r>
          </w:p>
        </w:tc>
        <w:tc>
          <w:tcPr>
            <w:tcW w:w="258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59%</w:t>
            </w:r>
          </w:p>
        </w:tc>
        <w:tc>
          <w:tcPr>
            <w:tcW w:w="2160" w:type="dxa"/>
            <w:vAlign w:val="bottom"/>
            <w:shd w:val="clear" w:color="auto" w:fill="CEFFE7"/>
          </w:tcPr>
          <w:p>
            <w:pPr>
              <w:ind w:left="600"/>
              <w:spacing w:after="0"/>
              <w:rPr>
                <w:sz w:val="20"/>
                <w:szCs w:val="20"/>
                <w:color w:val="auto"/>
              </w:rPr>
            </w:pPr>
            <w:r>
              <w:rPr>
                <w:rFonts w:ascii="Arial" w:cs="Arial" w:eastAsia="Arial" w:hAnsi="Arial"/>
                <w:sz w:val="18"/>
                <w:szCs w:val="18"/>
                <w:color w:val="auto"/>
              </w:rPr>
              <w:t>Less than</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14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2160" w:type="dxa"/>
            <w:vAlign w:val="bottom"/>
            <w:shd w:val="clear" w:color="auto" w:fill="CEFFE7"/>
          </w:tcPr>
          <w:p>
            <w:pPr>
              <w:spacing w:after="0"/>
              <w:rPr>
                <w:sz w:val="2"/>
                <w:szCs w:val="2"/>
                <w:color w:val="auto"/>
              </w:rPr>
            </w:pPr>
          </w:p>
        </w:tc>
        <w:tc>
          <w:tcPr>
            <w:tcW w:w="48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identified legal retirement obligations related to reclamation of coal mining sites in the Mining segment and removal of fuel tanks, asbestos, transformers containing polychlorinated biphenyls, an evaporation pond and wind turbines at the regulated Electric Utilities segment, retirement of gas pipelines at our Gas Utilities and asbestos at our Electric and Gas Utilities. We periodically review and update estimated costs related to these asset retirement obligations. The actual cost may vary from estimates because of regulatory requirements, changes in technology and increased costs of labor, materials and equipment.</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details of AROs which are included on the accompanying Consolidated Balance Sheets in Other deferred credits and other liabilities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2"/>
              </w:rPr>
              <w:t>Revisions to Prior</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2017</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Liabilities Incurred</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Liabilities Settled</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 xml:space="preserve">Estimates </w:t>
            </w:r>
            <w:r>
              <w:rPr>
                <w:rFonts w:ascii="Arial" w:cs="Arial" w:eastAsia="Arial" w:hAnsi="Arial"/>
                <w:sz w:val="25"/>
                <w:szCs w:val="25"/>
                <w:color w:val="auto"/>
                <w:w w:val="84"/>
                <w:vertAlign w:val="superscript"/>
              </w:rPr>
              <w:t>(b)</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6,287</w:t>
            </w:r>
          </w:p>
        </w:tc>
        <w:tc>
          <w:tcPr>
            <w:tcW w:w="6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33,238</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12,499</w:t>
            </w:r>
          </w:p>
        </w:tc>
        <w:tc>
          <w:tcPr>
            <w:tcW w:w="62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2,471</w:t>
            </w:r>
          </w:p>
        </w:tc>
        <w:tc>
          <w:tcPr>
            <w:tcW w:w="5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57"/>
        </w:trPr>
        <w:tc>
          <w:tcPr>
            <w:tcW w:w="2180" w:type="dxa"/>
            <w:vAlign w:val="bottom"/>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52,024</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2,473</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2"/>
              </w:rPr>
              <w:t>Revisions to Prior</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Liabilities Incurred</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Liabilities Settled</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 xml:space="preserve">Estimates </w:t>
            </w:r>
            <w:r>
              <w:rPr>
                <w:rFonts w:ascii="Arial" w:cs="Arial" w:eastAsia="Arial" w:hAnsi="Arial"/>
                <w:sz w:val="25"/>
                <w:szCs w:val="25"/>
                <w:color w:val="auto"/>
                <w:w w:val="84"/>
                <w:vertAlign w:val="superscript"/>
              </w:rPr>
              <w:t>(a)</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4,661</w:t>
            </w:r>
          </w:p>
        </w:tc>
        <w:tc>
          <w:tcPr>
            <w:tcW w:w="6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1,362</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29,775</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12,440</w:t>
            </w:r>
          </w:p>
        </w:tc>
        <w:tc>
          <w:tcPr>
            <w:tcW w:w="62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(485)</w:t>
            </w:r>
          </w:p>
        </w:tc>
        <w:tc>
          <w:tcPr>
            <w:tcW w:w="5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57"/>
        </w:trPr>
        <w:tc>
          <w:tcPr>
            <w:tcW w:w="2180" w:type="dxa"/>
            <w:vAlign w:val="bottom"/>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46,876</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3,198</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4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Gas Utilities’ Revision to Prior Estimates represents our legal liability for retirement of gas pipelines, specifically to purge and cap these lines in accordance with Federal regulations.</w:t>
      </w:r>
    </w:p>
    <w:p>
      <w:pPr>
        <w:ind w:left="340" w:right="420" w:hanging="332"/>
        <w:spacing w:after="0" w:line="257"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increase in the Mining Revision to Prior Estimates was primarily driven by higher costs associated with back-filling the pit with overburden removed during the mining process.</w:t>
      </w:r>
    </w:p>
    <w:p>
      <w:pPr>
        <w:spacing w:after="0" w:line="155"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identified legal retirement obligations related to plugging and abandonment of natural gas and oil wells. These obligations were classified as held for sale at December 31, 2017. See Note 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84" w:right="239" w:bottom="1440" w:gutter="0" w:footer="0" w:header="0"/>
        </w:sectPr>
      </w:pPr>
    </w:p>
    <w:bookmarkStart w:id="122" w:name="page123"/>
    <w:bookmarkEnd w:id="122"/>
    <w:p>
      <w:pPr>
        <w:spacing w:after="0"/>
        <w:tabs>
          <w:tab w:leader="none" w:pos="380" w:val="left"/>
        </w:tabs>
        <w:rPr>
          <w:sz w:val="20"/>
          <w:szCs w:val="20"/>
          <w:color w:val="auto"/>
        </w:rPr>
      </w:pPr>
      <w:r>
        <w:rPr>
          <w:rFonts w:ascii="Arial" w:cs="Arial" w:eastAsia="Arial" w:hAnsi="Arial"/>
          <w:sz w:val="18"/>
          <w:szCs w:val="18"/>
          <w:b w:val="1"/>
          <w:bCs w:val="1"/>
          <w:color w:val="auto"/>
        </w:rPr>
        <w:t>(9)</w:t>
        <w:tab/>
        <w:t>RISK MANAGEMENT ACTIVITIES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rate or supply. We are exposed to the following market risks, including, but not limited to:</w:t>
      </w:r>
    </w:p>
    <w:p>
      <w:pPr>
        <w:spacing w:after="0" w:line="170" w:lineRule="exact"/>
        <w:rPr>
          <w:sz w:val="20"/>
          <w:szCs w:val="20"/>
          <w:color w:val="auto"/>
        </w:rPr>
      </w:pPr>
    </w:p>
    <w:p>
      <w:pPr>
        <w:ind w:left="500" w:hanging="330"/>
        <w:spacing w:after="0" w:line="264"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Commodity price risk associated with our retail natural gas marketing activities and our fuel procurement for several of our gas-fired generation assets, which include market fluctuations due to unpredictable factors such as weather, market speculation, pipeline constraints, and other factors that may impact natural gas supply and demand;</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rate risk associated with our variable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credit exposure at December 31, 2018 was concentrated primarily among retail utility customers, investment grade companies, cooperative utilities and federal agencies. Our derivative and hedging activities included in the accompanying Consolidated Balance Sheets, Consolidated Statements of Income (Loss) and Consolidated Statements of Comprehensive Income (Loss) are detailed below and within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(Loss).</w:t>
      </w:r>
    </w:p>
    <w:p>
      <w:pPr>
        <w:spacing w:after="0" w:line="147"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January 2019 through December 2020. A portion of our over-the-counter swaps have been designated as cash flow hedges to mitigate the commodity price risk associated with deliveries under fixed price forward contracts to deliver gas to our Choice Gas Program customers. The effective portion of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796" w:right="279" w:bottom="1440" w:gutter="0" w:footer="0" w:header="0"/>
        </w:sectPr>
      </w:pPr>
    </w:p>
    <w:bookmarkStart w:id="123" w:name="page124"/>
    <w:bookmarkEnd w:id="123"/>
    <w:p>
      <w:pPr>
        <w:ind w:right="480"/>
        <w:spacing w:after="0" w:line="308" w:lineRule="auto"/>
        <w:rPr>
          <w:sz w:val="20"/>
          <w:szCs w:val="20"/>
          <w:color w:val="auto"/>
        </w:rPr>
      </w:pPr>
      <w:r>
        <w:rPr>
          <w:rFonts w:ascii="Arial" w:cs="Arial" w:eastAsia="Arial" w:hAnsi="Arial"/>
          <w:sz w:val="17"/>
          <w:szCs w:val="17"/>
          <w:color w:val="auto"/>
        </w:rPr>
        <w:t>gain or loss on these designated derivatives is reported in AOCI in the accompanying Consolidated Balance Sheets and the ineffective portion, if any, is reported in Fuel, purchased power and cost of natural gas sold. Effectiveness of our hedging position is evaluated at least quarterly.</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by our Utilities are comprised of both short and long positions. We had the following net long positions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20"/>
                <w:szCs w:val="20"/>
                <w:color w:val="auto"/>
              </w:rPr>
            </w:pPr>
          </w:p>
        </w:tc>
        <w:tc>
          <w:tcPr>
            <w:tcW w:w="3360" w:type="dxa"/>
            <w:vAlign w:val="bottom"/>
            <w:gridSpan w:val="2"/>
          </w:tcPr>
          <w:p>
            <w:pPr>
              <w:jc w:val="right"/>
              <w:ind w:right="890"/>
              <w:spacing w:after="0"/>
              <w:rPr>
                <w:sz w:val="20"/>
                <w:szCs w:val="20"/>
                <w:color w:val="auto"/>
              </w:rPr>
            </w:pPr>
            <w:r>
              <w:rPr>
                <w:rFonts w:ascii="Arial" w:cs="Arial" w:eastAsia="Arial" w:hAnsi="Arial"/>
                <w:sz w:val="18"/>
                <w:szCs w:val="18"/>
                <w:color w:val="auto"/>
              </w:rPr>
              <w:t>December 31, 2017</w:t>
            </w:r>
          </w:p>
        </w:tc>
      </w:tr>
      <w:tr>
        <w:trPr>
          <w:trHeight w:val="27"/>
        </w:trPr>
        <w:tc>
          <w:tcPr>
            <w:tcW w:w="45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color w:val="auto"/>
                <w:w w:val="94"/>
              </w:rPr>
              <w:t>Maximum Term</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Maximum Term</w:t>
            </w:r>
          </w:p>
        </w:tc>
      </w:tr>
      <w:tr>
        <w:trPr>
          <w:trHeight w:val="257"/>
        </w:trPr>
        <w:tc>
          <w:tcPr>
            <w:tcW w:w="4580" w:type="dxa"/>
            <w:vAlign w:val="bottom"/>
            <w:tcBorders>
              <w:bottom w:val="single" w:sz="8" w:color="CEFFE7"/>
            </w:tcBorders>
          </w:tcPr>
          <w:p>
            <w:pPr>
              <w:spacing w:after="0"/>
              <w:rPr>
                <w:sz w:val="22"/>
                <w:szCs w:val="22"/>
                <w:color w:val="auto"/>
              </w:rPr>
            </w:pP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400" w:type="dxa"/>
            <w:vAlign w:val="bottom"/>
            <w:tcBorders>
              <w:bottom w:val="single" w:sz="8" w:color="auto"/>
            </w:tcBorders>
          </w:tcPr>
          <w:p>
            <w:pPr>
              <w:jc w:val="center"/>
              <w:ind w:left="70"/>
              <w:spacing w:after="0" w:line="257" w:lineRule="exact"/>
              <w:rPr>
                <w:sz w:val="20"/>
                <w:szCs w:val="20"/>
                <w:color w:val="auto"/>
              </w:rPr>
            </w:pPr>
            <w:r>
              <w:rPr>
                <w:rFonts w:ascii="Arial" w:cs="Arial" w:eastAsia="Arial" w:hAnsi="Arial"/>
                <w:sz w:val="18"/>
                <w:szCs w:val="18"/>
                <w:color w:val="auto"/>
                <w:w w:val="87"/>
              </w:rPr>
              <w:t xml:space="preserve">(months) </w:t>
            </w:r>
            <w:r>
              <w:rPr>
                <w:rFonts w:ascii="Arial" w:cs="Arial" w:eastAsia="Arial" w:hAnsi="Arial"/>
                <w:sz w:val="25"/>
                <w:szCs w:val="25"/>
                <w:color w:val="auto"/>
                <w:w w:val="87"/>
                <w:vertAlign w:val="superscript"/>
              </w:rPr>
              <w:t>(a)</w:t>
            </w: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620" w:type="dxa"/>
            <w:vAlign w:val="bottom"/>
            <w:tcBorders>
              <w:bottom w:val="single" w:sz="8" w:color="auto"/>
            </w:tcBorders>
          </w:tcPr>
          <w:p>
            <w:pPr>
              <w:jc w:val="right"/>
              <w:ind w:right="350"/>
              <w:spacing w:after="0" w:line="257" w:lineRule="exact"/>
              <w:rPr>
                <w:sz w:val="20"/>
                <w:szCs w:val="20"/>
                <w:color w:val="auto"/>
              </w:rPr>
            </w:pPr>
            <w:r>
              <w:rPr>
                <w:rFonts w:ascii="Arial" w:cs="Arial" w:eastAsia="Arial" w:hAnsi="Arial"/>
                <w:sz w:val="18"/>
                <w:szCs w:val="18"/>
                <w:color w:val="auto"/>
              </w:rPr>
              <w:t xml:space="preserve">(months) </w:t>
            </w:r>
            <w:r>
              <w:rPr>
                <w:rFonts w:ascii="Arial" w:cs="Arial" w:eastAsia="Arial" w:hAnsi="Arial"/>
                <w:sz w:val="25"/>
                <w:szCs w:val="25"/>
                <w:color w:val="auto"/>
                <w:vertAlign w:val="superscript"/>
              </w:rPr>
              <w:t>(a)</w:t>
            </w:r>
          </w:p>
        </w:tc>
      </w:tr>
      <w:tr>
        <w:trPr>
          <w:trHeight w:val="24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futures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4,000,000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24</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8,330,000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Natural gas options purchased, net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4,320,000</w:t>
            </w: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3,540,000</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basis swaps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3,960,000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24</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8,060,000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Natural gas over-the-counter swaps, net </w:t>
            </w:r>
            <w:r>
              <w:rPr>
                <w:rFonts w:ascii="Arial" w:cs="Arial" w:eastAsia="Arial" w:hAnsi="Arial"/>
                <w:sz w:val="25"/>
                <w:szCs w:val="25"/>
                <w:color w:val="auto"/>
                <w:vertAlign w:val="superscript"/>
              </w:rPr>
              <w:t>(b)</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3,660,000</w:t>
            </w:r>
          </w:p>
        </w:tc>
        <w:tc>
          <w:tcPr>
            <w:tcW w:w="14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3,820,000</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Natural gas physical commitments, net </w:t>
            </w:r>
            <w:r>
              <w:rPr>
                <w:rFonts w:ascii="Arial" w:cs="Arial" w:eastAsia="Arial" w:hAnsi="Arial"/>
                <w:sz w:val="25"/>
                <w:szCs w:val="25"/>
                <w:color w:val="auto"/>
                <w:vertAlign w:val="superscript"/>
              </w:rPr>
              <w:t>(c)</w:t>
            </w:r>
          </w:p>
        </w:tc>
        <w:tc>
          <w:tcPr>
            <w:tcW w:w="18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18,325,852</w:t>
            </w:r>
          </w:p>
        </w:tc>
        <w:tc>
          <w:tcPr>
            <w:tcW w:w="1400" w:type="dxa"/>
            <w:vAlign w:val="bottom"/>
            <w:shd w:val="clear" w:color="auto" w:fill="CEFFE7"/>
          </w:tcPr>
          <w:p>
            <w:pPr>
              <w:spacing w:after="0"/>
              <w:rPr>
                <w:sz w:val="23"/>
                <w:szCs w:val="23"/>
                <w:color w:val="auto"/>
              </w:rPr>
            </w:pPr>
          </w:p>
        </w:tc>
        <w:tc>
          <w:tcPr>
            <w:tcW w:w="2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9"/>
              </w:rPr>
              <w:t>30</w:t>
            </w:r>
          </w:p>
        </w:tc>
        <w:tc>
          <w:tcPr>
            <w:tcW w:w="17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12,826,605</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w:t>
            </w: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__________</w:t>
            </w:r>
          </w:p>
        </w:tc>
        <w:tc>
          <w:tcPr>
            <w:tcW w:w="1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December 31, 2018, 1,542,000 MMBtus of natural gas over-the-counter swaps purchased were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Volumes exclude contracts that qualify for normal purchase, normal sales exception.</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December 31, 2018 prices, a $0.4 million gain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impact of cash flow hedges on our Consolidated Statements of Income (Loss) is presented below for the years ended December 31, 2018, 2017 and 2016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c>
          <w:tcPr>
            <w:tcW w:w="0" w:type="dxa"/>
            <w:vAlign w:val="bottom"/>
          </w:tcPr>
          <w:p>
            <w:pPr>
              <w:spacing w:after="0"/>
              <w:rPr>
                <w:sz w:val="1"/>
                <w:szCs w:val="1"/>
                <w:color w:val="auto"/>
              </w:rPr>
            </w:pP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EFFE7"/>
            </w:tcBorders>
            <w:gridSpan w:val="2"/>
            <w:shd w:val="clear" w:color="auto" w:fill="CEFFE7"/>
          </w:tcPr>
          <w:p>
            <w:pPr>
              <w:ind w:left="720"/>
              <w:spacing w:after="0"/>
              <w:rPr>
                <w:sz w:val="20"/>
                <w:szCs w:val="20"/>
                <w:color w:val="auto"/>
              </w:rPr>
            </w:pPr>
            <w:r>
              <w:rPr>
                <w:rFonts w:ascii="Arial" w:cs="Arial" w:eastAsia="Arial" w:hAnsi="Arial"/>
                <w:sz w:val="18"/>
                <w:szCs w:val="18"/>
                <w:color w:val="auto"/>
              </w:rPr>
              <w:t>(2,851) Interest expense</w:t>
            </w:r>
          </w:p>
        </w:tc>
        <w:tc>
          <w:tcPr>
            <w:tcW w:w="1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FE7"/>
            </w:tcBorders>
            <w:shd w:val="clear" w:color="auto" w:fill="CFFFE7"/>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Fuel, purchased power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Fuel, purchased power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cost of natural gas sold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and cost of natural gas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840"/>
              <w:spacing w:after="0"/>
              <w:rPr>
                <w:sz w:val="20"/>
                <w:szCs w:val="20"/>
                <w:color w:val="auto"/>
              </w:rPr>
            </w:pPr>
            <w:r>
              <w:rPr>
                <w:rFonts w:ascii="Arial" w:cs="Arial" w:eastAsia="Arial" w:hAnsi="Arial"/>
                <w:sz w:val="18"/>
                <w:szCs w:val="18"/>
                <w:color w:val="auto"/>
              </w:rPr>
              <w:t>(130) sold</w:t>
            </w:r>
          </w:p>
        </w:tc>
        <w:tc>
          <w:tcPr>
            <w:tcW w:w="180" w:type="dxa"/>
            <w:vAlign w:val="bottom"/>
          </w:tcPr>
          <w:p>
            <w:pPr>
              <w:spacing w:after="0"/>
              <w:rPr>
                <w:sz w:val="20"/>
                <w:szCs w:val="20"/>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impact from cash flow hedges</w:t>
            </w:r>
          </w:p>
        </w:tc>
        <w:tc>
          <w:tcPr>
            <w:tcW w:w="23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ind w:left="720"/>
              <w:spacing w:after="0"/>
              <w:rPr>
                <w:sz w:val="20"/>
                <w:szCs w:val="20"/>
                <w:color w:val="auto"/>
              </w:rPr>
            </w:pPr>
            <w:r>
              <w:rPr>
                <w:rFonts w:ascii="Arial" w:cs="Arial" w:eastAsia="Arial" w:hAnsi="Arial"/>
                <w:sz w:val="18"/>
                <w:szCs w:val="18"/>
                <w:color w:val="auto"/>
                <w:w w:val="94"/>
              </w:rPr>
              <w:t>(2,981)</w:t>
            </w:r>
          </w:p>
        </w:tc>
        <w:tc>
          <w:tcPr>
            <w:tcW w:w="17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EFFE7"/>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vMerge w:val="restart"/>
          </w:tcPr>
          <w:p>
            <w:pPr>
              <w:jc w:val="right"/>
              <w:ind w:right="830"/>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EFFE7"/>
            </w:tcBorders>
            <w:gridSpan w:val="2"/>
            <w:shd w:val="clear" w:color="auto" w:fill="CEFFE7"/>
          </w:tcPr>
          <w:p>
            <w:pPr>
              <w:ind w:left="720"/>
              <w:spacing w:after="0"/>
              <w:rPr>
                <w:sz w:val="20"/>
                <w:szCs w:val="20"/>
                <w:color w:val="auto"/>
              </w:rPr>
            </w:pPr>
            <w:r>
              <w:rPr>
                <w:rFonts w:ascii="Arial" w:cs="Arial" w:eastAsia="Arial" w:hAnsi="Arial"/>
                <w:sz w:val="18"/>
                <w:szCs w:val="18"/>
                <w:color w:val="auto"/>
              </w:rPr>
              <w:t>(2,941) Interest expense</w:t>
            </w:r>
          </w:p>
        </w:tc>
        <w:tc>
          <w:tcPr>
            <w:tcW w:w="1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Net (loss) from</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Net (loss) from discontinued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discontinued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7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Fuel, purchased power and</w:t>
            </w:r>
          </w:p>
        </w:tc>
        <w:tc>
          <w:tcPr>
            <w:tcW w:w="2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Fuel, purchased power</w:t>
            </w:r>
          </w:p>
        </w:tc>
        <w:tc>
          <w:tcPr>
            <w:tcW w:w="180" w:type="dxa"/>
            <w:vAlign w:val="bottom"/>
            <w:shd w:val="clear" w:color="auto" w:fill="CFFFE7"/>
          </w:tcPr>
          <w:p>
            <w:pPr>
              <w:spacing w:after="0"/>
              <w:rPr>
                <w:sz w:val="19"/>
                <w:szCs w:val="19"/>
                <w:color w:val="auto"/>
              </w:rPr>
            </w:pPr>
          </w:p>
        </w:tc>
        <w:tc>
          <w:tcPr>
            <w:tcW w:w="1300" w:type="dxa"/>
            <w:vAlign w:val="bottom"/>
            <w:shd w:val="clear" w:color="auto" w:fill="CFFFE7"/>
          </w:tcPr>
          <w:p>
            <w:pPr>
              <w:spacing w:after="0"/>
              <w:rPr>
                <w:sz w:val="19"/>
                <w:szCs w:val="19"/>
                <w:color w:val="auto"/>
              </w:rPr>
            </w:pPr>
          </w:p>
        </w:tc>
      </w:tr>
      <w:tr>
        <w:trPr>
          <w:trHeight w:val="216"/>
        </w:trPr>
        <w:tc>
          <w:tcPr>
            <w:tcW w:w="4460" w:type="dxa"/>
            <w:vAlign w:val="bottom"/>
            <w:shd w:val="clear" w:color="auto" w:fill="CEFFE7"/>
          </w:tcPr>
          <w:p>
            <w:pPr>
              <w:spacing w:after="0"/>
              <w:rPr>
                <w:sz w:val="18"/>
                <w:szCs w:val="18"/>
                <w:color w:val="auto"/>
              </w:rPr>
            </w:pP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cost of natural gas sold</w:t>
            </w:r>
          </w:p>
        </w:tc>
        <w:tc>
          <w:tcPr>
            <w:tcW w:w="20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and cost of natural gas</w:t>
            </w:r>
          </w:p>
        </w:tc>
        <w:tc>
          <w:tcPr>
            <w:tcW w:w="180" w:type="dxa"/>
            <w:vAlign w:val="bottom"/>
            <w:shd w:val="clear" w:color="auto" w:fill="CFFFE7"/>
          </w:tcPr>
          <w:p>
            <w:pPr>
              <w:spacing w:after="0"/>
              <w:rPr>
                <w:sz w:val="18"/>
                <w:szCs w:val="18"/>
                <w:color w:val="auto"/>
              </w:rPr>
            </w:pPr>
          </w:p>
        </w:tc>
        <w:tc>
          <w:tcPr>
            <w:tcW w:w="1300" w:type="dxa"/>
            <w:vAlign w:val="bottom"/>
            <w:shd w:val="clear" w:color="auto" w:fill="CFFFE7"/>
          </w:tcPr>
          <w:p>
            <w:pPr>
              <w:spacing w:after="0"/>
              <w:rPr>
                <w:sz w:val="18"/>
                <w:szCs w:val="18"/>
                <w:color w:val="auto"/>
              </w:rPr>
            </w:pPr>
          </w:p>
        </w:tc>
      </w:tr>
      <w:tr>
        <w:trPr>
          <w:trHeight w:val="257"/>
        </w:trPr>
        <w:tc>
          <w:tcPr>
            <w:tcW w:w="446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spacing w:after="0"/>
              <w:rPr>
                <w:sz w:val="22"/>
                <w:szCs w:val="22"/>
                <w:color w:val="auto"/>
              </w:rPr>
            </w:pPr>
          </w:p>
        </w:tc>
        <w:tc>
          <w:tcPr>
            <w:tcW w:w="2980" w:type="dxa"/>
            <w:vAlign w:val="bottom"/>
            <w:tcBorders>
              <w:bottom w:val="single" w:sz="8" w:color="CEFFE7"/>
            </w:tcBorders>
            <w:gridSpan w:val="2"/>
            <w:shd w:val="clear" w:color="auto" w:fill="CEFFE7"/>
          </w:tcPr>
          <w:p>
            <w:pPr>
              <w:ind w:left="840"/>
              <w:spacing w:after="0"/>
              <w:rPr>
                <w:sz w:val="20"/>
                <w:szCs w:val="20"/>
                <w:color w:val="auto"/>
              </w:rPr>
            </w:pPr>
            <w:r>
              <w:rPr>
                <w:rFonts w:ascii="Arial" w:cs="Arial" w:eastAsia="Arial" w:hAnsi="Arial"/>
                <w:sz w:val="18"/>
                <w:szCs w:val="18"/>
                <w:color w:val="auto"/>
              </w:rPr>
              <w:t>(243) sold</w:t>
            </w:r>
          </w:p>
        </w:tc>
        <w:tc>
          <w:tcPr>
            <w:tcW w:w="180" w:type="dxa"/>
            <w:vAlign w:val="bottom"/>
            <w:tcBorders>
              <w:bottom w:val="single" w:sz="8" w:color="CFFFE7"/>
            </w:tcBorders>
            <w:shd w:val="clear" w:color="auto" w:fill="CFFFE7"/>
          </w:tcPr>
          <w:p>
            <w:pPr>
              <w:spacing w:after="0"/>
              <w:rPr>
                <w:sz w:val="22"/>
                <w:szCs w:val="22"/>
                <w:color w:val="auto"/>
              </w:rPr>
            </w:pPr>
          </w:p>
        </w:tc>
        <w:tc>
          <w:tcPr>
            <w:tcW w:w="130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EFFE7"/>
            </w:tcBorders>
            <w:gridSpan w:val="2"/>
            <w:shd w:val="clear" w:color="auto" w:fill="CEFFE7"/>
          </w:tcPr>
          <w:p>
            <w:pPr>
              <w:ind w:left="720"/>
              <w:spacing w:after="0"/>
              <w:rPr>
                <w:sz w:val="20"/>
                <w:szCs w:val="20"/>
                <w:color w:val="auto"/>
              </w:rPr>
            </w:pPr>
            <w:r>
              <w:rPr>
                <w:rFonts w:ascii="Arial" w:cs="Arial" w:eastAsia="Arial" w:hAnsi="Arial"/>
                <w:sz w:val="18"/>
                <w:szCs w:val="18"/>
                <w:color w:val="auto"/>
              </w:rPr>
              <w:t>(3,899) Interest expense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(953)</w:t>
            </w: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Net (loss) from</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Net (loss) from discontinued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discontinued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11,019</w:t>
            </w:r>
          </w:p>
        </w:tc>
        <w:tc>
          <w:tcPr>
            <w:tcW w:w="17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Fuel, purchased power and</w:t>
            </w:r>
          </w:p>
        </w:tc>
        <w:tc>
          <w:tcPr>
            <w:tcW w:w="200" w:type="dxa"/>
            <w:vAlign w:val="bottom"/>
            <w:shd w:val="clear" w:color="auto" w:fill="CFFFE7"/>
          </w:tcPr>
          <w:p>
            <w:pPr>
              <w:spacing w:after="0"/>
              <w:rPr>
                <w:sz w:val="19"/>
                <w:szCs w:val="19"/>
                <w:color w:val="auto"/>
              </w:rPr>
            </w:pPr>
          </w:p>
        </w:tc>
        <w:tc>
          <w:tcPr>
            <w:tcW w:w="1280" w:type="dxa"/>
            <w:vAlign w:val="bottom"/>
            <w:shd w:val="clear" w:color="auto" w:fill="CFFFE7"/>
          </w:tcPr>
          <w:p>
            <w:pPr>
              <w:spacing w:after="0"/>
              <w:rPr>
                <w:sz w:val="19"/>
                <w:szCs w:val="19"/>
                <w:color w:val="auto"/>
              </w:rPr>
            </w:pP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Fuel, purchased power</w:t>
            </w:r>
          </w:p>
        </w:tc>
        <w:tc>
          <w:tcPr>
            <w:tcW w:w="180" w:type="dxa"/>
            <w:vAlign w:val="bottom"/>
            <w:shd w:val="clear" w:color="auto" w:fill="CFFFE7"/>
          </w:tcPr>
          <w:p>
            <w:pPr>
              <w:spacing w:after="0"/>
              <w:rPr>
                <w:sz w:val="19"/>
                <w:szCs w:val="19"/>
                <w:color w:val="auto"/>
              </w:rPr>
            </w:pPr>
          </w:p>
        </w:tc>
        <w:tc>
          <w:tcPr>
            <w:tcW w:w="1300" w:type="dxa"/>
            <w:vAlign w:val="bottom"/>
            <w:shd w:val="clear" w:color="auto" w:fill="CFFFE7"/>
          </w:tcPr>
          <w:p>
            <w:pPr>
              <w:spacing w:after="0"/>
              <w:rPr>
                <w:sz w:val="19"/>
                <w:szCs w:val="19"/>
                <w:color w:val="auto"/>
              </w:rPr>
            </w:pPr>
          </w:p>
        </w:tc>
      </w:tr>
      <w:tr>
        <w:trPr>
          <w:trHeight w:val="216"/>
        </w:trPr>
        <w:tc>
          <w:tcPr>
            <w:tcW w:w="4460" w:type="dxa"/>
            <w:vAlign w:val="bottom"/>
            <w:shd w:val="clear" w:color="auto" w:fill="CEFFE7"/>
          </w:tcPr>
          <w:p>
            <w:pPr>
              <w:spacing w:after="0"/>
              <w:rPr>
                <w:sz w:val="18"/>
                <w:szCs w:val="18"/>
                <w:color w:val="auto"/>
              </w:rPr>
            </w:pP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cost of natural gas sold</w:t>
            </w:r>
          </w:p>
        </w:tc>
        <w:tc>
          <w:tcPr>
            <w:tcW w:w="200" w:type="dxa"/>
            <w:vAlign w:val="bottom"/>
            <w:shd w:val="clear" w:color="auto" w:fill="CFFFE7"/>
          </w:tcPr>
          <w:p>
            <w:pPr>
              <w:spacing w:after="0"/>
              <w:rPr>
                <w:sz w:val="18"/>
                <w:szCs w:val="18"/>
                <w:color w:val="auto"/>
              </w:rPr>
            </w:pPr>
          </w:p>
        </w:tc>
        <w:tc>
          <w:tcPr>
            <w:tcW w:w="1280" w:type="dxa"/>
            <w:vAlign w:val="bottom"/>
            <w:shd w:val="clear" w:color="auto" w:fill="CFFFE7"/>
          </w:tcPr>
          <w:p>
            <w:pPr>
              <w:spacing w:after="0"/>
              <w:rPr>
                <w:sz w:val="18"/>
                <w:szCs w:val="18"/>
                <w:color w:val="auto"/>
              </w:rPr>
            </w:pP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and cost of natural gas</w:t>
            </w:r>
          </w:p>
        </w:tc>
        <w:tc>
          <w:tcPr>
            <w:tcW w:w="180" w:type="dxa"/>
            <w:vAlign w:val="bottom"/>
            <w:shd w:val="clear" w:color="auto" w:fill="CFFFE7"/>
          </w:tcPr>
          <w:p>
            <w:pPr>
              <w:spacing w:after="0"/>
              <w:rPr>
                <w:sz w:val="18"/>
                <w:szCs w:val="18"/>
                <w:color w:val="auto"/>
              </w:rPr>
            </w:pPr>
          </w:p>
        </w:tc>
        <w:tc>
          <w:tcPr>
            <w:tcW w:w="1300" w:type="dxa"/>
            <w:vAlign w:val="bottom"/>
            <w:shd w:val="clear" w:color="auto" w:fill="CFFFE7"/>
          </w:tcPr>
          <w:p>
            <w:pPr>
              <w:spacing w:after="0"/>
              <w:rPr>
                <w:sz w:val="18"/>
                <w:szCs w:val="18"/>
                <w:color w:val="auto"/>
              </w:rPr>
            </w:pPr>
          </w:p>
        </w:tc>
      </w:tr>
      <w:tr>
        <w:trPr>
          <w:trHeight w:val="257"/>
        </w:trPr>
        <w:tc>
          <w:tcPr>
            <w:tcW w:w="446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FFFE7"/>
            </w:tcBorders>
            <w:shd w:val="clear" w:color="auto" w:fill="CFFFE7"/>
          </w:tcPr>
          <w:p>
            <w:pPr>
              <w:spacing w:after="0"/>
              <w:rPr>
                <w:sz w:val="22"/>
                <w:szCs w:val="22"/>
                <w:color w:val="auto"/>
              </w:rPr>
            </w:pPr>
          </w:p>
        </w:tc>
        <w:tc>
          <w:tcPr>
            <w:tcW w:w="12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(14)</w:t>
            </w:r>
          </w:p>
        </w:tc>
        <w:tc>
          <w:tcPr>
            <w:tcW w:w="1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80" w:type="dxa"/>
            <w:vAlign w:val="bottom"/>
            <w:tcBorders>
              <w:bottom w:val="single" w:sz="8" w:color="CFFFE7"/>
            </w:tcBorders>
            <w:shd w:val="clear" w:color="auto" w:fill="CFFFE7"/>
          </w:tcPr>
          <w:p>
            <w:pPr>
              <w:spacing w:after="0"/>
              <w:rPr>
                <w:sz w:val="22"/>
                <w:szCs w:val="22"/>
                <w:color w:val="auto"/>
              </w:rPr>
            </w:pPr>
          </w:p>
        </w:tc>
        <w:tc>
          <w:tcPr>
            <w:tcW w:w="130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7,106</w:t>
            </w:r>
          </w:p>
        </w:tc>
        <w:tc>
          <w:tcPr>
            <w:tcW w:w="1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years ended December 31, 2018, 2017 and 2016. The amounts included in the table below exclude gains and losses arising from ineffectiveness because these amounts are immediately recognized in the Consolidated Statements of Net Income (Loss) as incurred.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2018</w:t>
            </w:r>
          </w:p>
        </w:tc>
        <w:tc>
          <w:tcPr>
            <w:tcW w:w="16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2016</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 (decrease) in fair value:</w:t>
            </w: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(31,222)</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180"/>
              <w:spacing w:after="0"/>
              <w:rPr>
                <w:sz w:val="20"/>
                <w:szCs w:val="20"/>
                <w:color w:val="auto"/>
              </w:rPr>
            </w:pPr>
            <w:r>
              <w:rPr>
                <w:rFonts w:ascii="Arial" w:cs="Arial" w:eastAsia="Arial" w:hAnsi="Arial"/>
                <w:sz w:val="18"/>
                <w:szCs w:val="18"/>
                <w:color w:val="auto"/>
              </w:rPr>
              <w:t>Forward commodity contracts</w:t>
            </w:r>
          </w:p>
        </w:tc>
        <w:tc>
          <w:tcPr>
            <w:tcW w:w="14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18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2,851</w:t>
            </w:r>
          </w:p>
        </w:tc>
        <w:tc>
          <w:tcPr>
            <w:tcW w:w="16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2,941</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3,899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(11,005)</w:t>
            </w:r>
          </w:p>
        </w:tc>
      </w:tr>
      <w:tr>
        <w:trPr>
          <w:trHeight w:val="27"/>
        </w:trPr>
        <w:tc>
          <w:tcPr>
            <w:tcW w:w="6280" w:type="dxa"/>
            <w:vAlign w:val="bottom"/>
            <w:tcBorders>
              <w:bottom w:val="single" w:sz="8" w:color="CF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3,964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(38,901)</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746"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(Loss) for the years ended December 31, 2018, 2017 and 2016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December 31, 2018</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December 31, 2016</w:t>
            </w:r>
          </w:p>
        </w:tc>
      </w:tr>
      <w:tr>
        <w:trPr>
          <w:trHeight w:val="27"/>
        </w:trPr>
        <w:tc>
          <w:tcPr>
            <w:tcW w:w="4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2"/>
        </w:trPr>
        <w:tc>
          <w:tcPr>
            <w:tcW w:w="40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Location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w w:val="92"/>
              </w:rPr>
              <w:t>Derivatives Not Designated as Hedging Instruments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shd w:val="clear" w:color="auto" w:fill="CEFFE7"/>
          </w:tcPr>
          <w:p>
            <w:pPr>
              <w:spacing w:after="0"/>
              <w:rPr>
                <w:sz w:val="19"/>
                <w:szCs w:val="19"/>
                <w:color w:val="auto"/>
              </w:rPr>
            </w:pPr>
          </w:p>
        </w:tc>
        <w:tc>
          <w:tcPr>
            <w:tcW w:w="3020" w:type="dxa"/>
            <w:vAlign w:val="bottom"/>
            <w:shd w:val="clear" w:color="auto" w:fill="CEFFE7"/>
          </w:tcPr>
          <w:p>
            <w:pPr>
              <w:ind w:left="1220"/>
              <w:spacing w:after="0"/>
              <w:rPr>
                <w:sz w:val="20"/>
                <w:szCs w:val="20"/>
                <w:color w:val="auto"/>
              </w:rPr>
            </w:pPr>
            <w:r>
              <w:rPr>
                <w:rFonts w:ascii="Arial" w:cs="Arial" w:eastAsia="Arial" w:hAnsi="Arial"/>
                <w:sz w:val="18"/>
                <w:szCs w:val="18"/>
                <w:color w:val="auto"/>
              </w:rPr>
              <w:t>Net (loss) from</w:t>
            </w:r>
          </w:p>
        </w:tc>
      </w:tr>
      <w:tr>
        <w:trPr>
          <w:trHeight w:val="237"/>
        </w:trPr>
        <w:tc>
          <w:tcPr>
            <w:tcW w:w="29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3020" w:type="dxa"/>
            <w:vAlign w:val="bottom"/>
            <w:tcBorders>
              <w:bottom w:val="single" w:sz="8" w:color="CEFFE7"/>
            </w:tcBorders>
            <w:shd w:val="clear" w:color="auto" w:fill="CEFFE7"/>
          </w:tcPr>
          <w:p>
            <w:pPr>
              <w:ind w:left="1220"/>
              <w:spacing w:after="0"/>
              <w:rPr>
                <w:sz w:val="20"/>
                <w:szCs w:val="20"/>
                <w:color w:val="auto"/>
              </w:rPr>
            </w:pPr>
            <w:r>
              <w:rPr>
                <w:rFonts w:ascii="Arial" w:cs="Arial" w:eastAsia="Arial" w:hAnsi="Arial"/>
                <w:sz w:val="18"/>
                <w:szCs w:val="18"/>
                <w:color w:val="auto"/>
                <w:w w:val="93"/>
              </w:rPr>
              <w:t>discontinued operations</w:t>
            </w:r>
          </w:p>
        </w:tc>
      </w:tr>
      <w:tr>
        <w:trPr>
          <w:trHeight w:val="229"/>
        </w:trPr>
        <w:tc>
          <w:tcPr>
            <w:tcW w:w="2940" w:type="dxa"/>
            <w:vAlign w:val="bottom"/>
          </w:tcPr>
          <w:p>
            <w:pPr>
              <w:spacing w:after="0"/>
              <w:rPr>
                <w:sz w:val="19"/>
                <w:szCs w:val="19"/>
                <w:color w:val="auto"/>
              </w:rPr>
            </w:pPr>
          </w:p>
        </w:tc>
        <w:tc>
          <w:tcPr>
            <w:tcW w:w="3020" w:type="dxa"/>
            <w:vAlign w:val="bottom"/>
          </w:tcPr>
          <w:p>
            <w:pPr>
              <w:ind w:left="1220"/>
              <w:spacing w:after="0"/>
              <w:rPr>
                <w:sz w:val="20"/>
                <w:szCs w:val="20"/>
                <w:color w:val="auto"/>
              </w:rPr>
            </w:pPr>
            <w:r>
              <w:rPr>
                <w:rFonts w:ascii="Arial" w:cs="Arial" w:eastAsia="Arial" w:hAnsi="Arial"/>
                <w:sz w:val="18"/>
                <w:szCs w:val="18"/>
                <w:color w:val="auto"/>
                <w:w w:val="97"/>
              </w:rPr>
              <w:t>Fuel, purchased power</w:t>
            </w:r>
          </w:p>
        </w:tc>
      </w:tr>
      <w:tr>
        <w:trPr>
          <w:trHeight w:val="216"/>
        </w:trPr>
        <w:tc>
          <w:tcPr>
            <w:tcW w:w="2940" w:type="dxa"/>
            <w:vAlign w:val="bottom"/>
          </w:tcPr>
          <w:p>
            <w:pPr>
              <w:spacing w:after="0"/>
              <w:rPr>
                <w:sz w:val="18"/>
                <w:szCs w:val="18"/>
                <w:color w:val="auto"/>
              </w:rPr>
            </w:pPr>
          </w:p>
        </w:tc>
        <w:tc>
          <w:tcPr>
            <w:tcW w:w="3020" w:type="dxa"/>
            <w:vAlign w:val="bottom"/>
          </w:tcPr>
          <w:p>
            <w:pPr>
              <w:ind w:left="1220"/>
              <w:spacing w:after="0"/>
              <w:rPr>
                <w:sz w:val="20"/>
                <w:szCs w:val="20"/>
                <w:color w:val="auto"/>
              </w:rPr>
            </w:pPr>
            <w:r>
              <w:rPr>
                <w:rFonts w:ascii="Arial" w:cs="Arial" w:eastAsia="Arial" w:hAnsi="Arial"/>
                <w:sz w:val="18"/>
                <w:szCs w:val="18"/>
                <w:color w:val="auto"/>
                <w:w w:val="97"/>
              </w:rPr>
              <w:t>and cost of natural gas</w:t>
            </w:r>
          </w:p>
        </w:tc>
      </w:tr>
      <w:tr>
        <w:trPr>
          <w:trHeight w:val="230"/>
        </w:trPr>
        <w:tc>
          <w:tcPr>
            <w:tcW w:w="29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020" w:type="dxa"/>
            <w:vAlign w:val="bottom"/>
          </w:tcPr>
          <w:p>
            <w:pPr>
              <w:ind w:left="1220"/>
              <w:spacing w:after="0"/>
              <w:rPr>
                <w:sz w:val="20"/>
                <w:szCs w:val="20"/>
                <w:color w:val="auto"/>
              </w:rPr>
            </w:pPr>
            <w:r>
              <w:rPr>
                <w:rFonts w:ascii="Arial" w:cs="Arial" w:eastAsia="Arial" w:hAnsi="Arial"/>
                <w:sz w:val="18"/>
                <w:szCs w:val="18"/>
                <w:color w:val="auto"/>
              </w:rPr>
              <w:t>sold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6"/>
        </w:trPr>
        <w:tc>
          <w:tcPr>
            <w:tcW w:w="700" w:type="dxa"/>
            <w:vAlign w:val="bottom"/>
            <w:tcBorders>
              <w:bottom w:val="single" w:sz="8" w:color="CFFFE7"/>
            </w:tcBorders>
            <w:shd w:val="clear" w:color="auto" w:fill="CFFFE7"/>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FE7"/>
            </w:tcBorders>
            <w:shd w:val="clear" w:color="auto" w:fill="CFFFE7"/>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FE7"/>
            </w:tcBorders>
            <w:shd w:val="clear" w:color="auto" w:fill="CFFFE7"/>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(50)</w:t>
            </w:r>
          </w:p>
        </w:tc>
      </w:tr>
      <w:tr>
        <w:trPr>
          <w:trHeight w:val="675"/>
        </w:trPr>
        <w:tc>
          <w:tcPr>
            <w:tcW w:w="7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w:t>
            </w:r>
          </w:p>
        </w:tc>
        <w:tc>
          <w:tcPr>
            <w:tcW w:w="8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940</w:t>
            </w:r>
          </w:p>
        </w:tc>
      </w:tr>
      <w:tr>
        <w:trPr>
          <w:trHeight w:val="27"/>
        </w:trPr>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(2,207)</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960" w:space="0"/>
            <w:col w:w="5460"/>
          </w:cols>
          <w:pgMar w:left="240" w:top="584" w:right="239" w:bottom="1440" w:gutter="0" w:footer="0" w:header="0"/>
          <w:type w:val="continuous"/>
        </w:sect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$6.2 million and $12 million at December 31, 2018 and 2017, respectively.</w:t>
      </w:r>
    </w:p>
    <w:p>
      <w:pPr>
        <w:spacing w:after="0" w:line="3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tab/>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have been no significant transfers between Level 1 and Level 2 derivative balances during 2018 or 2017.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discussion of fair value of financial instruments is included in Note 11. Oil and gas derivative instruments are included in assets and liabilities held for sale discussed in Note 21. The following tables set forth, by level within the fair value hierarchy, our gross assets and gross liabilities and related offsetting as permitted by GAAP that were accounted for at fair value on a recurring basis for derivative instruments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3"/>
          </w:tcPr>
          <w:p>
            <w:pPr>
              <w:jc w:val="right"/>
              <w:ind w:right="1119"/>
              <w:spacing w:after="0"/>
              <w:rPr>
                <w:sz w:val="20"/>
                <w:szCs w:val="20"/>
                <w:color w:val="auto"/>
              </w:rPr>
            </w:pPr>
            <w:r>
              <w:rPr>
                <w:rFonts w:ascii="Arial" w:cs="Arial" w:eastAsia="Arial" w:hAnsi="Arial"/>
                <w:sz w:val="16"/>
                <w:szCs w:val="16"/>
                <w:color w:val="auto"/>
                <w:w w:val="99"/>
              </w:rPr>
              <w:t>As of December 31, 2018</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Cash Collateral and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Arial" w:cs="Arial" w:eastAsia="Arial" w:hAnsi="Arial"/>
                <w:sz w:val="16"/>
                <w:szCs w:val="16"/>
                <w:color w:val="auto"/>
              </w:rPr>
              <w:t>Level 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Counterparty Netting</w:t>
            </w:r>
          </w:p>
        </w:tc>
        <w:tc>
          <w:tcPr>
            <w:tcW w:w="36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2,927</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2,927</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311"/>
        </w:trPr>
        <w:tc>
          <w:tcPr>
            <w:tcW w:w="436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6,801</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6,801</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84" w:right="2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3"/>
          </w:tcPr>
          <w:p>
            <w:pPr>
              <w:jc w:val="right"/>
              <w:ind w:right="1137"/>
              <w:spacing w:after="0"/>
              <w:rPr>
                <w:sz w:val="20"/>
                <w:szCs w:val="20"/>
                <w:color w:val="auto"/>
              </w:rPr>
            </w:pPr>
            <w:r>
              <w:rPr>
                <w:rFonts w:ascii="Arial" w:cs="Arial" w:eastAsia="Arial" w:hAnsi="Arial"/>
                <w:sz w:val="16"/>
                <w:szCs w:val="16"/>
                <w:color w:val="auto"/>
                <w:w w:val="99"/>
              </w:rPr>
              <w:t>As of December 31, 2017</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77"/>
              <w:spacing w:after="0"/>
              <w:rPr>
                <w:sz w:val="20"/>
                <w:szCs w:val="20"/>
                <w:color w:val="auto"/>
              </w:rPr>
            </w:pPr>
            <w:r>
              <w:rPr>
                <w:rFonts w:ascii="Arial" w:cs="Arial" w:eastAsia="Arial" w:hAnsi="Arial"/>
                <w:sz w:val="16"/>
                <w:szCs w:val="16"/>
                <w:color w:val="auto"/>
                <w:w w:val="91"/>
              </w:rPr>
              <w:t>Cash Collateral and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40" w:type="dxa"/>
            <w:vAlign w:val="bottom"/>
          </w:tcPr>
          <w:p>
            <w:pPr>
              <w:ind w:left="180"/>
              <w:spacing w:after="0"/>
              <w:rPr>
                <w:sz w:val="20"/>
                <w:szCs w:val="20"/>
                <w:color w:val="auto"/>
              </w:rPr>
            </w:pPr>
            <w:r>
              <w:rPr>
                <w:rFonts w:ascii="Arial" w:cs="Arial" w:eastAsia="Arial" w:hAnsi="Arial"/>
                <w:sz w:val="16"/>
                <w:szCs w:val="16"/>
                <w:color w:val="auto"/>
              </w:rPr>
              <w:t>Level 3</w:t>
            </w:r>
          </w:p>
        </w:tc>
        <w:tc>
          <w:tcPr>
            <w:tcW w:w="1800" w:type="dxa"/>
            <w:vAlign w:val="bottom"/>
            <w:gridSpan w:val="2"/>
          </w:tcPr>
          <w:p>
            <w:pPr>
              <w:jc w:val="right"/>
              <w:ind w:right="17"/>
              <w:spacing w:after="0"/>
              <w:rPr>
                <w:sz w:val="20"/>
                <w:szCs w:val="20"/>
                <w:color w:val="auto"/>
              </w:rPr>
            </w:pPr>
            <w:r>
              <w:rPr>
                <w:rFonts w:ascii="Arial" w:cs="Arial" w:eastAsia="Arial" w:hAnsi="Arial"/>
                <w:sz w:val="16"/>
                <w:szCs w:val="16"/>
                <w:color w:val="auto"/>
              </w:rPr>
              <w:t>Counterparty Netting</w:t>
            </w: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11"/>
        </w:trPr>
        <w:tc>
          <w:tcPr>
            <w:tcW w:w="436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13,756</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3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13,756</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Measures by Balance Sheet Classification</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as of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EFFE7"/>
            </w:tcBorders>
            <w:shd w:val="clear" w:color="auto" w:fill="CEFFE7"/>
          </w:tcPr>
          <w:p>
            <w:pPr>
              <w:spacing w:after="0"/>
              <w:rPr>
                <w:sz w:val="23"/>
                <w:szCs w:val="23"/>
                <w:color w:val="auto"/>
              </w:rPr>
            </w:pPr>
          </w:p>
        </w:tc>
        <w:tc>
          <w:tcPr>
            <w:tcW w:w="4400" w:type="dxa"/>
            <w:vAlign w:val="bottom"/>
            <w:tcBorders>
              <w:bottom w:val="single" w:sz="8" w:color="CEFFE7"/>
            </w:tcBorders>
            <w:shd w:val="clear" w:color="auto" w:fill="CEFFE7"/>
          </w:tcPr>
          <w:p>
            <w:pPr>
              <w:ind w:left="1600"/>
              <w:spacing w:after="0"/>
              <w:rPr>
                <w:sz w:val="20"/>
                <w:szCs w:val="20"/>
                <w:color w:val="auto"/>
              </w:rPr>
            </w:pPr>
            <w:r>
              <w:rPr>
                <w:rFonts w:ascii="Arial" w:cs="Arial" w:eastAsia="Arial" w:hAnsi="Arial"/>
                <w:sz w:val="18"/>
                <w:szCs w:val="18"/>
                <w:color w:val="auto"/>
              </w:rPr>
              <w:t>Balance Sheet Location</w:t>
            </w: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570"/>
              <w:spacing w:after="0"/>
              <w:rPr>
                <w:sz w:val="20"/>
                <w:szCs w:val="20"/>
                <w:color w:val="auto"/>
              </w:rPr>
            </w:pPr>
            <w:r>
              <w:rPr>
                <w:rFonts w:ascii="Arial" w:cs="Arial" w:eastAsia="Arial" w:hAnsi="Arial"/>
                <w:sz w:val="18"/>
                <w:szCs w:val="18"/>
                <w:color w:val="auto"/>
              </w:rPr>
              <w:t>2018</w:t>
            </w:r>
          </w:p>
        </w:tc>
        <w:tc>
          <w:tcPr>
            <w:tcW w:w="62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44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Asset derivative instruments: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Derivative assets - current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Other assets, non-current</w:t>
            </w: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Liability derivative instruments:</w:t>
            </w:r>
          </w:p>
        </w:tc>
        <w:tc>
          <w:tcPr>
            <w:tcW w:w="4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Derivative liabilities - current</w:t>
            </w: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w:t>
            </w: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Other deferred credits and other liabilities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EFFE7"/>
            </w:tcBorders>
          </w:tcPr>
          <w:p>
            <w:pPr>
              <w:spacing w:after="0"/>
              <w:rPr>
                <w:sz w:val="2"/>
                <w:szCs w:val="2"/>
                <w:color w:val="auto"/>
              </w:rPr>
            </w:pPr>
          </w:p>
        </w:tc>
        <w:tc>
          <w:tcPr>
            <w:tcW w:w="440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derivatives designated as hedges</w:t>
            </w:r>
          </w:p>
        </w:tc>
        <w:tc>
          <w:tcPr>
            <w:tcW w:w="440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62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Not designated as hedges: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Asset derivative instruments:</w:t>
            </w:r>
          </w:p>
        </w:tc>
        <w:tc>
          <w:tcPr>
            <w:tcW w:w="4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Derivative assets - current</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1,085</w:t>
            </w:r>
          </w:p>
        </w:tc>
        <w:tc>
          <w:tcPr>
            <w:tcW w:w="6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Other assets, non-current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Liability derivative instruments: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Derivative liabilities - current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(833)</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Other deferred credits and other liabilities</w:t>
            </w: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w:t>
            </w:r>
          </w:p>
        </w:tc>
        <w:tc>
          <w:tcPr>
            <w:tcW w:w="62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44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0" w:type="dxa"/>
            <w:vAlign w:val="bottom"/>
            <w:vMerge w:val="restart"/>
          </w:tcPr>
          <w:p>
            <w:pPr>
              <w:ind w:left="1960"/>
              <w:spacing w:after="0"/>
              <w:rPr>
                <w:sz w:val="20"/>
                <w:szCs w:val="20"/>
                <w:color w:val="auto"/>
              </w:rPr>
            </w:pPr>
            <w:r>
              <w:rPr>
                <w:rFonts w:ascii="Arial" w:cs="Arial" w:eastAsia="Arial" w:hAnsi="Arial"/>
                <w:sz w:val="18"/>
                <w:szCs w:val="18"/>
                <w:color w:val="auto"/>
              </w:rPr>
              <w:t>127</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auto"/>
        </w:rPr>
        <w:t>Derivatives Offsetting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our policy to offset in our Consolidated Balance Sheets contracts which provide for legally enforceable netting of our accounts receivable and payable and derivative activities.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reconcile the gross amounts to the net amounts. Amounts included in Gross Amounts Offset on Consolidated Balance Sheets in the following tables include the netting of asset and liability positions permitted in accordance with accounting standards for offsetting as well as the impact of legally enforceable master netting agreements that allow us to settle positive and negative positions as well as cash collateral posted with the same counterparties. Additionally, the amounts reflect cash collateral on deposit in margin accounts at December 31, 2018 and 2017, to collateralize certain financial instruments, which are included in Derivative assets and/or Derivative liabilities. Therefore, the gross amounts are not indicative of either our actual credit exposure or net economic exposure.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at December 31, 2018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8"/>
              </w:rPr>
              <w:t>Commodity derivative assets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4"/>
              </w:rPr>
              <w:t>Commodity derivative assets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1,519</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2,927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1,519</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6"/>
              </w:rPr>
              <w:t>Commodity derivative liabilities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2"/>
              </w:rPr>
              <w:t>Commodity derivative liabilities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6,801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1,007</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as of December 31, 2017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8"/>
              </w:rPr>
              <w:t>Commodity derivative assets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4"/>
              </w:rPr>
              <w:t>Commodity derivative assets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1,586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304</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6"/>
              </w:rPr>
              <w:t>Commodity derivative liabilities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2"/>
              </w:rPr>
              <w:t>Commodity derivative liabilities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2,259</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13,756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2,259</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84" w:right="239" w:bottom="1440" w:gutter="0" w:footer="0" w:header="0"/>
        </w:sectPr>
      </w:pPr>
    </w:p>
    <w:bookmarkStart w:id="128" w:name="page129"/>
    <w:bookmarkEnd w:id="128"/>
    <w:p>
      <w:pPr>
        <w:spacing w:after="0"/>
        <w:tabs>
          <w:tab w:leader="none" w:pos="460" w:val="left"/>
        </w:tabs>
        <w:rPr>
          <w:sz w:val="20"/>
          <w:szCs w:val="20"/>
          <w:color w:val="auto"/>
        </w:rPr>
      </w:pPr>
      <w:r>
        <w:rPr>
          <w:rFonts w:ascii="Arial" w:cs="Arial" w:eastAsia="Arial" w:hAnsi="Arial"/>
          <w:sz w:val="18"/>
          <w:szCs w:val="18"/>
          <w:b w:val="1"/>
          <w:bCs w:val="1"/>
          <w:color w:val="auto"/>
        </w:rPr>
        <w:t>(11)</w:t>
        <w:tab/>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excluding derivatives which are presented in Note 10, were as follows at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2018</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2017</w:t>
            </w:r>
          </w:p>
        </w:tc>
        <w:tc>
          <w:tcPr>
            <w:tcW w:w="13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w w:val="96"/>
              </w:rPr>
              <w:t>Carrying Amount</w:t>
            </w:r>
          </w:p>
        </w:tc>
        <w:tc>
          <w:tcPr>
            <w:tcW w:w="36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w w:val="96"/>
              </w:rPr>
              <w:t>Carrying Amount</w:t>
            </w:r>
          </w:p>
        </w:tc>
        <w:tc>
          <w:tcPr>
            <w:tcW w:w="3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Fair Value</w:t>
            </w:r>
          </w:p>
        </w:tc>
      </w:tr>
      <w:tr>
        <w:trPr>
          <w:trHeight w:val="27"/>
        </w:trPr>
        <w:tc>
          <w:tcPr>
            <w:tcW w:w="45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20,776</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20,776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15,420</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2,820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2,820</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211,300</w:t>
            </w:r>
          </w:p>
        </w:tc>
      </w:tr>
      <w:tr>
        <w:trPr>
          <w:trHeight w:val="256"/>
        </w:trPr>
        <w:tc>
          <w:tcPr>
            <w:tcW w:w="45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25"/>
                <w:szCs w:val="25"/>
                <w:color w:val="auto"/>
                <w:vertAlign w:val="superscript"/>
              </w:rPr>
              <w:t>(c) (d)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2,956,578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3,039,108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3,115,143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3,350,544</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Carrying value approximates fair value. Cash, cash equivalents, and restricted cash are classified in Level 1 in the fair value hierarchy.</w:t>
      </w:r>
    </w:p>
    <w:p>
      <w:pPr>
        <w:spacing w:after="0" w:line="9" w:lineRule="exact"/>
        <w:rPr>
          <w:rFonts w:ascii="Arial" w:cs="Arial" w:eastAsia="Arial" w:hAnsi="Arial"/>
          <w:sz w:val="16"/>
          <w:szCs w:val="16"/>
          <w:color w:val="auto"/>
        </w:rPr>
      </w:pPr>
    </w:p>
    <w:p>
      <w:pPr>
        <w:ind w:left="340" w:right="240" w:hanging="332"/>
        <w:spacing w:after="0" w:line="246"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cash and cash equivalents is cash, money market mutual funds, and term deposits. As part of our cash management process, excess operating cash is invested in money market mutual funds with our bank. Money market mutual funds are not deposits and are not insured by the U.S. Government, the FDIC, or any other government agency and involve investment risk including possible loss of principal. We believe however, that the market risk arising from holding these financial instruments is minimal.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and cash equivalents represent restricted cash and uninsured term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notes payable and long-term debt, see Note 6 and Note 7.</w:t>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tab/>
        <w:t>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Units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November 23, 2015, we issued 5.98 million Equity Units for total gross proceeds of $299 million. Each Equity Unit had a stated amount of $50.00 and consisted of (i) a forward purchase contract to purchase the Company’s common stock and (ii) a 1/20, or 5%, undivided beneficial ownership interest in $1,000 principal amount of RSNs due 2028.</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29, 2018, we announced the settlement rate for the stock purchase contracts that are components of the Equity Units issued on November 23, 2015. The settlement rate was based upon the minimum settlement rate, as adjusted to account for past dividends, because the average of the closing price per share of Black Hills Corporation common stock on the New York Stock Exchange for the 20 consecutive trading days ending on October 29, 2018 exceeded the threshold appreciation price. Each holder of the Equity Units on that date, following payment of $50.00 for each unit which it holds, received 1.0655 shares of Black Hills Corporation common stock for each such unit. The holders' obligations to make such payments were satisfied with proceeds generated by the successful remarketing on August 17, 2018, of the RSNs that formerly constituted a component of the Equity Units. See Note 6 for additional information.</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Upon settlement of all outstanding stock purchase obligations, the Company received gross proceeds of approximately $299 million in exchange for approximately 6.372 million shares of common stock. Proceeds were used to pay down the $250 million senior unsecured notes due January 11, 2019, with the balance used to pay down short-term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36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August 4, 2017, we renewed the ATM equity offering program, which reset the size of the program to an aggregate value of up to $300 million. The renewed program, which allows us to sell shares of our common stock, is the same as the prior year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under the ATM equity offering program during the twelve months ended December 31, 2018 and 2017. During the twelve months ended December 31, 2016, we issued an aggregate of 1,968,738 shares of common stock under the ATM equity offering program for $119 million, net of $1.2 million in commissions.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2015 Omnibus Incentive Plan allows for the granting of stock, restricted stock, restricted stock units, stock options and performance shares. We had 800,180 shares available to grant at December 31, 2018.</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Compensation expense is determined using the grant date fair value estimated in accordance with the provisions of accounting standards for stock compensation and is recognized over the vesting periods of the individual awards. As of December 31, 2018, total unrecognized compensation expense related to non-vested stock awards was approximately $12 million and is expected to be recognized over a weighted-average period of 1.9 years. Stock-based compensation expense included in Operations and maintenance on the accompanying Consolidated Statements of Income (Loss) was as follows for the years ended December 31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12,390</w:t>
            </w:r>
          </w:p>
        </w:tc>
        <w:tc>
          <w:tcPr>
            <w:tcW w:w="4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7,626</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10,885</w:t>
            </w:r>
          </w:p>
        </w:tc>
      </w:tr>
      <w:tr>
        <w:trPr>
          <w:trHeight w:val="27"/>
        </w:trPr>
        <w:tc>
          <w:tcPr>
            <w:tcW w:w="66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18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has not issued any stock options since 2014 and has 68,749 stock options outstanding at December 31, 2018. The amount of stock options granted during the last three years, and related exercise activity are not material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and restricted stock unit awards equals the market price of our stock on the date of grant.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shares carry a restriction on the ability to sell the shares until the shares vest. The shares substantially vest over 3 years, contingent on continued employment. Compensation expense related to the awards is recognized over the vesting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restricted stock and restricted stock units at December 31, 2018,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w w:val="90"/>
              </w:rPr>
              <w:t>Weighted-Average Grant Date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20"/>
                <w:szCs w:val="20"/>
                <w:color w:val="auto"/>
              </w:rPr>
            </w:pP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beginning of period</w:t>
            </w:r>
          </w:p>
        </w:tc>
        <w:tc>
          <w:tcPr>
            <w:tcW w:w="49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980" w:type="dxa"/>
            <w:vAlign w:val="bottom"/>
            <w:gridSpan w:val="2"/>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Vested</w:t>
            </w:r>
          </w:p>
        </w:tc>
        <w:tc>
          <w:tcPr>
            <w:tcW w:w="49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EFFE7"/>
            </w:tcBorders>
            <w:shd w:val="clear" w:color="auto" w:fill="CEFFE7"/>
          </w:tcPr>
          <w:p>
            <w:pPr>
              <w:spacing w:after="0"/>
              <w:rPr>
                <w:sz w:val="21"/>
                <w:szCs w:val="21"/>
                <w:color w:val="auto"/>
              </w:rPr>
            </w:pP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EFFE7"/>
          </w:tcPr>
          <w:p>
            <w:pPr>
              <w:ind w:left="40"/>
              <w:spacing w:after="0"/>
              <w:rPr>
                <w:sz w:val="20"/>
                <w:szCs w:val="20"/>
                <w:color w:val="auto"/>
              </w:rPr>
            </w:pPr>
            <w:r>
              <w:rPr>
                <w:rFonts w:ascii="Arial" w:cs="Arial" w:eastAsia="Arial" w:hAnsi="Arial"/>
                <w:sz w:val="18"/>
                <w:szCs w:val="18"/>
                <w:color w:val="auto"/>
              </w:rPr>
              <w:t>Balance at end of period</w:t>
            </w:r>
          </w:p>
        </w:tc>
        <w:tc>
          <w:tcPr>
            <w:tcW w:w="4980" w:type="dxa"/>
            <w:vAlign w:val="bottom"/>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0"/>
        </w:trPr>
        <w:tc>
          <w:tcPr>
            <w:tcW w:w="3920" w:type="dxa"/>
            <w:vAlign w:val="bottom"/>
            <w:tcBorders>
              <w:top w:val="single" w:sz="8" w:color="CEFFE7"/>
            </w:tcBorders>
          </w:tcPr>
          <w:p>
            <w:pPr>
              <w:spacing w:after="0" w:line="20" w:lineRule="exact"/>
              <w:rPr>
                <w:sz w:val="1"/>
                <w:szCs w:val="1"/>
                <w:color w:val="auto"/>
              </w:rPr>
            </w:pPr>
          </w:p>
        </w:tc>
        <w:tc>
          <w:tcPr>
            <w:tcW w:w="2940" w:type="dxa"/>
            <w:vAlign w:val="bottom"/>
            <w:tcBorders>
              <w:top w:val="single" w:sz="8" w:color="CEFFE7"/>
              <w:bottom w:val="single" w:sz="8" w:color="CEFFE7"/>
            </w:tcBorders>
            <w:vMerge w:val="restart"/>
          </w:tcPr>
          <w:p>
            <w:pPr>
              <w:jc w:val="right"/>
              <w:ind w:right="930"/>
              <w:spacing w:after="0"/>
              <w:rPr>
                <w:sz w:val="20"/>
                <w:szCs w:val="20"/>
                <w:color w:val="auto"/>
              </w:rPr>
            </w:pPr>
            <w:r>
              <w:rPr>
                <w:rFonts w:ascii="Arial" w:cs="Arial" w:eastAsia="Arial" w:hAnsi="Arial"/>
                <w:sz w:val="18"/>
                <w:szCs w:val="18"/>
                <w:color w:val="auto"/>
              </w:rPr>
              <w:t>130</w:t>
            </w: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130" w:name="page131"/>
    <w:bookmarkEnd w:id="130"/>
    <w:p>
      <w:pPr>
        <w:ind w:right="280"/>
        <w:spacing w:after="0" w:line="277" w:lineRule="auto"/>
        <w:rPr>
          <w:sz w:val="20"/>
          <w:szCs w:val="20"/>
          <w:color w:val="auto"/>
        </w:rPr>
      </w:pPr>
      <w:r>
        <w:rPr>
          <w:rFonts w:ascii="Arial" w:cs="Arial" w:eastAsia="Arial" w:hAnsi="Arial"/>
          <w:sz w:val="18"/>
          <w:szCs w:val="18"/>
          <w:color w:val="auto"/>
        </w:rPr>
        <w:t>The weighted-average grant-date fair value of restricted stock granted and the total fair value of shares vested during the years ended December 31,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w w:val="90"/>
              </w:rPr>
              <w:t>Weighted-Average Grant Date</w:t>
            </w:r>
          </w:p>
        </w:tc>
        <w:tc>
          <w:tcPr>
            <w:tcW w:w="18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9"/>
              </w:rPr>
              <w:t>Total Fair Value of Shares</w:t>
            </w:r>
          </w:p>
        </w:tc>
      </w:tr>
      <w:tr>
        <w:trPr>
          <w:trHeight w:val="230"/>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5"/>
              </w:rPr>
              <w:t>Vested</w:t>
            </w:r>
          </w:p>
        </w:tc>
      </w:tr>
      <w:tr>
        <w:trPr>
          <w:trHeight w:val="27"/>
        </w:trPr>
        <w:tc>
          <w:tcPr>
            <w:tcW w:w="6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57.31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6,776</w:t>
            </w:r>
          </w:p>
        </w:tc>
      </w:tr>
      <w:tr>
        <w:trPr>
          <w:trHeight w:val="243"/>
        </w:trPr>
        <w:tc>
          <w:tcPr>
            <w:tcW w:w="686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60.63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7,909</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2016</w:t>
            </w:r>
          </w:p>
        </w:tc>
        <w:tc>
          <w:tcPr>
            <w:tcW w:w="44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53.55</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4,602</w:t>
            </w:r>
          </w:p>
        </w:tc>
      </w:tr>
      <w:tr>
        <w:trPr>
          <w:trHeight w:val="27"/>
        </w:trPr>
        <w:tc>
          <w:tcPr>
            <w:tcW w:w="686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21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December 31, 2018, there was $8.9 million of unrecognized compensation expense related to non-vested restricted stock that is expected to be recognized over a weighted-average period of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officers of the Company and its subsidiaries are participants in a performance share award plan, a market-based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$2.8 million at December 31, 2018 would be reclassified as a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Outstanding performance periods at December 31 were as follows (shares in thousands):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160" w:type="dxa"/>
            <w:vAlign w:val="bottom"/>
            <w:gridSpan w:val="2"/>
          </w:tcPr>
          <w:p>
            <w:pPr>
              <w:ind w:left="400"/>
              <w:spacing w:after="0"/>
              <w:rPr>
                <w:sz w:val="20"/>
                <w:szCs w:val="20"/>
                <w:color w:val="auto"/>
              </w:rPr>
            </w:pPr>
            <w:r>
              <w:rPr>
                <w:rFonts w:ascii="Arial" w:cs="Arial" w:eastAsia="Arial" w:hAnsi="Arial"/>
                <w:sz w:val="18"/>
                <w:szCs w:val="18"/>
                <w:color w:val="auto"/>
              </w:rPr>
              <w:t>Possible Payout Range of Target</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jc w:val="center"/>
              <w:spacing w:after="0"/>
              <w:rPr>
                <w:sz w:val="20"/>
                <w:szCs w:val="20"/>
                <w:color w:val="auto"/>
              </w:rPr>
            </w:pPr>
            <w:r>
              <w:rPr>
                <w:rFonts w:ascii="Arial" w:cs="Arial" w:eastAsia="Arial" w:hAnsi="Arial"/>
                <w:sz w:val="18"/>
                <w:szCs w:val="18"/>
                <w:color w:val="auto"/>
                <w:w w:val="90"/>
              </w:rPr>
              <w:t>Grant Date</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Performance Period</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Target Grant of Shares</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Minimum</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January 1, 2016</w:t>
            </w:r>
          </w:p>
        </w:tc>
        <w:tc>
          <w:tcPr>
            <w:tcW w:w="3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January 1, 2016 - December 31, 2018</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51</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43"/>
        </w:trPr>
        <w:tc>
          <w:tcPr>
            <w:tcW w:w="2120" w:type="dxa"/>
            <w:vAlign w:val="bottom"/>
          </w:tcPr>
          <w:p>
            <w:pPr>
              <w:jc w:val="center"/>
              <w:spacing w:after="0"/>
              <w:rPr>
                <w:sz w:val="20"/>
                <w:szCs w:val="20"/>
                <w:color w:val="auto"/>
              </w:rPr>
            </w:pPr>
            <w:r>
              <w:rPr>
                <w:rFonts w:ascii="Arial" w:cs="Arial" w:eastAsia="Arial" w:hAnsi="Arial"/>
                <w:sz w:val="18"/>
                <w:szCs w:val="18"/>
                <w:color w:val="auto"/>
                <w:w w:val="88"/>
              </w:rPr>
              <w:t>January 1, 2017</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January 1, 2017 - December 31, 2019</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1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January 1, 2018</w:t>
            </w:r>
          </w:p>
        </w:tc>
        <w:tc>
          <w:tcPr>
            <w:tcW w:w="3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January 1, 2018 - December 31, 2020</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53</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shd w:val="clear" w:color="auto" w:fill="CEFFE7"/>
          </w:tcPr>
          <w:p>
            <w:pPr>
              <w:spacing w:after="0"/>
              <w:rPr>
                <w:sz w:val="2"/>
                <w:szCs w:val="2"/>
                <w:color w:val="auto"/>
              </w:rPr>
            </w:pPr>
          </w:p>
        </w:tc>
        <w:tc>
          <w:tcPr>
            <w:tcW w:w="360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Performance Share Plan at December 31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80" w:type="dxa"/>
            <w:vAlign w:val="bottom"/>
            <w:gridSpan w:val="3"/>
          </w:tcPr>
          <w:p>
            <w:pPr>
              <w:jc w:val="right"/>
              <w:ind w:right="1150"/>
              <w:spacing w:after="0"/>
              <w:rPr>
                <w:sz w:val="20"/>
                <w:szCs w:val="20"/>
                <w:color w:val="auto"/>
              </w:rPr>
            </w:pPr>
            <w:r>
              <w:rPr>
                <w:rFonts w:ascii="Arial" w:cs="Arial" w:eastAsia="Arial" w:hAnsi="Arial"/>
                <w:sz w:val="18"/>
                <w:szCs w:val="18"/>
                <w:color w:val="auto"/>
                <w:w w:val="99"/>
              </w:rPr>
              <w:t>Equity Portion</w:t>
            </w:r>
          </w:p>
        </w:tc>
        <w:tc>
          <w:tcPr>
            <w:tcW w:w="3380" w:type="dxa"/>
            <w:vAlign w:val="bottom"/>
            <w:gridSpan w:val="3"/>
          </w:tcPr>
          <w:p>
            <w:pPr>
              <w:jc w:val="right"/>
              <w:ind w:right="1050"/>
              <w:spacing w:after="0"/>
              <w:rPr>
                <w:sz w:val="20"/>
                <w:szCs w:val="20"/>
                <w:color w:val="auto"/>
              </w:rPr>
            </w:pPr>
            <w:r>
              <w:rPr>
                <w:rFonts w:ascii="Arial" w:cs="Arial" w:eastAsia="Arial" w:hAnsi="Arial"/>
                <w:sz w:val="18"/>
                <w:szCs w:val="18"/>
                <w:color w:val="auto"/>
              </w:rPr>
              <w:t>Liability Portion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Fair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w w:val="92"/>
              </w:rPr>
              <w:t>Weighted-Average</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Value at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94"/>
              </w:rPr>
              <w:t xml:space="preserve">Grant Date Fair Value </w:t>
            </w:r>
            <w:r>
              <w:rPr>
                <w:rFonts w:ascii="Arial" w:cs="Arial" w:eastAsia="Arial" w:hAnsi="Arial"/>
                <w:sz w:val="25"/>
                <w:szCs w:val="25"/>
                <w:color w:val="auto"/>
                <w:w w:val="94"/>
                <w:vertAlign w:val="superscript"/>
              </w:rPr>
              <w:t>(a)</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Performance Shares balance at beginning of period</w:t>
            </w:r>
          </w:p>
        </w:tc>
        <w:tc>
          <w:tcPr>
            <w:tcW w:w="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55.31</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61.82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58.14</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54.92</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EFFE7"/>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Performance Shares balance at end of period</w:t>
            </w:r>
          </w:p>
        </w:tc>
        <w:tc>
          <w:tcPr>
            <w:tcW w:w="106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57.66</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2790"/>
              <w:spacing w:after="0"/>
              <w:rPr>
                <w:sz w:val="20"/>
                <w:szCs w:val="20"/>
                <w:color w:val="auto"/>
              </w:rPr>
            </w:pPr>
            <w:r>
              <w:rPr>
                <w:rFonts w:ascii="Arial" w:cs="Arial" w:eastAsia="Arial" w:hAnsi="Arial"/>
                <w:sz w:val="16"/>
                <w:szCs w:val="16"/>
                <w:color w:val="auto"/>
                <w:w w:val="89"/>
              </w:rPr>
              <w:t>_____________________</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60" w:hanging="332"/>
        <w:spacing w:after="0" w:line="252"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grant date fair values for the performance shares granted in 2018, 2017 and 2016 were determined by Monte Carlo simulation using a blended volatility of 21%, 23% and 24%, respectively, comprised of 50% historical volatility and 50% implied volatility and the average risk-free interest rate of the three-year United States Treasury security rate in effect as of the grant date.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84"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color w:val="auto"/>
                <w:w w:val="93"/>
              </w:rPr>
              <w:t>The weighted-average grant-date fair value of performance share awards granted was as follows in the years ended:</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4"/>
        </w:trPr>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right"/>
              <w:ind w:right="50"/>
              <w:spacing w:after="0"/>
              <w:rPr>
                <w:sz w:val="20"/>
                <w:szCs w:val="20"/>
                <w:color w:val="auto"/>
              </w:rPr>
            </w:pPr>
            <w:r>
              <w:rPr>
                <w:rFonts w:ascii="Arial" w:cs="Arial" w:eastAsia="Arial" w:hAnsi="Arial"/>
                <w:sz w:val="18"/>
                <w:szCs w:val="18"/>
                <w:color w:val="auto"/>
                <w:w w:val="89"/>
              </w:rPr>
              <w:t>Weighted Average Grant Date</w:t>
            </w:r>
          </w:p>
        </w:tc>
      </w:tr>
      <w:tr>
        <w:trPr>
          <w:trHeight w:val="230"/>
        </w:trPr>
        <w:tc>
          <w:tcPr>
            <w:tcW w:w="8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Fair Value</w:t>
            </w:r>
          </w:p>
        </w:tc>
      </w:tr>
      <w:tr>
        <w:trPr>
          <w:trHeight w:val="27"/>
        </w:trPr>
        <w:tc>
          <w:tcPr>
            <w:tcW w:w="86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December 31, 2018</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61.82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63.52</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8660" w:type="dxa"/>
            <w:vAlign w:val="bottom"/>
            <w:shd w:val="clear" w:color="auto" w:fill="CEFFE7"/>
          </w:tcPr>
          <w:p>
            <w:pPr>
              <w:ind w:left="40"/>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47.76</w:t>
            </w:r>
          </w:p>
        </w:tc>
      </w:tr>
      <w:tr>
        <w:trPr>
          <w:trHeight w:val="27"/>
        </w:trPr>
        <w:tc>
          <w:tcPr>
            <w:tcW w:w="8660" w:type="dxa"/>
            <w:vAlign w:val="bottom"/>
            <w:shd w:val="clear" w:color="auto" w:fill="CEFFE7"/>
          </w:tcPr>
          <w:p>
            <w:pPr>
              <w:spacing w:after="0"/>
              <w:rPr>
                <w:sz w:val="2"/>
                <w:szCs w:val="2"/>
                <w:color w:val="auto"/>
              </w:rPr>
            </w:pPr>
          </w:p>
        </w:tc>
        <w:tc>
          <w:tcPr>
            <w:tcW w:w="120" w:type="dxa"/>
            <w:vAlign w:val="bottom"/>
            <w:shd w:val="clear" w:color="auto" w:fill="CEFFE7"/>
          </w:tcPr>
          <w:p>
            <w:pPr>
              <w:spacing w:after="0"/>
              <w:rPr>
                <w:sz w:val="2"/>
                <w:szCs w:val="2"/>
                <w:color w:val="auto"/>
              </w:rPr>
            </w:pPr>
          </w:p>
        </w:tc>
        <w:tc>
          <w:tcPr>
            <w:tcW w:w="23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 plan payouts during the years ended December 31, 2018, 2017, and 2016.</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29, 2019, the Compensation Committee of our Board of Directors determined that the Company’s total shareholder return for the January 1, 2016 through December 31, 2018 performance period was at the 74.8 percentile of its peer group and confirmed a payout equal to 161.9% of target shares, valued at $5.7 million. The payout was fully accrued at December 31, 2018.</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there was $3.2 million of unrecognized compensation expense related to outstanding performance share plans that is expected to be recognized over a weighted-average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Reinvestment and Stock Purchase Plan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until March 1, 2018, after which we began purchasing shares on the open market. At December 31, 2018, there were 253,418 shares of unissued stock available for future offering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incorporation authorize the issuance of 25 million shares of preferred stock of which we had no shares of preferred stock outstanding.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Noncontrolling Interest in Subsidiary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On April 14, 2016, Black Hills Electric Generation sold a 49.9%, noncontrolling interest in Black Hills Colorado IPP for $216 million to a third-party buyer. FERC approval of the sale was received on March 29, 2016. Black Hills Electric Generation is the operator of the facility, which is contracted to provide capacity and energy through 2031 to Black Hills Colorado Electric. Proceeds from the sale were used to pay down short-term debt and for other general corporate purposes.</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 partial sale of a subsidiary in which control is maintained and the subsidiary continues to be consolidated, is specified under ASC 810. The partial sale is required to be recorded as an equity transaction with no resulting gain or loss on the sale. GAAP requires that noncontrolling interests in subsidiaries and affiliates be reported in the equity section of a company’s balance sheet. Distributions of net income attributable to noncontrolling interests are due within 30 days following the end of a quarter, but may be withheld as necessary by Black Hills Electric Generation.</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Net income available for common stock for the years ended December 31, 2018, 2017 and 2016 was reduced by $14 million, $14 million, and $10 million, respectively, attributable to this noncontrolling interest. The net income allocable to the noncontrolling interest holders is based on ownership interests with the exception of certain agreed upon adjustments.</w:t>
      </w:r>
    </w:p>
    <w:p>
      <w:pPr>
        <w:spacing w:after="0" w:line="18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Black Hills 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84" w:right="2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We have recorded the following assets and liabilities on our consolidated balance sheets related to the VIE described above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0"/>
                <w:szCs w:val="20"/>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13,620</w:t>
            </w:r>
          </w:p>
        </w:tc>
        <w:tc>
          <w:tcPr>
            <w:tcW w:w="6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14,837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199,839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208,595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81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6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12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5,174</w:t>
            </w:r>
          </w:p>
        </w:tc>
        <w:tc>
          <w:tcPr>
            <w:tcW w:w="6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4,565</w:t>
            </w:r>
          </w:p>
        </w:tc>
      </w:tr>
      <w:tr>
        <w:trPr>
          <w:trHeight w:val="27"/>
        </w:trPr>
        <w:tc>
          <w:tcPr>
            <w:tcW w:w="812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620" w:type="dxa"/>
            <w:vAlign w:val="bottom"/>
            <w:shd w:val="clear" w:color="auto" w:fill="CEFFE7"/>
          </w:tcPr>
          <w:p>
            <w:pPr>
              <w:spacing w:after="0"/>
              <w:rPr>
                <w:sz w:val="2"/>
                <w:szCs w:val="2"/>
                <w:color w:val="auto"/>
              </w:rPr>
            </w:pPr>
          </w:p>
        </w:tc>
        <w:tc>
          <w:tcPr>
            <w:tcW w:w="106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ind w:right="8740" w:firstLine="8"/>
        <w:spacing w:after="0" w:line="503" w:lineRule="auto"/>
        <w:tabs>
          <w:tab w:leader="none" w:pos="4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TCJA revenue reserve</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TCJA signed into law on December 22, 2017, reduced the federal corporate income tax rate from 35% to 21%. Effective January 1, 2018, the key impact of tax reform on existing utility revenues/tariffs established prior to tax reform, was primarily from the change in the federal tax rate from 35% to 21% affecting current income tax expense embedded in those tariffs. Black Hills has been collaborating with utility commissions in the states in which it provides utility service to deliver to customers the benefits of a lower corporate federal income tax rate beginning in 2018 with the passage of the TCJA. We have received state utility commission approvals to provide the benefits of federal tax reform to utility customers in six states. We estimated and recorded a reserve to revenue of approximately $37 million during the year ended December 31, 2018. As of December 31, 2018, $19 million has been returned to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list of states where benefits to customers of federal tax reform have been approved is summarized below.</w:t>
      </w:r>
    </w:p>
    <w:p>
      <w:pPr>
        <w:spacing w:after="0" w:line="383"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Approximate 2018 Benefit for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Start Date for Customer</w:t>
            </w:r>
          </w:p>
        </w:tc>
      </w:tr>
      <w:tr>
        <w:trPr>
          <w:trHeight w:val="234"/>
        </w:trPr>
        <w:tc>
          <w:tcPr>
            <w:tcW w:w="1360" w:type="dxa"/>
            <w:vAlign w:val="bottom"/>
          </w:tcPr>
          <w:p>
            <w:pPr>
              <w:ind w:left="640"/>
              <w:spacing w:after="0"/>
              <w:rPr>
                <w:sz w:val="20"/>
                <w:szCs w:val="20"/>
                <w:color w:val="auto"/>
              </w:rPr>
            </w:pPr>
            <w:r>
              <w:rPr>
                <w:rFonts w:ascii="Arial" w:cs="Arial" w:eastAsia="Arial" w:hAnsi="Arial"/>
                <w:sz w:val="18"/>
                <w:szCs w:val="18"/>
                <w:b w:val="1"/>
                <w:bCs w:val="1"/>
                <w:color w:val="auto"/>
              </w:rPr>
              <w:t>State</w:t>
            </w:r>
          </w:p>
        </w:tc>
        <w:tc>
          <w:tcPr>
            <w:tcW w:w="560" w:type="dxa"/>
            <w:vAlign w:val="bottom"/>
          </w:tcPr>
          <w:p>
            <w:pPr>
              <w:spacing w:after="0"/>
              <w:rPr>
                <w:sz w:val="20"/>
                <w:szCs w:val="20"/>
                <w:color w:val="auto"/>
              </w:rPr>
            </w:pPr>
          </w:p>
        </w:tc>
        <w:tc>
          <w:tcPr>
            <w:tcW w:w="2760" w:type="dxa"/>
            <w:vAlign w:val="bottom"/>
          </w:tcPr>
          <w:p>
            <w:pPr>
              <w:jc w:val="right"/>
              <w:ind w:right="1010"/>
              <w:spacing w:after="0"/>
              <w:rPr>
                <w:sz w:val="20"/>
                <w:szCs w:val="20"/>
                <w:color w:val="auto"/>
              </w:rPr>
            </w:pPr>
            <w:r>
              <w:rPr>
                <w:rFonts w:ascii="Arial" w:cs="Arial" w:eastAsia="Arial" w:hAnsi="Arial"/>
                <w:sz w:val="18"/>
                <w:szCs w:val="18"/>
                <w:b w:val="1"/>
                <w:bCs w:val="1"/>
                <w:color w:val="auto"/>
              </w:rPr>
              <w:t>Customers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Arkansas</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October 2018</w:t>
            </w: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Colorado</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10.8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July 2018</w:t>
            </w:r>
          </w:p>
        </w:tc>
      </w:tr>
      <w:tr>
        <w:trPr>
          <w:trHeight w:val="27"/>
        </w:trPr>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Iowa</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7"/>
              </w:rPr>
              <w:t>June 2018</w:t>
            </w: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Kansas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1.9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April 2018</w:t>
            </w:r>
          </w:p>
        </w:tc>
      </w:tr>
      <w:tr>
        <w:trPr>
          <w:trHeight w:val="27"/>
        </w:trPr>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Nebraska</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July 2018</w:t>
            </w: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South Dakota</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7.6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October 2018</w:t>
            </w:r>
          </w:p>
        </w:tc>
      </w:tr>
    </w:tbl>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support of returning benefits to customers, the three rate review requests filed in 2017 for Arkansas Gas, Wyoming Gas (Northwest Wyoming) and Rocky Mountain Natural Gas (a pipeline system in Colorado) were adjusted to include the benefits to customers of federal tax reform as discussed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Deferred Income Taxes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2018 and 2017, we have a regulatory liability associated with TCJA related items of approximately $311 million and $301 million, respectively. The majority of this regulatory liability relates to excess deferred taxes resulting from the remeasurement of deferred tax assets and liabilities in 2017. A majority of the excess deferred taxes are subject to the average rate assumption method, as prescribed by the IRS, and will generally be amortized as a reduction of customer rates over the remaining lives of the related assets. As of December 31, 2018, the Company has amortized $2.1 million of this regulatory liability. The portion that was eligible for amortization under the average rate assumption method in 2018, but is awaiting resolution of the treatment of these amounts in future regulatory proceedings, has not been recognized and may be refunded in customer rates at any time in accordance with the resolution of pending or future regulatory proceedings. See Note 15 for more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8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Electric Utilities Regulatory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Corriedale Wind Project</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17, 2018, South Dakota Electric and Wyoming Electric filed a joint application with the WPSC for a CPCN to construct a new $57 million, 40 MW wind generation project near Cheyenne, Wyoming. If approved, the 40 MW Corriedale Wind Energy Project would be jointly owned by South Dakota Electric and Wyoming Electric. The project would be largely constructed and placed in service during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Electric Integrated Resource Plan</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November 30, 2018, Wyoming Electric submitted its 2018 integrated resource plan to the WPSC, which included the recommendation that Wyoming Electric acquire Wygen I. Review of Wyoming Electric’s integrated resource plan is subject to an open public process governed by the WPSC. The purchase of Wygen I would require approval of a CPCN by the WPSC and approval by FERC. The review process is expected to be completed by year-end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Electric Settlement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31, 2018, Wyoming Electric received approval from the WPSC for a comprehensive, multi-year settlement regarding its PCA Application filed earlier in 2018. Wyoming Electric’s PCA permits the recovery of costs associated with fuel, purchased electricity and other specified costs, including the portion of the company’s energy that is delivered from the Wygen I PPA with Black Hills Wyoming. Wyoming Electric will provide a total of $7.0 million in customer credits through the PCA mechanism in 2018, 2019 and 2020 to resolve all outstanding issues relating to its current and prior PCA filings. The settlement also stipulates the adjustment for the variable cost segment of the Wygen I PPA with Wyoming Electric will escalate by 3.0% annually through 2022, providing price certainty for Wyoming Electric and its customers. As of December 31, 2018, we have recorded a liability of $6.0 million related to the PCA.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 Dakota Electric Common Use System (CUS)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annual rate determination process is governed by the FERC formula rate protocols established in the filed FERC joint-access transmission tariff. Effective January 1, 2019 the annual revenue requirement increased by $1.9 million and included estimated weighted average capital additions of $31 million for 2018 and 2019. The annual transmission revenue requirement has a true up mechanism that is posted in June of each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 Dakota Electric Settlement</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16, 2017, South Dakota Electric received approval from the SDPUC on a settlement reached with the SDPUC staff agreeing to a 6-year moratorium period effective July 1, 2017. As part of this agreement, South Dakota Electric will not increase base rates, absent an extraordinary event. The moratorium period also includes suspension of both the Transmission Facility Adjustment and the Environmental Improvement Adjustment, and a $1.0 million increase to the annual power marketing margin guarantee during this period. Additionally, existing regulatory asset balances as of the settlement date of approximately $13 million related to decommissioning and Winter Storm Atlas are being amortized over the moratorium period. These balances were previously being amortized over a 10-year period ending September 30, 2024. The vegetation management regulatory asset as of the settlement date of $14 million, previously unamortized, is also being amortized over the moratorium period. The change in amortization periods for these costs increased annual amortization expense by approximately $2.7 million. The June 16, 2017 settlement had no impact to base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Utilities Regulatory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Gas</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October 10, 2018, we received approval from the CPUC for a request to consolidate our Colorado gas utility operations into a new utility entity. The Colorado portion of Black Hills Gas Distribution, LLC, will be combined with Black Hills/Colorado Gas Utility Company, Inc., into a new company named Black Hills Colorado Gas, Inc. The two companies being merged currently serve 187,000 Colorado customers doing business as Black Hills Energy. On February 1, 2019, Colorado Gas filed a rate review with the CPUC requesting approval to consolidate the base rate areas, tariffs, terms and conditions and adjustment clauses of its two legacy utilities. The rate review also requests $2.5 million in new revenue to recover costs and investments in safety, reliability and system integrity.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Gas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November 20, 2018, we received approval from the WPSC for a CPCN to construct a new $54 million, 35-mile natural gas pipeline to enhance supply reliability and delivery capacity for approximately 57,000 customers in central Wyoming. The pipeline, known as the Natural Bridge Pipeline, is planned to be placed in service in late 2019.</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96"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u w:val="single" w:color="auto"/>
          <w:color w:val="auto"/>
        </w:rPr>
        <w:t>Arkansas Gas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October 5, 2018, Arkansas Gas received approval from the APSC for a general rate increase. The new rates will generate approximately $12 million of new annual revenue. The APSC’s approval also allows Arkansas Gas to include $11 million of revenue that is currently being collected through certain rider mechanisms in the new base rates. The new revenue increase is based on a return on equity of 9.61% and a capital structure of 49.1% equity and 50.9% debt. New rates, inclusive of customer benefits related to the TCJA, were effective October 15,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Gas</w:t>
      </w:r>
    </w:p>
    <w:p>
      <w:pPr>
        <w:spacing w:after="0" w:line="2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On July 16, 2018, the WPSC reached a bench decision approving our Wyoming Gas (Northwest Wyoming) settlement and stipulation with the OCA. We received the final order in the third quarter of 2018. The settlement provides for $1.0 million of new revenue, a return on equity of 9.6%, and a capital structure of 54.0% equity and 46.0% debt. New rates, inclusive of customer benefits related to the TCJA, were effective September 1,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Kansas Gas</w:t>
      </w:r>
    </w:p>
    <w:p>
      <w:pPr>
        <w:spacing w:after="0" w:line="2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On June 19, 2018, Kansas Gas received approval from the Kansas Corporation Commission for an annual increase in revenue of $0.6 million based on inclusion of approximately $8.0 million of eligible capital investments under the Gas System Reliability Rider. The Kansas Legislature passed legislation in 2018 enabling the annual eligible investments to double from approximately $8.0 million to $16 million effective January 1,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RMNG</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Colorado, new rates for RMNG went into effect June 1, 2018 after we reached a settlement which was approved by the CPUC. The settlement included $1.1 million in annual revenue increases and an extension of the SSIR to recover costs from 2018 through December 31, 2021. The annual increase is based on a return on equity of 9.9% and a capital structure of 46.63% equity and 53.37% debt. New rates are inclusive of customer benefits related to the TCJA.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Nebraska Gas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2018, Nebraska Gas Distribution filed an application with the NPSC requesting a continuation of the SSIR beyond the expiration date of October 31, 2019. On September 5, 2018, the NPSC approved continuation of the SSIR tariff to December 31, 2020. The SSIR provides approximately $6.0 million of revenue annually on investments made prior to January 1, 2018, with investments after that date to be recovered through other methods. If a base rate review is filed prior to expiration of the rider, that rate request will include the remaining investment to be recovered.</w:t>
      </w:r>
    </w:p>
    <w:p>
      <w:pPr>
        <w:spacing w:after="0" w:line="17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October 2, 2017, Nebraska Gas Distribution filed with the NPSC requesting recovery of $6.8 million, which includes $0.3 million of increased annual revenue related to system safety and integrity expenditures on projects for the period of 2012 through 2017. This SSIR tariff was approved by the NPSC in January 2018, and went into effect on February 1, 2018.</w:t>
      </w:r>
    </w:p>
    <w:p>
      <w:pPr>
        <w:spacing w:after="0" w:line="1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OPERATING LEASES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entered into lease agreements for office facilities, communication tower sites, land and equipment. Rental expense incurred under these operating leases, including month to month leases, for the years ended December 31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Rent expense </w:t>
            </w:r>
            <w:r>
              <w:rPr>
                <w:rFonts w:ascii="Arial" w:cs="Arial" w:eastAsia="Arial" w:hAnsi="Arial"/>
                <w:sz w:val="25"/>
                <w:szCs w:val="25"/>
                <w:color w:val="auto"/>
                <w:vertAlign w:val="superscript"/>
              </w:rPr>
              <w:t>(a)</w:t>
            </w:r>
          </w:p>
        </w:tc>
        <w:tc>
          <w:tcPr>
            <w:tcW w:w="42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2,667</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10,325</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9,568</w:t>
            </w:r>
          </w:p>
        </w:tc>
      </w:tr>
      <w:tr>
        <w:trPr>
          <w:trHeight w:val="179"/>
        </w:trPr>
        <w:tc>
          <w:tcPr>
            <w:tcW w:w="5960" w:type="dxa"/>
            <w:vAlign w:val="bottom"/>
          </w:tcPr>
          <w:p>
            <w:pPr>
              <w:spacing w:after="0" w:line="179" w:lineRule="exact"/>
              <w:rPr>
                <w:sz w:val="20"/>
                <w:szCs w:val="20"/>
                <w:color w:val="auto"/>
              </w:rPr>
            </w:pPr>
            <w:r>
              <w:rPr>
                <w:rFonts w:ascii="Arial" w:cs="Arial" w:eastAsia="Arial" w:hAnsi="Arial"/>
                <w:sz w:val="16"/>
                <w:szCs w:val="16"/>
                <w:color w:val="auto"/>
              </w:rPr>
              <w:t>_______________</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6"/>
        </w:trPr>
        <w:tc>
          <w:tcPr>
            <w:tcW w:w="9560" w:type="dxa"/>
            <w:vAlign w:val="bottom"/>
            <w:gridSpan w:val="5"/>
          </w:tcPr>
          <w:p>
            <w:pPr>
              <w:spacing w:after="0"/>
              <w:rPr>
                <w:sz w:val="20"/>
                <w:szCs w:val="20"/>
                <w:color w:val="auto"/>
              </w:rPr>
            </w:pPr>
            <w:r>
              <w:rPr>
                <w:rFonts w:ascii="Arial" w:cs="Arial" w:eastAsia="Arial" w:hAnsi="Arial"/>
                <w:sz w:val="16"/>
                <w:szCs w:val="16"/>
                <w:color w:val="auto"/>
                <w:w w:val="94"/>
              </w:rPr>
              <w:t>(a)  The decrease in rent expense is primarily driven by current year expiration of office leases and by purchases of facilities previously leased.</w:t>
            </w: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future minimum payments required under the operating lease agreements (in thousands):</w:t>
      </w:r>
    </w:p>
    <w:p>
      <w:pPr>
        <w:spacing w:after="0" w:line="158" w:lineRule="exact"/>
        <w:rPr>
          <w:sz w:val="20"/>
          <w:szCs w:val="20"/>
          <w:color w:val="auto"/>
        </w:rPr>
      </w:pPr>
    </w:p>
    <w:tbl>
      <w:tblPr>
        <w:tblLayout w:type="fixed"/>
        <w:tblInd w:w="3700" w:type="dxa"/>
        <w:tblCellMar>
          <w:top w:w="0" w:type="dxa"/>
          <w:left w:w="0" w:type="dxa"/>
          <w:bottom w:w="0" w:type="dxa"/>
          <w:right w:w="0" w:type="dxa"/>
        </w:tblCellMar>
      </w:tblPr>
      <w:tr>
        <w:trPr>
          <w:trHeight w:val="270"/>
        </w:trPr>
        <w:tc>
          <w:tcPr>
            <w:tcW w:w="162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89"/>
              </w:rPr>
              <w:t>2019</w:t>
            </w:r>
          </w:p>
        </w:tc>
        <w:tc>
          <w:tcPr>
            <w:tcW w:w="1240" w:type="dxa"/>
            <w:vAlign w:val="bottom"/>
            <w:shd w:val="clear" w:color="auto" w:fill="CEFFE7"/>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1620" w:type="dxa"/>
            <w:vAlign w:val="bottom"/>
          </w:tcPr>
          <w:p>
            <w:pPr>
              <w:jc w:val="center"/>
              <w:ind w:left="290"/>
              <w:spacing w:after="0"/>
              <w:rPr>
                <w:sz w:val="20"/>
                <w:szCs w:val="20"/>
                <w:color w:val="auto"/>
              </w:rPr>
            </w:pPr>
            <w:r>
              <w:rPr>
                <w:rFonts w:ascii="Arial" w:cs="Arial" w:eastAsia="Arial" w:hAnsi="Arial"/>
                <w:sz w:val="18"/>
                <w:szCs w:val="18"/>
                <w:color w:val="auto"/>
                <w:w w:val="89"/>
              </w:rPr>
              <w:t>2020</w:t>
            </w: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62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89"/>
              </w:rPr>
              <w:t>2021</w:t>
            </w:r>
          </w:p>
        </w:tc>
        <w:tc>
          <w:tcPr>
            <w:tcW w:w="124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1620" w:type="dxa"/>
            <w:vAlign w:val="bottom"/>
          </w:tcPr>
          <w:p>
            <w:pPr>
              <w:jc w:val="center"/>
              <w:ind w:left="290"/>
              <w:spacing w:after="0"/>
              <w:rPr>
                <w:sz w:val="20"/>
                <w:szCs w:val="20"/>
                <w:color w:val="auto"/>
              </w:rPr>
            </w:pPr>
            <w:r>
              <w:rPr>
                <w:rFonts w:ascii="Arial" w:cs="Arial" w:eastAsia="Arial" w:hAnsi="Arial"/>
                <w:sz w:val="18"/>
                <w:szCs w:val="18"/>
                <w:color w:val="auto"/>
                <w:w w:val="89"/>
              </w:rPr>
              <w:t>2022</w:t>
            </w: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62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89"/>
              </w:rPr>
              <w:t>2023</w:t>
            </w:r>
          </w:p>
        </w:tc>
        <w:tc>
          <w:tcPr>
            <w:tcW w:w="124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1620" w:type="dxa"/>
            <w:vAlign w:val="bottom"/>
          </w:tcPr>
          <w:p>
            <w:pPr>
              <w:jc w:val="center"/>
              <w:ind w:left="270"/>
              <w:spacing w:after="0"/>
              <w:rPr>
                <w:sz w:val="20"/>
                <w:szCs w:val="20"/>
                <w:color w:val="auto"/>
              </w:rPr>
            </w:pPr>
            <w:r>
              <w:rPr>
                <w:rFonts w:ascii="Arial" w:cs="Arial" w:eastAsia="Arial" w:hAnsi="Arial"/>
                <w:sz w:val="18"/>
                <w:szCs w:val="18"/>
                <w:color w:val="auto"/>
                <w:w w:val="89"/>
              </w:rPr>
              <w:t>Thereafter</w:t>
            </w: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702"/>
        </w:trPr>
        <w:tc>
          <w:tcPr>
            <w:tcW w:w="1620" w:type="dxa"/>
            <w:vAlign w:val="bottom"/>
          </w:tcPr>
          <w:p>
            <w:pPr>
              <w:spacing w:after="0"/>
              <w:rPr>
                <w:sz w:val="24"/>
                <w:szCs w:val="24"/>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135</w:t>
            </w: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5" w:name="page136"/>
    <w:bookmarkEnd w:id="135"/>
    <w:p>
      <w:pPr>
        <w:ind w:left="480" w:hanging="472"/>
        <w:spacing w:after="0"/>
        <w:tabs>
          <w:tab w:leader="none" w:pos="4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TCJA</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cash flows or financial position. As a result of the revaluation at December 31, 2017, deferred tax assets and liabilities were reduced by approximately $309 million. Of the $309 million, approximately $301 million is related to our regulated utilities and is reclassified to a regulatory liability. During the year ended December 31, 2018 we recorded approximately $11 million of additional regulatory liability associated with TCJA related items primarily related to property, completing the revaluation of deferred taxes pursuant to the TCJA. A majority of the excess deferred taxes are subject to the average rate assumption method, as prescribed by the IRS, and will generally be amortized as a reduction of customer rates over the remaining lives of the related assets. As of December 31, 2018, the Company has amortized $2.1 million of the regulatory liability. The portion that was eligible for amortization under the average rate assumption method in 2018,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 related to legal entity restructuring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the Company’s ongoing efforts to continue to integrate the legal entities that the Company has acquired in recent years, certain legal entity restructuring transactions occurred on March 31, 2018 and December 31, 2018. As a result of these transactions, additional deferred income tax assets of $73 million, related to goodwill that is amortizable for tax purposes, were recorded and deferred tax benefits of $73 million were recorded to income tax benefit (expense) on the Consolidated Statements of Income. Due to this being a common control transaction, it had no effect on the other assets and liabilities of these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for the years ended December 31 was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(6,193)</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(21,806)</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(7,625)</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(23,603)</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(23,295)</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76,567</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78,997</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Excess deferred tax amortization</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(1,727)</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Tax credit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(24,239)</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80,992</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82,704</w:t>
            </w: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6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(23,667)</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73,367</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59,101</w:t>
            </w:r>
          </w:p>
        </w:tc>
        <w:tc>
          <w:tcPr>
            <w:tcW w:w="0" w:type="dxa"/>
            <w:vAlign w:val="bottom"/>
          </w:tcPr>
          <w:p>
            <w:pPr>
              <w:spacing w:after="0"/>
              <w:rPr>
                <w:sz w:val="1"/>
                <w:szCs w:val="1"/>
                <w:color w:val="auto"/>
              </w:rPr>
            </w:pPr>
          </w:p>
        </w:tc>
      </w:tr>
      <w:tr>
        <w:trPr>
          <w:trHeight w:val="20"/>
        </w:trPr>
        <w:tc>
          <w:tcPr>
            <w:tcW w:w="664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discontinued operations is a tax benefit of $2.6 million, $8.4 million and $49 million for 2018, 2017 and 2016,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8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The temporary differences, which gave rise to the net deferred tax liability,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Regulatory liabilities</w:t>
            </w:r>
          </w:p>
        </w:tc>
        <w:tc>
          <w:tcPr>
            <w:tcW w:w="1340" w:type="dxa"/>
            <w:vAlign w:val="bottom"/>
            <w:tcBorders>
              <w:bottom w:val="single" w:sz="8" w:color="CEFFE7"/>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92,966</w:t>
            </w:r>
          </w:p>
        </w:tc>
        <w:tc>
          <w:tcPr>
            <w:tcW w:w="5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90,742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14,039</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18,724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net operating loss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139,371</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155,276</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color w:val="auto"/>
              </w:rPr>
              <w:t>Other deferred tax assets</w:t>
            </w:r>
            <w:r>
              <w:rPr>
                <w:rFonts w:ascii="Arial" w:cs="Arial" w:eastAsia="Arial" w:hAnsi="Arial"/>
                <w:sz w:val="25"/>
                <w:szCs w:val="25"/>
                <w:color w:val="auto"/>
                <w:vertAlign w:val="superscript"/>
              </w:rPr>
              <w:t>(a)</w:t>
            </w:r>
          </w:p>
        </w:tc>
        <w:tc>
          <w:tcPr>
            <w:tcW w:w="1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101,579</w:t>
            </w:r>
          </w:p>
        </w:tc>
        <w:tc>
          <w:tcPr>
            <w:tcW w:w="5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74,561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Less: Valuation allowance</w:t>
            </w:r>
          </w:p>
        </w:tc>
        <w:tc>
          <w:tcPr>
            <w:tcW w:w="13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(11,809)</w:t>
            </w:r>
          </w:p>
        </w:tc>
        <w:tc>
          <w:tcPr>
            <w:tcW w:w="52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336,146</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330,182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6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Accelerated depreciation, amortization and other property-related differences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(529,338)</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(510,774)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(32,324)</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5"/>
                <w:szCs w:val="25"/>
                <w:color w:val="auto"/>
                <w:vertAlign w:val="superscript"/>
              </w:rPr>
              <w:t>(b)</w:t>
            </w:r>
          </w:p>
        </w:tc>
        <w:tc>
          <w:tcPr>
            <w:tcW w:w="134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(602)</w:t>
            </w:r>
          </w:p>
        </w:tc>
        <w:tc>
          <w:tcPr>
            <w:tcW w:w="520" w:type="dxa"/>
            <w:vAlign w:val="bottom"/>
            <w:shd w:val="clear" w:color="auto" w:fill="CEFFE7"/>
          </w:tcPr>
          <w:p>
            <w:pPr>
              <w:spacing w:after="0"/>
              <w:rPr>
                <w:sz w:val="23"/>
                <w:szCs w:val="23"/>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(46,392)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 deferred tax liability</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(64,095)</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(58,930)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Deferred costs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(13,351)</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deferred tax liabilities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(7,767)</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(647,477)</w:t>
            </w:r>
          </w:p>
        </w:tc>
        <w:tc>
          <w:tcPr>
            <w:tcW w:w="520" w:type="dxa"/>
            <w:vAlign w:val="bottom"/>
            <w:tcBorders>
              <w:bottom w:val="single" w:sz="8" w:color="CEFFE7"/>
            </w:tcBorders>
            <w:shd w:val="clear" w:color="auto" w:fill="CEFFE7"/>
          </w:tcPr>
          <w:p>
            <w:pPr>
              <w:spacing w:after="0"/>
              <w:rPr>
                <w:sz w:val="22"/>
                <w:szCs w:val="22"/>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(666,702)</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auto"/>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(311,331)</w:t>
            </w:r>
          </w:p>
        </w:tc>
        <w:tc>
          <w:tcPr>
            <w:tcW w:w="52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(336,520)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40" w:hanging="332"/>
        <w:spacing w:after="0" w:line="24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Other deferred tax assets consist primarily of alternative minimum tax credit and federal research and development credits. No single item exceeds 5% of the total net deferred tax liability.</w:t>
      </w: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Legal entity restructuring - see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8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The effective tax rate differs from the federal statutory rate for the years ended December 31,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2018</w:t>
            </w:r>
          </w:p>
        </w:tc>
        <w:tc>
          <w:tcPr>
            <w:tcW w:w="166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Federal statutory rate</w:t>
            </w:r>
          </w:p>
        </w:tc>
        <w:tc>
          <w:tcPr>
            <w:tcW w:w="20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21.0 %</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35.0 %</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income tax (net of federal tax effect)</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Percentage depletion</w:t>
            </w:r>
          </w:p>
        </w:tc>
        <w:tc>
          <w:tcPr>
            <w:tcW w:w="200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(0.4)</w:t>
            </w:r>
          </w:p>
        </w:tc>
        <w:tc>
          <w:tcPr>
            <w:tcW w:w="1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(0.6)</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(a)</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AFUDC</w:t>
            </w:r>
          </w:p>
        </w:tc>
        <w:tc>
          <w:tcPr>
            <w:tcW w:w="200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Transaction costs</w:t>
            </w:r>
          </w:p>
        </w:tc>
        <w:tc>
          <w:tcPr>
            <w:tcW w:w="200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Accounting for uncertain tax positions adjustment</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(b)</w:t>
            </w:r>
          </w:p>
        </w:tc>
        <w:tc>
          <w:tcPr>
            <w:tcW w:w="200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(1.6)</w:t>
            </w:r>
          </w:p>
        </w:tc>
        <w:tc>
          <w:tcPr>
            <w:tcW w:w="16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Jurisdictional simplification project </w:t>
            </w:r>
            <w:r>
              <w:rPr>
                <w:rFonts w:ascii="Arial" w:cs="Arial" w:eastAsia="Arial" w:hAnsi="Arial"/>
                <w:sz w:val="25"/>
                <w:szCs w:val="25"/>
                <w:color w:val="auto"/>
                <w:vertAlign w:val="superscript"/>
              </w:rPr>
              <w:t>(d)</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(28.5)</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tax differences</w:t>
            </w:r>
          </w:p>
        </w:tc>
        <w:tc>
          <w:tcPr>
            <w:tcW w:w="200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(0.4)</w:t>
            </w:r>
          </w:p>
        </w:tc>
        <w:tc>
          <w:tcPr>
            <w:tcW w:w="1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IRC 172(f) carryback claim</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TCJA corporate rate reduction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450"/>
              <w:spacing w:after="0"/>
              <w:rPr>
                <w:sz w:val="20"/>
                <w:szCs w:val="20"/>
                <w:color w:val="auto"/>
              </w:rPr>
            </w:pPr>
            <w:r>
              <w:rPr>
                <w:rFonts w:ascii="Arial" w:cs="Arial" w:eastAsia="Arial" w:hAnsi="Arial"/>
                <w:sz w:val="18"/>
                <w:szCs w:val="18"/>
                <w:color w:val="auto"/>
              </w:rPr>
              <w:t>1.6</w:t>
            </w:r>
          </w:p>
        </w:tc>
        <w:tc>
          <w:tcPr>
            <w:tcW w:w="166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(9.3)%</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26.0 %</w:t>
            </w:r>
          </w:p>
        </w:tc>
        <w:tc>
          <w:tcPr>
            <w:tcW w:w="136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effective tax rate reflects the income attributable to the noncontrolling interest in Black Hills Colorado IPP for which a tax provision was not recorded.</w:t>
      </w:r>
    </w:p>
    <w:p>
      <w:pPr>
        <w:spacing w:after="0" w:line="9"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 December 22, 2017, the TCJA was signed into law reducing the federal corporate rate from 35% to 21% effective January 1, 2018. The 2017 effective tax rate reduction reflects the revaluation of deferred income taxes associated with non-regulated operations required by the change. During the year ended December 31, 2018, we recorded approximately $4.0 million of additional tax expense associated with changes in the prior estimated impacts of TCJA related items. During the year ended December 31, 2017, we recorded approximately $8.0 million of tax benefit resulting from revaluation of net deferred tax liabilities in accordance with ASC 740 and the enactment of the TCJA on December 22, 2017.</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Legal entity restructuring - see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have federal and state NOL carryforwards that will expire at various dates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Amounts</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Expiration Dates</w:t>
            </w:r>
          </w:p>
        </w:tc>
        <w:tc>
          <w:tcPr>
            <w:tcW w:w="1000" w:type="dxa"/>
            <w:vAlign w:val="bottom"/>
          </w:tcPr>
          <w:p>
            <w:pPr>
              <w:spacing w:after="0"/>
              <w:rPr>
                <w:sz w:val="20"/>
                <w:szCs w:val="20"/>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Federal Net Operating Loss Carryforward</w:t>
            </w:r>
          </w:p>
        </w:tc>
        <w:tc>
          <w:tcPr>
            <w:tcW w:w="2580" w:type="dxa"/>
            <w:vAlign w:val="bottom"/>
            <w:tcBorders>
              <w:bottom w:val="single" w:sz="8" w:color="CEFFE7"/>
            </w:tcBorders>
            <w:shd w:val="clear" w:color="auto" w:fill="CEFFE7"/>
          </w:tcPr>
          <w:p>
            <w:pPr>
              <w:jc w:val="right"/>
              <w:ind w:right="1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w w:val="95"/>
              </w:rPr>
              <w:t>663,741</w:t>
            </w:r>
          </w:p>
        </w:tc>
        <w:tc>
          <w:tcPr>
            <w:tcW w:w="1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2021</w:t>
            </w:r>
          </w:p>
        </w:tc>
        <w:tc>
          <w:tcPr>
            <w:tcW w:w="15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2038</w:t>
            </w:r>
          </w:p>
        </w:tc>
      </w:tr>
      <w:tr>
        <w:trPr>
          <w:trHeight w:val="324"/>
        </w:trPr>
        <w:tc>
          <w:tcPr>
            <w:tcW w:w="4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State Net Operating Loss Carryforward</w:t>
            </w:r>
          </w:p>
        </w:tc>
        <w:tc>
          <w:tcPr>
            <w:tcW w:w="2580" w:type="dxa"/>
            <w:vAlign w:val="bottom"/>
            <w:shd w:val="clear" w:color="auto" w:fill="CEFFE7"/>
          </w:tcPr>
          <w:p>
            <w:pPr>
              <w:jc w:val="right"/>
              <w:ind w:right="1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w w:val="95"/>
              </w:rPr>
              <w:t>542,632</w:t>
            </w:r>
          </w:p>
        </w:tc>
        <w:tc>
          <w:tcPr>
            <w:tcW w:w="10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2019</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2038</w:t>
            </w:r>
          </w:p>
        </w:tc>
      </w:tr>
      <w:tr>
        <w:trPr>
          <w:trHeight w:val="27"/>
        </w:trPr>
        <w:tc>
          <w:tcPr>
            <w:tcW w:w="412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104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10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2018, we had a $0.4 million valuation allowance against the state NOL carryforwards. Our 2018 analysis of the ability to utilize such NOLs resulted in a $0.4 million increase in the valuation allowance offset by a $1.2 million decrease from expired NOL. This resulted in an increase to tax expense of $0.4 million and a decrease to the state NOL carryforward of $1.2 million. The valuation allowance adjustment was primarily attributable to a projected decrease in state taxable income for years beyond 2018. This projected decrease impacted the utilization of NOL carryforward in those states where the carryforward period is significantly shorter than the federal carryforward period of 20 years. In certain states, the carryforward period is limited to 5 years. Ultimate usage of these NOLs depends upon our future tax filings. If the valuation allowance is adjusted due to higher or lower than anticipated utilization of the NOLs, the offsetting amount will affect tax expense.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84" w:right="239" w:bottom="1440" w:gutter="0" w:footer="0" w:header="0"/>
        </w:sectPr>
      </w:pPr>
    </w:p>
    <w:bookmarkStart w:id="138" w:name="page139"/>
    <w:bookmarkEnd w:id="138"/>
    <w:p>
      <w:pPr>
        <w:ind w:right="500"/>
        <w:spacing w:after="0" w:line="277" w:lineRule="auto"/>
        <w:rPr>
          <w:sz w:val="20"/>
          <w:szCs w:val="20"/>
          <w:color w:val="auto"/>
        </w:rPr>
      </w:pPr>
      <w:r>
        <w:rPr>
          <w:rFonts w:ascii="Arial" w:cs="Arial" w:eastAsia="Arial" w:hAnsi="Arial"/>
          <w:sz w:val="18"/>
          <w:szCs w:val="18"/>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ind w:right="230"/>
              <w:spacing w:after="0"/>
              <w:rPr>
                <w:sz w:val="20"/>
                <w:szCs w:val="20"/>
                <w:color w:val="auto"/>
              </w:rPr>
            </w:pPr>
            <w:r>
              <w:rPr>
                <w:rFonts w:ascii="Arial" w:cs="Arial" w:eastAsia="Arial" w:hAnsi="Arial"/>
                <w:sz w:val="18"/>
                <w:szCs w:val="18"/>
                <w:color w:val="auto"/>
                <w:w w:val="94"/>
              </w:rPr>
              <w:t>Changes in Uncertain Tax</w:t>
            </w:r>
          </w:p>
        </w:tc>
      </w:tr>
      <w:tr>
        <w:trPr>
          <w:trHeight w:val="230"/>
        </w:trPr>
        <w:tc>
          <w:tcPr>
            <w:tcW w:w="8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Positions</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Beginning balance at January 1, 2016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31,986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2,423</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(19,174)</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(11,643)</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2016</w:t>
            </w:r>
          </w:p>
        </w:tc>
        <w:tc>
          <w:tcPr>
            <w:tcW w:w="2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358</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(5,713)</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5,026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2017</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3,583</w:t>
            </w: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unrecognized tax benefits that, if recognized, would impact the effective tax rate is approximately $0.1 million.</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recognized no interest expense associated with income taxes for the years ended December 31, 2018, December 31, 2017 and December 31, 2016. We had no accrued interest (before tax effect) associated with income taxes at December 31, 2018 and December 31, 2017.</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is subject to federal income tax as well as income tax in various state and local jurisdictions. Black Hills Gas, Inc. and subsidiaries, which files a separate consolidated tax return from Black Hills Corporation and subsidiaries through March 31, 2018, is under examination by the IRS for 2014. Black Hills Corporation is no longer subject to examination for tax years prior to 2015.</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had deferred a substantial amount of tax payments through various tax planning strategies including the deferral of approximately $125 million in income taxes attributable to the like-kind exchange effectuated in connection with the IPP Transaction and Aquila Transaction that occurred in 2008. The IRS had challenged our position with respect to the like-kind exchange. In the first quarter of 2016, we reached a settlement agreement in principle with IRS Appeals related to both the like-kind exchange transaction in addition to the R&amp;D credits and deductions issues. In 2016, the settlement resulted in a reduction to the liability for unrecognized tax benefits of approximately $29 million excluding interest. Approximately $17 million of the reduction was to restore accumulated deferred income taxes and the remaining portion of approximately $12 million was reclassified to current taxes payable.</w:t>
      </w:r>
    </w:p>
    <w:p>
      <w:pPr>
        <w:spacing w:after="0" w:line="1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2018, we do not have any tax positions for which it is reasonably possible that the total amount of unrecognized tax benefits will significantly increase or decrease on or before December 31, 2019.</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State tax credits have been generated and are available to offset future state income taxes. At December 31, 2018, we had the following state tax credit carryforwards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ind w:left="1800"/>
              <w:spacing w:after="0"/>
              <w:rPr>
                <w:sz w:val="20"/>
                <w:szCs w:val="20"/>
                <w:color w:val="auto"/>
              </w:rPr>
            </w:pPr>
            <w:r>
              <w:rPr>
                <w:rFonts w:ascii="Arial" w:cs="Arial" w:eastAsia="Arial" w:hAnsi="Arial"/>
                <w:sz w:val="18"/>
                <w:szCs w:val="18"/>
                <w:color w:val="auto"/>
              </w:rPr>
              <w:t>State Tax Credit Carryforwards</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80" w:type="dxa"/>
            <w:vAlign w:val="bottom"/>
            <w:gridSpan w:val="2"/>
          </w:tcPr>
          <w:p>
            <w:pPr>
              <w:jc w:val="center"/>
              <w:ind w:right="1710"/>
              <w:spacing w:after="0"/>
              <w:rPr>
                <w:sz w:val="20"/>
                <w:szCs w:val="20"/>
                <w:color w:val="auto"/>
              </w:rPr>
            </w:pPr>
            <w:r>
              <w:rPr>
                <w:rFonts w:ascii="Arial" w:cs="Arial" w:eastAsia="Arial" w:hAnsi="Arial"/>
                <w:sz w:val="18"/>
                <w:szCs w:val="18"/>
                <w:color w:val="auto"/>
                <w:w w:val="92"/>
              </w:rPr>
              <w:t>Expiration Year</w:t>
            </w:r>
          </w:p>
        </w:tc>
      </w:tr>
      <w:tr>
        <w:trPr>
          <w:trHeight w:val="27"/>
        </w:trPr>
        <w:tc>
          <w:tcPr>
            <w:tcW w:w="3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 tax credit</w:t>
            </w:r>
          </w:p>
        </w:tc>
        <w:tc>
          <w:tcPr>
            <w:tcW w:w="168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530"/>
              <w:spacing w:after="0"/>
              <w:rPr>
                <w:sz w:val="20"/>
                <w:szCs w:val="20"/>
                <w:color w:val="auto"/>
              </w:rPr>
            </w:pPr>
            <w:r>
              <w:rPr>
                <w:rFonts w:ascii="Arial" w:cs="Arial" w:eastAsia="Arial" w:hAnsi="Arial"/>
                <w:sz w:val="18"/>
                <w:szCs w:val="18"/>
                <w:color w:val="auto"/>
              </w:rPr>
              <w:t>20,285</w:t>
            </w:r>
          </w:p>
        </w:tc>
        <w:tc>
          <w:tcPr>
            <w:tcW w:w="128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CEFFE7"/>
            </w:tcBorders>
            <w:shd w:val="clear" w:color="auto" w:fill="CEFFE7"/>
          </w:tcPr>
          <w:p>
            <w:pPr>
              <w:jc w:val="center"/>
              <w:ind w:left="650"/>
              <w:spacing w:after="0"/>
              <w:rPr>
                <w:sz w:val="20"/>
                <w:szCs w:val="20"/>
                <w:color w:val="auto"/>
              </w:rPr>
            </w:pPr>
            <w:r>
              <w:rPr>
                <w:rFonts w:ascii="Arial" w:cs="Arial" w:eastAsia="Arial" w:hAnsi="Arial"/>
                <w:sz w:val="18"/>
                <w:szCs w:val="18"/>
                <w:color w:val="auto"/>
                <w:w w:val="92"/>
              </w:rPr>
              <w:t>to</w:t>
            </w:r>
          </w:p>
        </w:tc>
        <w:tc>
          <w:tcPr>
            <w:tcW w:w="2540" w:type="dxa"/>
            <w:vAlign w:val="bottom"/>
            <w:tcBorders>
              <w:bottom w:val="single" w:sz="8" w:color="CEFFE7"/>
            </w:tcBorders>
            <w:shd w:val="clear" w:color="auto" w:fill="CEFFE7"/>
          </w:tcPr>
          <w:p>
            <w:pPr>
              <w:jc w:val="right"/>
              <w:ind w:right="1910"/>
              <w:spacing w:after="0"/>
              <w:rPr>
                <w:sz w:val="20"/>
                <w:szCs w:val="20"/>
                <w:color w:val="auto"/>
              </w:rPr>
            </w:pPr>
            <w:r>
              <w:rPr>
                <w:rFonts w:ascii="Arial" w:cs="Arial" w:eastAsia="Arial" w:hAnsi="Arial"/>
                <w:sz w:val="18"/>
                <w:szCs w:val="18"/>
                <w:color w:val="auto"/>
              </w:rPr>
              <w:t>2036</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180</w:t>
            </w:r>
          </w:p>
        </w:tc>
        <w:tc>
          <w:tcPr>
            <w:tcW w:w="1280" w:type="dxa"/>
            <w:vAlign w:val="bottom"/>
          </w:tcPr>
          <w:p>
            <w:pPr>
              <w:spacing w:after="0"/>
              <w:rPr>
                <w:sz w:val="21"/>
                <w:szCs w:val="21"/>
                <w:color w:val="auto"/>
              </w:rPr>
            </w:pPr>
          </w:p>
        </w:tc>
        <w:tc>
          <w:tcPr>
            <w:tcW w:w="3780" w:type="dxa"/>
            <w:vAlign w:val="bottom"/>
            <w:gridSpan w:val="2"/>
          </w:tcPr>
          <w:p>
            <w:pPr>
              <w:jc w:val="center"/>
              <w:ind w:right="1710"/>
              <w:spacing w:after="0"/>
              <w:rPr>
                <w:sz w:val="20"/>
                <w:szCs w:val="20"/>
                <w:color w:val="auto"/>
              </w:rPr>
            </w:pPr>
            <w:r>
              <w:rPr>
                <w:rFonts w:ascii="Arial" w:cs="Arial" w:eastAsia="Arial" w:hAnsi="Arial"/>
                <w:sz w:val="18"/>
                <w:szCs w:val="18"/>
                <w:color w:val="auto"/>
                <w:w w:val="92"/>
              </w:rPr>
              <w:t>No expiration</w:t>
            </w:r>
          </w:p>
        </w:tc>
      </w:tr>
      <w:tr>
        <w:trPr>
          <w:trHeight w:val="486"/>
        </w:trPr>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139</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9" w:name="page140"/>
    <w:bookmarkEnd w:id="139"/>
    <w:p>
      <w:pPr>
        <w:ind w:right="120"/>
        <w:spacing w:after="0" w:line="272" w:lineRule="auto"/>
        <w:rPr>
          <w:sz w:val="20"/>
          <w:szCs w:val="20"/>
          <w:color w:val="auto"/>
        </w:rPr>
      </w:pPr>
      <w:r>
        <w:rPr>
          <w:rFonts w:ascii="Arial" w:cs="Arial" w:eastAsia="Arial" w:hAnsi="Arial"/>
          <w:sz w:val="17"/>
          <w:szCs w:val="17"/>
          <w:color w:val="auto"/>
        </w:rPr>
        <w:t>As of December 31, 2018, we had an $11 million valuation allowance against the state tax credit carryforwards. Our ability to utilize such credits resulted in an increase of the valuation allowance of approximately $3.5 million of which approximately $1.9 million resulted in an increase to tax expense. The remaining $1.6 million increase is attributable to our regulated business and is being accounted for under the deferral method whereby the credits are amortized to tax expense over the estimated useful life of the underlying asset that generated the credit. The valuation allowance adjustment was primarily attributable to the impact of lower projected apportionment factors resulting in decreased state taxable income in years beyond 2018. Ultimate usage of these credits depends upon our future tax filings. If the valuation allowance is adjusted due to higher or lower than anticipated utilization of the state tax credit carryforwards, the offsetting amount will affect tax expense.</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tab/>
        <w:t>OTHER COMPREHENSIVE INCOME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(Loss)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w w:val="92"/>
              </w:rPr>
              <w:t>Location on the Consolidated Statements of</w:t>
            </w:r>
          </w:p>
        </w:tc>
        <w:tc>
          <w:tcPr>
            <w:tcW w:w="260" w:type="dxa"/>
            <w:vAlign w:val="bottom"/>
          </w:tcPr>
          <w:p>
            <w:pPr>
              <w:spacing w:after="0"/>
              <w:rPr>
                <w:sz w:val="23"/>
                <w:szCs w:val="23"/>
                <w:color w:val="auto"/>
              </w:rPr>
            </w:pPr>
          </w:p>
        </w:tc>
        <w:tc>
          <w:tcPr>
            <w:tcW w:w="292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Amount Reclassified from AOCI</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3380" w:type="dxa"/>
            <w:vAlign w:val="bottom"/>
          </w:tcPr>
          <w:p>
            <w:pPr>
              <w:ind w:left="1200"/>
              <w:spacing w:after="0"/>
              <w:rPr>
                <w:sz w:val="20"/>
                <w:szCs w:val="20"/>
                <w:color w:val="auto"/>
              </w:rPr>
            </w:pPr>
            <w:r>
              <w:rPr>
                <w:rFonts w:ascii="Arial" w:cs="Arial" w:eastAsia="Arial" w:hAnsi="Arial"/>
                <w:sz w:val="18"/>
                <w:szCs w:val="18"/>
                <w:color w:val="auto"/>
              </w:rPr>
              <w:t>Income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Gains and (losses) on cash flow hedges:</w:t>
            </w: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(2,851)</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tcPr>
          <w:p>
            <w:pPr>
              <w:ind w:left="10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6"/>
              </w:rPr>
              <w:t>Fuel, purchased power and cost of natural</w:t>
            </w:r>
          </w:p>
        </w:tc>
        <w:tc>
          <w:tcPr>
            <w:tcW w:w="26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EFFE7"/>
          </w:tcPr>
          <w:p>
            <w:pPr>
              <w:spacing w:after="0"/>
              <w:rPr>
                <w:sz w:val="20"/>
                <w:szCs w:val="20"/>
                <w:color w:val="auto"/>
              </w:rPr>
            </w:pPr>
          </w:p>
        </w:tc>
        <w:tc>
          <w:tcPr>
            <w:tcW w:w="3380" w:type="dxa"/>
            <w:vAlign w:val="bottom"/>
            <w:shd w:val="clear" w:color="auto" w:fill="CEFFE7"/>
          </w:tcPr>
          <w:p>
            <w:pPr>
              <w:ind w:left="100"/>
              <w:spacing w:after="0"/>
              <w:rPr>
                <w:sz w:val="20"/>
                <w:szCs w:val="20"/>
                <w:color w:val="auto"/>
              </w:rPr>
            </w:pPr>
            <w:r>
              <w:rPr>
                <w:rFonts w:ascii="Arial" w:cs="Arial" w:eastAsia="Arial" w:hAnsi="Arial"/>
                <w:sz w:val="18"/>
                <w:szCs w:val="18"/>
                <w:color w:val="auto"/>
              </w:rPr>
              <w:t>gas sold</w:t>
            </w:r>
          </w:p>
        </w:tc>
        <w:tc>
          <w:tcPr>
            <w:tcW w:w="260" w:type="dxa"/>
            <w:vAlign w:val="bottom"/>
            <w:shd w:val="clear" w:color="auto" w:fill="CEFFE7"/>
          </w:tcPr>
          <w:p>
            <w:pPr>
              <w:spacing w:after="0"/>
              <w:rPr>
                <w:sz w:val="20"/>
                <w:szCs w:val="20"/>
                <w:color w:val="auto"/>
              </w:rPr>
            </w:pPr>
          </w:p>
        </w:tc>
        <w:tc>
          <w:tcPr>
            <w:tcW w:w="13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EFFE7"/>
          </w:tcPr>
          <w:p>
            <w:pPr>
              <w:spacing w:after="0"/>
              <w:rPr>
                <w:sz w:val="20"/>
                <w:szCs w:val="20"/>
                <w:color w:val="auto"/>
              </w:rPr>
            </w:pP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EFFE7"/>
            </w:tcBorders>
            <w:shd w:val="clear" w:color="auto" w:fill="CEFFE7"/>
          </w:tcPr>
          <w:p>
            <w:pPr>
              <w:spacing w:after="0"/>
              <w:rPr>
                <w:sz w:val="21"/>
                <w:szCs w:val="21"/>
                <w:color w:val="auto"/>
              </w:rPr>
            </w:pPr>
          </w:p>
        </w:tc>
        <w:tc>
          <w:tcPr>
            <w:tcW w:w="33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vMerge w:val="continue"/>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vMerge w:val="continue"/>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630</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9"/>
        </w:trPr>
        <w:tc>
          <w:tcPr>
            <w:tcW w:w="4860" w:type="dxa"/>
            <w:vAlign w:val="bottom"/>
          </w:tcPr>
          <w:p>
            <w:pPr>
              <w:ind w:left="40"/>
              <w:spacing w:after="0"/>
              <w:rPr>
                <w:sz w:val="20"/>
                <w:szCs w:val="20"/>
                <w:color w:val="auto"/>
              </w:rPr>
            </w:pPr>
            <w:r>
              <w:rPr>
                <w:rFonts w:ascii="Arial" w:cs="Arial" w:eastAsia="Arial" w:hAnsi="Arial"/>
                <w:sz w:val="18"/>
                <w:szCs w:val="18"/>
                <w:color w:val="auto"/>
                <w:w w:val="91"/>
              </w:rPr>
              <w:t>Total reclassification adjustments related to cash flow hedges, net</w:t>
            </w:r>
          </w:p>
        </w:tc>
        <w:tc>
          <w:tcPr>
            <w:tcW w:w="33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(2,351)</w:t>
            </w:r>
          </w:p>
        </w:tc>
        <w:tc>
          <w:tcPr>
            <w:tcW w:w="58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of tax</w:t>
            </w:r>
          </w:p>
        </w:tc>
        <w:tc>
          <w:tcPr>
            <w:tcW w:w="3380" w:type="dxa"/>
            <w:vAlign w:val="bottom"/>
            <w:tcBorders>
              <w:bottom w:val="single" w:sz="8" w:color="CEFFE7"/>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3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178</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Pr>
          <w:p>
            <w:pPr>
              <w:ind w:left="10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(2,487)</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4860" w:type="dxa"/>
            <w:vAlign w:val="bottom"/>
          </w:tcPr>
          <w:p>
            <w:pPr>
              <w:ind w:left="40"/>
              <w:spacing w:after="0"/>
              <w:rPr>
                <w:sz w:val="20"/>
                <w:szCs w:val="20"/>
                <w:color w:val="auto"/>
              </w:rPr>
            </w:pPr>
            <w:r>
              <w:rPr>
                <w:rFonts w:ascii="Arial" w:cs="Arial" w:eastAsia="Arial" w:hAnsi="Arial"/>
                <w:sz w:val="18"/>
                <w:szCs w:val="18"/>
                <w:color w:val="auto"/>
                <w:w w:val="92"/>
              </w:rPr>
              <w:t>Total reclassification adjustments related to defined benefit plans,</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(1,766)</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33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(4,117)</w:t>
            </w:r>
          </w:p>
        </w:tc>
        <w:tc>
          <w:tcPr>
            <w:tcW w:w="5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ind w:left="720"/>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Balances by classification included within AOCI, net of tax on the accompanying Consolidated Balance Sheets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(19,581)</w:t>
            </w:r>
          </w:p>
        </w:tc>
        <w:tc>
          <w:tcPr>
            <w:tcW w:w="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755</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2,155</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2,252</w:t>
            </w:r>
          </w:p>
        </w:tc>
        <w:tc>
          <w:tcPr>
            <w:tcW w:w="7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Reclassification to regulatory asset</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6,519</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Reclassification of certain tax effects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2018</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(17,307)</w:t>
            </w:r>
          </w:p>
        </w:tc>
        <w:tc>
          <w:tcPr>
            <w:tcW w:w="7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(9,937)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231</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(1,890)</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Reclassification of certain tax effects from AOCI</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(3,384)</w:t>
            </w:r>
          </w:p>
        </w:tc>
        <w:tc>
          <w:tcPr>
            <w:tcW w:w="76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(3,616)</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As of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(19,581)</w:t>
            </w:r>
          </w:p>
        </w:tc>
        <w:tc>
          <w:tcPr>
            <w:tcW w:w="7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(17)  SUPPLEMENTAL DISCLOSURE OF CASH FLOW INFORMATION</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540" w:type="dxa"/>
            <w:vAlign w:val="bottom"/>
          </w:tcPr>
          <w:p>
            <w:pPr>
              <w:ind w:left="40"/>
              <w:spacing w:after="0"/>
              <w:rPr>
                <w:sz w:val="20"/>
                <w:szCs w:val="20"/>
                <w:color w:val="auto"/>
              </w:rPr>
            </w:pPr>
            <w:r>
              <w:rPr>
                <w:rFonts w:ascii="Arial" w:cs="Arial" w:eastAsia="Arial" w:hAnsi="Arial"/>
                <w:sz w:val="18"/>
                <w:szCs w:val="18"/>
                <w:color w:val="auto"/>
              </w:rPr>
              <w:t>Years ended December 31,</w:t>
            </w:r>
          </w:p>
        </w:tc>
        <w:tc>
          <w:tcPr>
            <w:tcW w:w="64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1"/>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color w:val="auto"/>
              </w:rPr>
              <w:t>Non-cash investing activities and financing from continuing operations -</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69,017</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28,191</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27,034</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w w:val="93"/>
              </w:rPr>
              <w:t>Increase (decrease) in capitalized assets associated with asset retirement obligations</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2,625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3,198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8,577</w:t>
            </w: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540" w:type="dxa"/>
            <w:vAlign w:val="bottom"/>
            <w:shd w:val="clear" w:color="auto" w:fill="CEFFE7"/>
          </w:tcPr>
          <w:p>
            <w:pPr>
              <w:spacing w:after="0"/>
              <w:rPr>
                <w:sz w:val="24"/>
                <w:szCs w:val="24"/>
                <w:color w:val="auto"/>
              </w:rPr>
            </w:pPr>
          </w:p>
        </w:tc>
        <w:tc>
          <w:tcPr>
            <w:tcW w:w="64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(paid) refunded during the period for continuing operations-</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(net of amount capitalized)</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(137,965)</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(132,428)</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(113,627)</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Income taxes (paid) refunded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(14,730)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1,775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702"/>
        </w:trPr>
        <w:tc>
          <w:tcPr>
            <w:tcW w:w="6540" w:type="dxa"/>
            <w:vAlign w:val="bottom"/>
          </w:tcPr>
          <w:p>
            <w:pPr>
              <w:ind w:left="5580"/>
              <w:spacing w:after="0"/>
              <w:rPr>
                <w:sz w:val="20"/>
                <w:szCs w:val="20"/>
                <w:color w:val="auto"/>
              </w:rPr>
            </w:pPr>
            <w:r>
              <w:rPr>
                <w:rFonts w:ascii="Arial" w:cs="Arial" w:eastAsia="Arial" w:hAnsi="Arial"/>
                <w:sz w:val="18"/>
                <w:szCs w:val="18"/>
                <w:color w:val="auto"/>
              </w:rPr>
              <w:t>141</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1" w:name="page142"/>
    <w:bookmarkEnd w:id="141"/>
    <w:p>
      <w:pPr>
        <w:ind w:right="8440" w:firstLine="8"/>
        <w:spacing w:after="0" w:line="503" w:lineRule="auto"/>
        <w:tabs>
          <w:tab w:leader="none" w:pos="4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Plans</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SourceGas Retirement Savings Plan was merged into the Black Hills Corporation Retirement Savings Plan effective December 31, 2017. The plan design of the Black Hills Corporation 401(k) Plan applies to all eligible employees as of January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(Pension Plan)</w:t>
      </w:r>
    </w:p>
    <w:p>
      <w:pPr>
        <w:spacing w:after="0" w:line="229"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 based criteria.</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2018, the expected rate of return on pension plan assets was based on the targeted asset allocation range of 29% to 37% return-seeking assets and 63% to 71% liability-hedging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is funded in compliance with the federal government’s funding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total plan asset by investment category for our Pension Plan at December 31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3900" w:type="dxa"/>
            <w:vAlign w:val="bottom"/>
            <w:tcBorders>
              <w:bottom w:val="single" w:sz="8" w:color="CEFFE7"/>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17%</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Fixed income</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71</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63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Cash</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Hedge funds</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5</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6</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390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Non-qualified Defined Benefit Plans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various supplemental retirement plans for key executives of the Company. The plans are non-qualified defined benefit and defined contribution plans (Supplemental Plans). The Supplemental Plans are subject to various vesting schedules and are not funded by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fund our Supplemental Plans. We fund on a cash basis as benefits are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Non-pension Defined Benefit Postretirement Healthcare Plans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BHC sponsors retiree healthcare plans (Healthcare Plans) for employees who meet certain age and service requirements at retirement. Healthcare Plan benefits are subject to premiums, deductibles, co-payment provisions and other limitations. A portion of the Healthcare Plans for participating business units are pre-funded via VEBAs. Pre-65 retirees as well as a grandfathered group of post-65 Cheyenne Light, Fuel and Power (“CLFP”) retirees and a grandfathered group of post-65 former SourceGas employees who retired prior to January 1, 2017 receive their retiree medical benefits through the Black Hills self-insured retiree medical plans.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Healthcare coverage for Medicare-eligible BHC and Black Hills Utility Holdings retirees is provided through an individual market healthcare exchange. Medicare-eligible SourceGas employees who retired after December 31, 2016 also receive retiree medical coverage through an individual market healthcare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fund the Healthcare Plans on a cash basis as benefits are paid. The Black Hills Utility Holding and SourceGas Postretirement - AWG Plans provide for partial pre-funding via VEBAs and a Grantor Trust. Assets related to this pre-funding are held in trust and are for the benefit of the union and non-union employees located in the states of Arkansas, Kansas and Iowa. We do not pre-fund the Healthcare Plans for those employees outside Arkansas, Kansas and Iowa.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Contributions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Contributions to the Pension Plan are cash contributions made directly to the Master Trust. Healthcare and Supplemental Plan contributions are made in the form of benefit payments. Healthcare benefits include company and participant paid premiums. Contributions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Contribution Plan</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Company retirement contribution</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8,766</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Matching contributions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13,559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Benefit Plans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Non-Pension Defined Benefit Postretirement Healthcare Plans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5,298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gridSpan w:val="4"/>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Plans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2,073</w:t>
            </w:r>
          </w:p>
        </w:tc>
        <w:tc>
          <w:tcPr>
            <w:tcW w:w="44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606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While we do not have required contributions, we expect to make approximately $13 million in contributions to our Pension Plan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their placement within the fair value hierarchy levels.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84" w:right="2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The following tables set forth, by level within the fair value hierarchy, the assets that were accounted for at fair value on a recurring basis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2018</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41"/>
              <w:spacing w:after="0" w:line="240" w:lineRule="exact"/>
              <w:rPr>
                <w:sz w:val="20"/>
                <w:szCs w:val="20"/>
                <w:color w:val="auto"/>
              </w:rPr>
            </w:pPr>
            <w:r>
              <w:rPr>
                <w:rFonts w:ascii="Arial" w:cs="Arial" w:eastAsia="Arial" w:hAnsi="Arial"/>
                <w:sz w:val="27"/>
                <w:szCs w:val="27"/>
                <w:color w:val="auto"/>
                <w:vertAlign w:val="subscript"/>
              </w:rPr>
              <w:t>NAV</w:t>
            </w:r>
            <w:r>
              <w:rPr>
                <w:rFonts w:ascii="Arial" w:cs="Arial" w:eastAsia="Arial" w:hAnsi="Arial"/>
                <w:sz w:val="10"/>
                <w:szCs w:val="10"/>
                <w:color w:val="auto"/>
              </w:rPr>
              <w:t xml:space="preserve"> (a)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1,867</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1,867</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9,923</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9,923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67,457</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67,457</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67,457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279,148</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279,148</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279,148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67</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67</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13,551</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13,618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18,783</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18,783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358,462</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358,462</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41"/>
              <w:spacing w:after="0"/>
              <w:rPr>
                <w:sz w:val="20"/>
                <w:szCs w:val="20"/>
                <w:color w:val="auto"/>
              </w:rPr>
            </w:pPr>
            <w:r>
              <w:rPr>
                <w:rFonts w:ascii="Arial" w:cs="Arial" w:eastAsia="Arial" w:hAnsi="Arial"/>
                <w:sz w:val="16"/>
                <w:szCs w:val="16"/>
                <w:color w:val="auto"/>
              </w:rPr>
              <w:t>32,334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390,796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41"/>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1,280</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1,280</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2,184</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2,184</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109,496</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109,496</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109,496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262,329</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262,329</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262,329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1,728</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1,728</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15,701</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17,429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23,625</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23,625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377,017</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377,017</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41"/>
              <w:spacing w:after="0"/>
              <w:rPr>
                <w:sz w:val="20"/>
                <w:szCs w:val="20"/>
                <w:color w:val="auto"/>
              </w:rPr>
            </w:pPr>
            <w:r>
              <w:rPr>
                <w:rFonts w:ascii="Arial" w:cs="Arial" w:eastAsia="Arial" w:hAnsi="Arial"/>
                <w:sz w:val="16"/>
                <w:szCs w:val="16"/>
                <w:color w:val="auto"/>
              </w:rPr>
              <w:t>39,326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416,343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right="200" w:hanging="332"/>
        <w:spacing w:after="0" w:line="24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ind w:left="40"/>
              <w:spacing w:after="0"/>
              <w:rPr>
                <w:sz w:val="20"/>
                <w:szCs w:val="20"/>
                <w:color w:val="auto"/>
              </w:rPr>
            </w:pPr>
            <w:r>
              <w:rPr>
                <w:rFonts w:ascii="Arial" w:cs="Arial" w:eastAsia="Arial" w:hAnsi="Arial"/>
                <w:sz w:val="16"/>
                <w:szCs w:val="16"/>
                <w:color w:val="auto"/>
                <w:w w:val="99"/>
              </w:rPr>
              <w:t>Non-pension Defined Benefit Postretirement Healthcare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Plans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2018</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239"/>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Level 1</w:t>
            </w:r>
          </w:p>
        </w:tc>
        <w:tc>
          <w:tcPr>
            <w:tcW w:w="340" w:type="dxa"/>
            <w:vAlign w:val="bottom"/>
          </w:tcPr>
          <w:p>
            <w:pPr>
              <w:spacing w:after="0"/>
              <w:rPr>
                <w:sz w:val="20"/>
                <w:szCs w:val="20"/>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Pr>
          <w:p>
            <w:pPr>
              <w:spacing w:after="0"/>
              <w:rPr>
                <w:sz w:val="20"/>
                <w:szCs w:val="20"/>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Pr>
          <w:p>
            <w:pPr>
              <w:spacing w:after="0"/>
              <w:rPr>
                <w:sz w:val="20"/>
                <w:szCs w:val="20"/>
                <w:color w:val="auto"/>
              </w:rPr>
            </w:pPr>
          </w:p>
        </w:tc>
        <w:tc>
          <w:tcPr>
            <w:tcW w:w="920" w:type="dxa"/>
            <w:vAlign w:val="bottom"/>
          </w:tcPr>
          <w:p>
            <w:pPr>
              <w:ind w:left="100"/>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2"/>
              </w:rPr>
              <w:t>Investments</w:t>
            </w: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4,873</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4,873</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4,873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1,005</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1,005</w:t>
            </w:r>
          </w:p>
        </w:tc>
        <w:tc>
          <w:tcPr>
            <w:tcW w:w="3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1,005</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Intermediate-term Bond</w:t>
            </w: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2,284</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2,284</w:t>
            </w:r>
          </w:p>
        </w:tc>
        <w:tc>
          <w:tcPr>
            <w:tcW w:w="3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2,284</w:t>
            </w:r>
          </w:p>
        </w:tc>
      </w:tr>
      <w:tr>
        <w:trPr>
          <w:trHeight w:val="257"/>
        </w:trPr>
        <w:tc>
          <w:tcPr>
            <w:tcW w:w="4000" w:type="dxa"/>
            <w:vAlign w:val="bottom"/>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5,878</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2,284</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8,162</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8,162</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84"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3"/>
        </w:trPr>
        <w:tc>
          <w:tcPr>
            <w:tcW w:w="4000" w:type="dxa"/>
            <w:vAlign w:val="bottom"/>
          </w:tcPr>
          <w:p>
            <w:pPr>
              <w:ind w:left="40"/>
              <w:spacing w:after="0"/>
              <w:rPr>
                <w:sz w:val="20"/>
                <w:szCs w:val="20"/>
                <w:color w:val="auto"/>
              </w:rPr>
            </w:pPr>
            <w:r>
              <w:rPr>
                <w:rFonts w:ascii="Arial" w:cs="Arial" w:eastAsia="Arial" w:hAnsi="Arial"/>
                <w:sz w:val="16"/>
                <w:szCs w:val="16"/>
                <w:color w:val="auto"/>
                <w:w w:val="99"/>
              </w:rPr>
              <w:t>Non-pension Defined Benefit Postretirement Healthcare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Plans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2017</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4,671</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4,671</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1,374</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1,374</w:t>
            </w:r>
          </w:p>
        </w:tc>
        <w:tc>
          <w:tcPr>
            <w:tcW w:w="3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Intermediate-term Bond</w:t>
            </w: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2,576</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2,576</w:t>
            </w:r>
          </w:p>
        </w:tc>
        <w:tc>
          <w:tcPr>
            <w:tcW w:w="3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6,045</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2,576</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8,621</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8,621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right="200" w:hanging="332"/>
        <w:spacing w:after="0" w:line="248"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This represents an investment in Invesco Treasury Portfolio, which is a short-term investment trust, as well as an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Institutional Government Assets Portfolio, which is described as a government money market fund. As shares held reflect quoted prices in an active market, they are categorized as Level 1.</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These represent investments in a combination of equity positions for mainly large cap core allocation and Exchange Trade Funds (ETFs)</w:t>
      </w:r>
      <w:r>
        <w:rPr>
          <w:rFonts w:ascii="Arial" w:cs="Arial" w:eastAsia="Arial" w:hAnsi="Arial"/>
          <w:sz w:val="17"/>
          <w:szCs w:val="17"/>
          <w:i w:val="1"/>
          <w:iCs w:val="1"/>
          <w:color w:val="auto"/>
        </w:rPr>
        <w:t xml:space="preserve"> </w:t>
      </w:r>
      <w:r>
        <w:rPr>
          <w:rFonts w:ascii="Arial" w:cs="Arial" w:eastAsia="Arial" w:hAnsi="Arial"/>
          <w:sz w:val="17"/>
          <w:szCs w:val="17"/>
          <w:color w:val="auto"/>
        </w:rPr>
        <w:t>for diversification into the other sectors of the economy. ETFs are a basket of securities traded like individual stocks on the exchange. Value of equity securities held at year end are based on published market quotations of active markets. The ETF funds can be redeemed on a daily basis at their market price and have no redemption restrictions. As shares held reflect quoted prices in an active market, they are categorized as Level 1.</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Intermediate-term bond: </w:t>
      </w:r>
      <w:r>
        <w:rPr>
          <w:rFonts w:ascii="Arial" w:cs="Arial" w:eastAsia="Arial" w:hAnsi="Arial"/>
          <w:sz w:val="18"/>
          <w:szCs w:val="18"/>
          <w:color w:val="auto"/>
        </w:rPr>
        <w:t>This is comprised of a diversified pool of high quality, individual municipal bonds. Pricing is evaluated using multi-dimensional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relational models, as well as a series of matrices using Standard Inputs, including Municipal Securities Rule Making Board (MSRB) reported trades and material event notices, plus Municipal Market Data (MMD) benchmark yields and new issue data. As the models use observable inputs and standard data, the investments are categorized as Level 2.</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AXA Equitable General Fixed Income Fund</w:t>
      </w:r>
      <w:r>
        <w:rPr>
          <w:rFonts w:ascii="Arial" w:cs="Arial" w:eastAsia="Arial" w:hAnsi="Arial"/>
          <w:sz w:val="17"/>
          <w:szCs w:val="17"/>
          <w:color w:val="auto"/>
        </w:rPr>
        <w:t>: This fund is a diversified portfolio, primarily composed of fixed income instruments. Assets are invested in</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holdings, such as commercial, agricultural and residential mortgages, publicly traded and privately placed bonds and real estate as well as short-term bonds. Fair values of mortgage loans are measured by discounting future contractual cash flows to be received on the mortgage loans using interest rates of loans with similar characteristics. The discount rate is derived from taking the appropriate U.S. Treasury rate with a like term. The fair value of public fixed maturity securities are generally based on prices obtained from independent valuation service providers with reasonableness prices compared with directly observable market trades. The fair value of privately placed securities are determined using a discounted cash flow model. These models use observable inputs with a discount rate based upon the average of spread surveys collected from private market intermediaries and industry sector of the issuer. The Plan’s investments in the AXA Equitable General Fixed Income Fund are categorized as Level 2.</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These funds are valued based upon the redemption price of units held by the Plan, which is based on the current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common collective trust funds’ underlying assets. Unit values are determined by the financial institution sponsoring such funds by dividing the fund’s net assets at fair value by its units outstanding at the valuation dates. The Plan’s investments in common collective trust funds, with the exception of shares of the common collective trust-real estate are categorized as Level 2.</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Common Collective Trust-Real Estate Fund</w:t>
      </w:r>
      <w:r>
        <w:rPr>
          <w:rFonts w:ascii="Arial" w:cs="Arial" w:eastAsia="Arial" w:hAnsi="Arial"/>
          <w:sz w:val="17"/>
          <w:szCs w:val="17"/>
          <w:color w:val="auto"/>
        </w:rPr>
        <w:t>: This fund is valued based on various factors of the underlying real estate properties, including market rent,</w:t>
      </w:r>
      <w:r>
        <w:rPr>
          <w:rFonts w:ascii="Arial" w:cs="Arial" w:eastAsia="Arial" w:hAnsi="Arial"/>
          <w:sz w:val="17"/>
          <w:szCs w:val="17"/>
          <w:i w:val="1"/>
          <w:iCs w:val="1"/>
          <w:color w:val="auto"/>
        </w:rPr>
        <w:t xml:space="preserve"> </w:t>
      </w:r>
      <w:r>
        <w:rPr>
          <w:rFonts w:ascii="Arial" w:cs="Arial" w:eastAsia="Arial" w:hAnsi="Arial"/>
          <w:sz w:val="17"/>
          <w:szCs w:val="17"/>
          <w:color w:val="auto"/>
        </w:rPr>
        <w:t>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The funds without participant withdrawal limitations are categorized as Level 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751"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The following investments are measured at NAV and are not classified in the fair value hierarchy, in accordance with accounting guidance.</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Common Collective Trust-Real Estate Fund</w:t>
      </w:r>
      <w:r>
        <w:rPr>
          <w:rFonts w:ascii="Arial" w:cs="Arial" w:eastAsia="Arial" w:hAnsi="Arial"/>
          <w:sz w:val="18"/>
          <w:szCs w:val="18"/>
          <w:color w:val="auto"/>
        </w:rPr>
        <w:t>: This is the same fund as above except that certain of the funds’ assets contain participant withdrawal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restrictions on redemption and are therefore not included in the fair value hierarchy.</w:t>
      </w:r>
    </w:p>
    <w:p>
      <w:pPr>
        <w:spacing w:after="0" w:line="13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Hedge Funds: </w:t>
      </w:r>
      <w:r>
        <w:rPr>
          <w:rFonts w:ascii="Arial" w:cs="Arial" w:eastAsia="Arial" w:hAnsi="Arial"/>
          <w:sz w:val="17"/>
          <w:szCs w:val="17"/>
          <w:color w:val="auto"/>
        </w:rPr>
        <w:t>These funds represent investments in other investment funds that seek a return utilizing a number of diverse investment strategies.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20% of the shares may be redeemed at the end of each month with a 10-day notice and full redemptions are available at the end of each quarter with 45-day notice, and is limited to a percentage of the total net assets value of the fund. The net asset values are based on the fair value of each fund’s underlying investments. There are no unfunded commitments related to these hedge funds.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 Information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provide a reconciliation of the employee benefit plan obligations, fair value of assets and amounts recognized in the Consolidated Balance Sheets, components of the net periodic expense and elements of AOCI:</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4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20"/>
              <w:spacing w:after="0"/>
              <w:rPr>
                <w:sz w:val="20"/>
                <w:szCs w:val="20"/>
                <w:color w:val="auto"/>
              </w:rPr>
            </w:pPr>
            <w:r>
              <w:rPr>
                <w:rFonts w:ascii="Arial" w:cs="Arial" w:eastAsia="Arial" w:hAnsi="Arial"/>
                <w:sz w:val="18"/>
                <w:szCs w:val="18"/>
                <w:color w:val="auto"/>
                <w:w w:val="92"/>
              </w:rPr>
              <w:t>Defined Benefit Pension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color w:val="auto"/>
                <w:w w:val="94"/>
              </w:rPr>
              <w:t>Supplemental Non-qualified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Postretirement Healthcare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Plan</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jc w:val="right"/>
              <w:ind w:right="250"/>
              <w:spacing w:after="0"/>
              <w:rPr>
                <w:sz w:val="20"/>
                <w:szCs w:val="20"/>
                <w:color w:val="auto"/>
              </w:rPr>
            </w:pPr>
            <w:r>
              <w:rPr>
                <w:rFonts w:ascii="Arial" w:cs="Arial" w:eastAsia="Arial" w:hAnsi="Arial"/>
                <w:sz w:val="18"/>
                <w:szCs w:val="18"/>
                <w:color w:val="auto"/>
              </w:rPr>
              <w:t>Defined Benefit Plans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left="631"/>
              <w:spacing w:after="0"/>
              <w:rPr>
                <w:sz w:val="20"/>
                <w:szCs w:val="20"/>
                <w:color w:val="auto"/>
              </w:rPr>
            </w:pPr>
            <w:r>
              <w:rPr>
                <w:rFonts w:ascii="Arial" w:cs="Arial" w:eastAsia="Arial" w:hAnsi="Arial"/>
                <w:sz w:val="18"/>
                <w:szCs w:val="18"/>
                <w:color w:val="auto"/>
                <w:w w:val="88"/>
              </w:rPr>
              <w:t>Plans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As of December 31 (in thousands),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780" w:type="dxa"/>
            <w:vAlign w:val="bottom"/>
            <w:gridSpan w:val="3"/>
            <w:vMerge w:val="restart"/>
          </w:tcPr>
          <w:p>
            <w:pPr>
              <w:ind w:left="40"/>
              <w:spacing w:after="0"/>
              <w:rPr>
                <w:sz w:val="20"/>
                <w:szCs w:val="20"/>
                <w:color w:val="auto"/>
              </w:rPr>
            </w:pPr>
            <w:r>
              <w:rPr>
                <w:rFonts w:ascii="Arial" w:cs="Arial" w:eastAsia="Arial" w:hAnsi="Arial"/>
                <w:sz w:val="18"/>
                <w:szCs w:val="18"/>
                <w:color w:val="auto"/>
              </w:rPr>
              <w:t>Change in benefit obligation:</w:t>
            </w: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w w:val="97"/>
              </w:rPr>
              <w:t>Projected benefit obligation at beginning of year</w:t>
            </w:r>
          </w:p>
        </w:tc>
        <w:tc>
          <w:tcPr>
            <w:tcW w:w="2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gridSpan w:val="2"/>
            <w:shd w:val="clear" w:color="auto" w:fill="CEFFE7"/>
          </w:tcPr>
          <w:p>
            <w:pPr>
              <w:jc w:val="center"/>
              <w:ind w:lef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474,725</w:t>
            </w:r>
          </w:p>
        </w:tc>
        <w:tc>
          <w:tcPr>
            <w:tcW w:w="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440,179</w:t>
            </w:r>
          </w:p>
        </w:tc>
        <w:tc>
          <w:tcPr>
            <w:tcW w:w="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45,112</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43,869</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69,339</w:t>
            </w:r>
          </w:p>
        </w:tc>
        <w:tc>
          <w:tcPr>
            <w:tcW w:w="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68,023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6,834</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2,291</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15,470</w:t>
            </w:r>
          </w:p>
        </w:tc>
        <w:tc>
          <w:tcPr>
            <w:tcW w:w="2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15,520</w:t>
            </w:r>
          </w:p>
        </w:tc>
        <w:tc>
          <w:tcPr>
            <w:tcW w:w="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1,170</w:t>
            </w: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2,085</w:t>
            </w:r>
          </w:p>
        </w:tc>
        <w:tc>
          <w:tcPr>
            <w:tcW w:w="3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(31,340)</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36,661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(9,045)</w:t>
            </w: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Amendments</w:t>
            </w:r>
          </w:p>
        </w:tc>
        <w:tc>
          <w:tcPr>
            <w:tcW w:w="2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(20,308)</w:t>
            </w:r>
          </w:p>
        </w:tc>
        <w:tc>
          <w:tcPr>
            <w:tcW w:w="200" w:type="dxa"/>
            <w:vAlign w:val="bottom"/>
          </w:tcPr>
          <w:p>
            <w:pPr>
              <w:spacing w:after="0"/>
              <w:rPr>
                <w:sz w:val="21"/>
                <w:szCs w:val="21"/>
                <w:color w:val="auto"/>
              </w:rPr>
            </w:pPr>
          </w:p>
        </w:tc>
        <w:tc>
          <w:tcPr>
            <w:tcW w:w="900" w:type="dxa"/>
            <w:vAlign w:val="bottom"/>
            <w:gridSpan w:val="2"/>
          </w:tcPr>
          <w:p>
            <w:pPr>
              <w:jc w:val="right"/>
              <w:ind w:right="25"/>
              <w:spacing w:after="0"/>
              <w:rPr>
                <w:sz w:val="20"/>
                <w:szCs w:val="20"/>
                <w:color w:val="auto"/>
              </w:rPr>
            </w:pPr>
            <w:r>
              <w:rPr>
                <w:rFonts w:ascii="Arial" w:cs="Arial" w:eastAsia="Arial" w:hAnsi="Arial"/>
                <w:sz w:val="18"/>
                <w:szCs w:val="18"/>
                <w:color w:val="auto"/>
              </w:rPr>
              <w:t>(24,669)</w:t>
            </w: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(2,073)</w:t>
            </w: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260" w:type="dxa"/>
            <w:vAlign w:val="bottom"/>
          </w:tcPr>
          <w:p>
            <w:pPr>
              <w:spacing w:after="0"/>
              <w:rPr>
                <w:sz w:val="21"/>
                <w:szCs w:val="21"/>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(5,298)</w:t>
            </w:r>
          </w:p>
        </w:tc>
        <w:tc>
          <w:tcPr>
            <w:tcW w:w="860" w:type="dxa"/>
            <w:vAlign w:val="bottom"/>
          </w:tcPr>
          <w:p>
            <w:pPr>
              <w:jc w:val="right"/>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Plan participants’ contributions</w:t>
            </w:r>
          </w:p>
        </w:tc>
        <w:tc>
          <w:tcPr>
            <w:tcW w:w="28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1,445</w:t>
            </w:r>
          </w:p>
        </w:tc>
        <w:tc>
          <w:tcPr>
            <w:tcW w:w="38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5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445,381</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474,725</w:t>
            </w:r>
          </w:p>
        </w:tc>
        <w:tc>
          <w:tcPr>
            <w:tcW w:w="1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43,010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45,112</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60,817</w:t>
            </w:r>
          </w:p>
        </w:tc>
        <w:tc>
          <w:tcPr>
            <w:tcW w:w="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69,339</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Employee Benefit Plan Assets</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8"/>
                <w:szCs w:val="18"/>
                <w:color w:val="auto"/>
                <w:w w:val="95"/>
              </w:rPr>
              <w:t>Defined Benefit</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vMerge w:val="restart"/>
          </w:tcPr>
          <w:p>
            <w:pPr>
              <w:jc w:val="right"/>
              <w:ind w:right="270"/>
              <w:spacing w:after="0"/>
              <w:rPr>
                <w:sz w:val="20"/>
                <w:szCs w:val="20"/>
                <w:color w:val="auto"/>
              </w:rPr>
            </w:pPr>
            <w:r>
              <w:rPr>
                <w:rFonts w:ascii="Arial" w:cs="Arial" w:eastAsia="Arial" w:hAnsi="Arial"/>
                <w:sz w:val="18"/>
                <w:szCs w:val="18"/>
                <w:color w:val="auto"/>
                <w:w w:val="94"/>
              </w:rPr>
              <w:t>Supplemental Non-qualified</w:t>
            </w:r>
          </w:p>
        </w:tc>
        <w:tc>
          <w:tcPr>
            <w:tcW w:w="120" w:type="dxa"/>
            <w:vAlign w:val="bottom"/>
          </w:tcPr>
          <w:p>
            <w:pPr>
              <w:spacing w:after="0"/>
              <w:rPr>
                <w:sz w:val="24"/>
                <w:szCs w:val="24"/>
                <w:color w:val="auto"/>
              </w:rPr>
            </w:pPr>
          </w:p>
        </w:tc>
        <w:tc>
          <w:tcPr>
            <w:tcW w:w="2360" w:type="dxa"/>
            <w:vAlign w:val="bottom"/>
            <w:gridSpan w:val="4"/>
          </w:tcPr>
          <w:p>
            <w:pPr>
              <w:jc w:val="center"/>
              <w:ind w:right="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2480" w:type="dxa"/>
            <w:vAlign w:val="bottom"/>
            <w:gridSpan w:val="5"/>
            <w:vMerge w:val="restart"/>
          </w:tcPr>
          <w:p>
            <w:pPr>
              <w:jc w:val="center"/>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8"/>
                <w:szCs w:val="18"/>
                <w:color w:val="auto"/>
                <w:w w:val="98"/>
              </w:rPr>
              <w:t>Pension Plan</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40" w:type="dxa"/>
            <w:vAlign w:val="bottom"/>
            <w:gridSpan w:val="4"/>
            <w:vMerge w:val="restart"/>
          </w:tcPr>
          <w:p>
            <w:pPr>
              <w:jc w:val="right"/>
              <w:ind w:right="490"/>
              <w:spacing w:after="0"/>
              <w:rPr>
                <w:sz w:val="20"/>
                <w:szCs w:val="20"/>
                <w:color w:val="auto"/>
              </w:rPr>
            </w:pPr>
            <w:r>
              <w:rPr>
                <w:rFonts w:ascii="Arial" w:cs="Arial" w:eastAsia="Arial" w:hAnsi="Arial"/>
                <w:sz w:val="18"/>
                <w:szCs w:val="18"/>
                <w:color w:val="auto"/>
                <w:w w:val="94"/>
              </w:rPr>
              <w:t>Defined Benefit Plans</w:t>
            </w:r>
          </w:p>
        </w:tc>
        <w:tc>
          <w:tcPr>
            <w:tcW w:w="2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left="371"/>
              <w:spacing w:after="0"/>
              <w:rPr>
                <w:sz w:val="20"/>
                <w:szCs w:val="20"/>
                <w:color w:val="auto"/>
              </w:rPr>
            </w:pPr>
            <w:r>
              <w:rPr>
                <w:rFonts w:ascii="Arial" w:cs="Arial" w:eastAsia="Arial" w:hAnsi="Arial"/>
                <w:sz w:val="13"/>
                <w:szCs w:val="13"/>
                <w:color w:val="auto"/>
                <w:w w:val="87"/>
              </w:rPr>
              <w:t>(a)</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As of December 31 (in thousands),</w:t>
            </w:r>
          </w:p>
        </w:tc>
        <w:tc>
          <w:tcPr>
            <w:tcW w:w="280" w:type="dxa"/>
            <w:vAlign w:val="bottom"/>
          </w:tcPr>
          <w:p>
            <w:pPr>
              <w:spacing w:after="0"/>
              <w:rPr>
                <w:sz w:val="20"/>
                <w:szCs w:val="20"/>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8"/>
                <w:szCs w:val="18"/>
                <w:color w:val="auto"/>
                <w:w w:val="89"/>
              </w:rPr>
              <w:t>2018</w:t>
            </w:r>
          </w:p>
        </w:tc>
        <w:tc>
          <w:tcPr>
            <w:tcW w:w="32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8"/>
                <w:szCs w:val="18"/>
                <w:color w:val="auto"/>
                <w:w w:val="94"/>
              </w:rPr>
              <w:t>2018</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3780" w:type="dxa"/>
            <w:vAlign w:val="bottom"/>
            <w:gridSpan w:val="3"/>
            <w:vMerge w:val="restart"/>
          </w:tcPr>
          <w:p>
            <w:pPr>
              <w:ind w:left="40"/>
              <w:spacing w:after="0"/>
              <w:rPr>
                <w:sz w:val="20"/>
                <w:szCs w:val="20"/>
                <w:color w:val="auto"/>
              </w:rPr>
            </w:pPr>
            <w:r>
              <w:rPr>
                <w:rFonts w:ascii="Arial" w:cs="Arial" w:eastAsia="Arial" w:hAnsi="Arial"/>
                <w:sz w:val="18"/>
                <w:szCs w:val="18"/>
                <w:color w:val="auto"/>
              </w:rPr>
              <w:t>Change in fair value of plan assets:</w:t>
            </w: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Beginning fair value of plan assets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gridSpan w:val="3"/>
            <w:shd w:val="clear" w:color="auto" w:fill="CEFFE7"/>
          </w:tcPr>
          <w:p>
            <w:pPr>
              <w:jc w:val="right"/>
              <w:ind w:right="30"/>
              <w:spacing w:after="0"/>
              <w:rPr>
                <w:sz w:val="20"/>
                <w:szCs w:val="20"/>
                <w:color w:val="auto"/>
              </w:rPr>
            </w:pPr>
            <w:r>
              <w:rPr>
                <w:rFonts w:ascii="Arial" w:cs="Arial" w:eastAsia="Arial" w:hAnsi="Arial"/>
                <w:sz w:val="18"/>
                <w:szCs w:val="18"/>
                <w:color w:val="auto"/>
              </w:rPr>
              <w:t>416,343</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EFFE7"/>
            </w:tcBorders>
            <w:gridSpan w:val="2"/>
            <w:shd w:val="clear" w:color="auto" w:fill="CEFFE7"/>
          </w:tcPr>
          <w:p>
            <w:pPr>
              <w:jc w:val="right"/>
              <w:ind w:right="150"/>
              <w:spacing w:after="0"/>
              <w:rPr>
                <w:sz w:val="20"/>
                <w:szCs w:val="20"/>
                <w:color w:val="auto"/>
              </w:rPr>
            </w:pPr>
            <w:r>
              <w:rPr>
                <w:rFonts w:ascii="Arial" w:cs="Arial" w:eastAsia="Arial" w:hAnsi="Arial"/>
                <w:sz w:val="18"/>
                <w:szCs w:val="18"/>
                <w:color w:val="auto"/>
              </w:rPr>
              <w:t>364,695</w:t>
            </w:r>
          </w:p>
        </w:tc>
        <w:tc>
          <w:tcPr>
            <w:tcW w:w="160" w:type="dxa"/>
            <w:vAlign w:val="bottom"/>
            <w:tcBorders>
              <w:bottom w:val="single" w:sz="8" w:color="CEFFE7"/>
            </w:tcBorders>
            <w:shd w:val="clear" w:color="auto" w:fill="CEFFE7"/>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1"/>
              <w:spacing w:after="0"/>
              <w:rPr>
                <w:sz w:val="20"/>
                <w:szCs w:val="20"/>
                <w:color w:val="auto"/>
              </w:rPr>
            </w:pPr>
            <w:r>
              <w:rPr>
                <w:rFonts w:ascii="Arial" w:cs="Arial" w:eastAsia="Arial" w:hAnsi="Arial"/>
                <w:sz w:val="18"/>
                <w:szCs w:val="18"/>
                <w:color w:val="auto"/>
              </w:rPr>
              <w:t>8,621</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Investment income (loss)</w:t>
            </w: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(17,939)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w w:val="87"/>
              </w:rPr>
              <w:t>48,617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Employer contributions</w:t>
            </w:r>
          </w:p>
        </w:tc>
        <w:tc>
          <w:tcPr>
            <w:tcW w:w="2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gridSpan w:val="3"/>
            <w:shd w:val="clear" w:color="auto" w:fill="CEFFE7"/>
          </w:tcPr>
          <w:p>
            <w:pPr>
              <w:jc w:val="right"/>
              <w:ind w:right="30"/>
              <w:spacing w:after="0"/>
              <w:rPr>
                <w:sz w:val="20"/>
                <w:szCs w:val="20"/>
                <w:color w:val="auto"/>
              </w:rPr>
            </w:pPr>
            <w:r>
              <w:rPr>
                <w:rFonts w:ascii="Arial" w:cs="Arial" w:eastAsia="Arial" w:hAnsi="Arial"/>
                <w:sz w:val="18"/>
                <w:szCs w:val="18"/>
                <w:color w:val="auto"/>
              </w:rPr>
              <w:t>12,700</w:t>
            </w:r>
          </w:p>
        </w:tc>
        <w:tc>
          <w:tcPr>
            <w:tcW w:w="3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87"/>
              </w:rPr>
              <w:t>27,700</w:t>
            </w:r>
          </w:p>
        </w:tc>
        <w:tc>
          <w:tcPr>
            <w:tcW w:w="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2,073</w:t>
            </w:r>
          </w:p>
        </w:tc>
        <w:tc>
          <w:tcPr>
            <w:tcW w:w="2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1"/>
              <w:spacing w:after="0"/>
              <w:rPr>
                <w:sz w:val="20"/>
                <w:szCs w:val="20"/>
                <w:color w:val="auto"/>
              </w:rPr>
            </w:pPr>
            <w:r>
              <w:rPr>
                <w:rFonts w:ascii="Arial" w:cs="Arial" w:eastAsia="Arial" w:hAnsi="Arial"/>
                <w:sz w:val="18"/>
                <w:szCs w:val="18"/>
                <w:color w:val="auto"/>
              </w:rPr>
              <w:t>3,543</w:t>
            </w:r>
          </w:p>
        </w:tc>
        <w:tc>
          <w:tcPr>
            <w:tcW w:w="3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Retiree contributions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1,445</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(20,308)</w:t>
            </w:r>
          </w:p>
        </w:tc>
        <w:tc>
          <w:tcPr>
            <w:tcW w:w="3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gridSpan w:val="2"/>
            <w:shd w:val="clear" w:color="auto" w:fill="CEFFE7"/>
          </w:tcPr>
          <w:p>
            <w:pPr>
              <w:jc w:val="right"/>
              <w:ind w:right="90"/>
              <w:spacing w:after="0"/>
              <w:rPr>
                <w:sz w:val="20"/>
                <w:szCs w:val="20"/>
                <w:color w:val="auto"/>
              </w:rPr>
            </w:pPr>
            <w:r>
              <w:rPr>
                <w:rFonts w:ascii="Arial" w:cs="Arial" w:eastAsia="Arial" w:hAnsi="Arial"/>
                <w:sz w:val="18"/>
                <w:szCs w:val="18"/>
                <w:color w:val="auto"/>
              </w:rPr>
              <w:t>(24,669)</w:t>
            </w:r>
          </w:p>
        </w:tc>
        <w:tc>
          <w:tcPr>
            <w:tcW w:w="16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(2,073)</w:t>
            </w:r>
          </w:p>
        </w:tc>
        <w:tc>
          <w:tcPr>
            <w:tcW w:w="28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(5,298)</w:t>
            </w:r>
          </w:p>
        </w:tc>
        <w:tc>
          <w:tcPr>
            <w:tcW w:w="38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5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Ending fair value of plan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390,796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416,343</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8,162</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w:t>
            </w:r>
          </w:p>
        </w:tc>
        <w:tc>
          <w:tcPr>
            <w:tcW w:w="15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0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3"/>
          </w:tcPr>
          <w:p>
            <w:pPr>
              <w:spacing w:after="0"/>
              <w:rPr>
                <w:sz w:val="20"/>
                <w:szCs w:val="20"/>
                <w:color w:val="auto"/>
              </w:rPr>
            </w:pPr>
            <w:r>
              <w:rPr>
                <w:rFonts w:ascii="Arial" w:cs="Arial" w:eastAsia="Arial" w:hAnsi="Arial"/>
                <w:sz w:val="16"/>
                <w:szCs w:val="16"/>
                <w:color w:val="auto"/>
              </w:rPr>
              <w:t>(a)  Assets of VEBAs and Grantor Trust.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w w:val="79"/>
              </w:rPr>
              <w:t>146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The funded status of the plans and the amounts recognized in the Consolidated Balance Sheets at December 31 consist of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right="190"/>
              <w:spacing w:after="0"/>
              <w:rPr>
                <w:sz w:val="20"/>
                <w:szCs w:val="20"/>
                <w:color w:val="auto"/>
              </w:rPr>
            </w:pPr>
            <w:r>
              <w:rPr>
                <w:rFonts w:ascii="Arial" w:cs="Arial" w:eastAsia="Arial" w:hAnsi="Arial"/>
                <w:sz w:val="18"/>
                <w:szCs w:val="18"/>
                <w:color w:val="auto"/>
                <w:w w:val="94"/>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 w:type="dxa"/>
            <w:vAlign w:val="bottom"/>
          </w:tcPr>
          <w:p>
            <w:pPr>
              <w:spacing w:after="0"/>
              <w:rPr>
                <w:sz w:val="18"/>
                <w:szCs w:val="18"/>
                <w:color w:val="auto"/>
              </w:rPr>
            </w:pPr>
          </w:p>
        </w:tc>
        <w:tc>
          <w:tcPr>
            <w:tcW w:w="23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Non-pension Defined Benefit</w:t>
            </w:r>
          </w:p>
        </w:tc>
      </w:tr>
      <w:tr>
        <w:trPr>
          <w:trHeight w:val="230"/>
        </w:trPr>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60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Postretirement Healthcare Plans</w:t>
            </w:r>
          </w:p>
        </w:tc>
      </w:tr>
      <w:tr>
        <w:trPr>
          <w:trHeight w:val="27"/>
        </w:trPr>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236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Regulatory assets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82,919</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72,756</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6,655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11,507</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1,463</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3,885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4,423</w:t>
            </w:r>
          </w:p>
        </w:tc>
      </w:tr>
      <w:tr>
        <w:trPr>
          <w:trHeight w:val="27"/>
        </w:trPr>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54,585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58,381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41,547</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49,015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56,365</w:t>
            </w:r>
          </w:p>
        </w:tc>
      </w:tr>
      <w:tr>
        <w:trPr>
          <w:trHeight w:val="27"/>
        </w:trPr>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Regulatory liabilities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4,620</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5,232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3,334</w:t>
            </w:r>
          </w:p>
        </w:tc>
      </w:tr>
      <w:tr>
        <w:trPr>
          <w:trHeight w:val="392"/>
        </w:trPr>
        <w:tc>
          <w:tcPr>
            <w:tcW w:w="366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00"/>
        </w:trPr>
        <w:tc>
          <w:tcPr>
            <w:tcW w:w="23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right="190"/>
              <w:spacing w:after="0"/>
              <w:rPr>
                <w:sz w:val="20"/>
                <w:szCs w:val="20"/>
                <w:color w:val="auto"/>
              </w:rPr>
            </w:pPr>
            <w:r>
              <w:rPr>
                <w:rFonts w:ascii="Arial" w:cs="Arial" w:eastAsia="Arial" w:hAnsi="Arial"/>
                <w:sz w:val="18"/>
                <w:szCs w:val="18"/>
                <w:color w:val="auto"/>
                <w:w w:val="94"/>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 w:type="dxa"/>
            <w:vAlign w:val="bottom"/>
          </w:tcPr>
          <w:p>
            <w:pPr>
              <w:spacing w:after="0"/>
              <w:rPr>
                <w:sz w:val="18"/>
                <w:szCs w:val="18"/>
                <w:color w:val="auto"/>
              </w:rPr>
            </w:pPr>
          </w:p>
        </w:tc>
        <w:tc>
          <w:tcPr>
            <w:tcW w:w="23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Non-pension Defined Benefit</w:t>
            </w:r>
          </w:p>
        </w:tc>
      </w:tr>
      <w:tr>
        <w:trPr>
          <w:trHeight w:val="230"/>
        </w:trPr>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60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Postretirement Healthcare Plans</w:t>
            </w:r>
          </w:p>
        </w:tc>
      </w:tr>
      <w:tr>
        <w:trPr>
          <w:trHeight w:val="27"/>
        </w:trPr>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As of December 31 (in thousands)</w:t>
            </w: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236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428,851</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450,394</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40,530</w:t>
            </w:r>
          </w:p>
        </w:tc>
        <w:tc>
          <w:tcPr>
            <w:tcW w:w="400" w:type="dxa"/>
            <w:vAlign w:val="bottom"/>
            <w:tcBorders>
              <w:bottom w:val="single" w:sz="8" w:color="auto"/>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41,243</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60,817</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69,339</w:t>
            </w:r>
          </w:p>
        </w:tc>
      </w:tr>
      <w:tr>
        <w:trPr>
          <w:trHeight w:val="20"/>
        </w:trPr>
        <w:tc>
          <w:tcPr>
            <w:tcW w:w="2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Periodic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expense consisted of the following for the year ended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Defined Benefit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8"/>
                <w:szCs w:val="18"/>
                <w:color w:val="auto"/>
                <w:w w:val="90"/>
              </w:rPr>
              <w:t>Supplemental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Pension Plan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40" w:type="dxa"/>
            <w:vAlign w:val="bottom"/>
            <w:gridSpan w:val="6"/>
          </w:tcPr>
          <w:p>
            <w:pPr>
              <w:ind w:left="120"/>
              <w:spacing w:after="0"/>
              <w:rPr>
                <w:sz w:val="20"/>
                <w:szCs w:val="20"/>
                <w:color w:val="auto"/>
              </w:rPr>
            </w:pPr>
            <w:r>
              <w:rPr>
                <w:rFonts w:ascii="Arial" w:cs="Arial" w:eastAsia="Arial" w:hAnsi="Arial"/>
                <w:sz w:val="18"/>
                <w:szCs w:val="18"/>
                <w:color w:val="auto"/>
                <w:w w:val="95"/>
              </w:rPr>
              <w:t>Non-qualified Defined Benefit Plans</w:t>
            </w:r>
          </w:p>
        </w:tc>
        <w:tc>
          <w:tcPr>
            <w:tcW w:w="220" w:type="dxa"/>
            <w:vAlign w:val="bottom"/>
          </w:tcPr>
          <w:p>
            <w:pPr>
              <w:spacing w:after="0"/>
              <w:rPr>
                <w:sz w:val="20"/>
                <w:szCs w:val="20"/>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6,834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7,034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7,619</w:t>
            </w:r>
          </w:p>
        </w:tc>
        <w:tc>
          <w:tcPr>
            <w:tcW w:w="26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1,764</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1,335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2,300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15,470</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15,520</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15,743</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assets</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(24,741)</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(24,517)</w:t>
            </w: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(23,062)</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9"/>
              </w:rPr>
              <w:t>Net amortization of prior service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Recognized net actuarial loss (gain)</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8,632</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4,007</w:t>
            </w: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7,173</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499</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Settlement expense</w:t>
            </w:r>
            <w:r>
              <w:rPr>
                <w:rFonts w:ascii="Arial" w:cs="Arial" w:eastAsia="Arial" w:hAnsi="Arial"/>
                <w:sz w:val="25"/>
                <w:szCs w:val="25"/>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expense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6,253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2,102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7,541</w:t>
            </w:r>
          </w:p>
        </w:tc>
        <w:tc>
          <w:tcPr>
            <w:tcW w:w="26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3,936</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3,825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3,423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3,879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4,214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Settlement expense is the result of lump-sum payments on the SourceGas Retirement Plan in excess of interest and service costs for the year.</w:t>
      </w:r>
    </w:p>
    <w:p>
      <w:pPr>
        <w:spacing w:after="0" w:line="1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year ended December 31, 2018, service costs were recorded in Operations and maintenance expense while non-service costs were recorded in Other expense, on the Consolidated Statements of Income. For the years ended December 31, 2017 and 2016, service costs and non-service costs were recorded in Operations and maintenance expense. Because prior years’ costs were not considered material, they were not reclassified on the Consolidated Statements of Income. See Note 1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58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auto"/>
        </w:rPr>
        <w:t>AOCI</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defined benefit plans, amounts included in AOCI, after-tax, that have not yet been recognized as components of net periodic benefit cost at December 31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Supplemental</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Defined Benefit</w:t>
            </w:r>
          </w:p>
        </w:tc>
        <w:tc>
          <w:tcPr>
            <w:tcW w:w="540" w:type="dxa"/>
            <w:vAlign w:val="bottom"/>
          </w:tcPr>
          <w:p>
            <w:pPr>
              <w:spacing w:after="0"/>
              <w:rPr>
                <w:sz w:val="18"/>
                <w:szCs w:val="18"/>
                <w:color w:val="auto"/>
              </w:rPr>
            </w:pPr>
          </w:p>
        </w:tc>
        <w:tc>
          <w:tcPr>
            <w:tcW w:w="2700" w:type="dxa"/>
            <w:vAlign w:val="bottom"/>
            <w:gridSpan w:val="4"/>
          </w:tcPr>
          <w:p>
            <w:pPr>
              <w:jc w:val="center"/>
              <w:ind w:left="270"/>
              <w:spacing w:after="0"/>
              <w:rPr>
                <w:sz w:val="20"/>
                <w:szCs w:val="20"/>
                <w:color w:val="auto"/>
              </w:rPr>
            </w:pPr>
            <w:r>
              <w:rPr>
                <w:rFonts w:ascii="Arial" w:cs="Arial" w:eastAsia="Arial" w:hAnsi="Arial"/>
                <w:sz w:val="18"/>
                <w:szCs w:val="18"/>
                <w:color w:val="auto"/>
                <w:w w:val="94"/>
              </w:rPr>
              <w:t>Non-qualified Defined Benefit</w:t>
            </w:r>
          </w:p>
        </w:tc>
        <w:tc>
          <w:tcPr>
            <w:tcW w:w="2640" w:type="dxa"/>
            <w:vAlign w:val="bottom"/>
            <w:gridSpan w:val="4"/>
          </w:tcPr>
          <w:p>
            <w:pPr>
              <w:ind w:left="340"/>
              <w:spacing w:after="0"/>
              <w:rPr>
                <w:sz w:val="20"/>
                <w:szCs w:val="20"/>
                <w:color w:val="auto"/>
              </w:rPr>
            </w:pPr>
            <w:r>
              <w:rPr>
                <w:rFonts w:ascii="Arial" w:cs="Arial" w:eastAsia="Arial" w:hAnsi="Arial"/>
                <w:sz w:val="18"/>
                <w:szCs w:val="18"/>
                <w:color w:val="auto"/>
                <w:w w:val="99"/>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Pension Plan</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2"/>
          </w:tcPr>
          <w:p>
            <w:pPr>
              <w:jc w:val="center"/>
              <w:ind w:left="750"/>
              <w:spacing w:after="0"/>
              <w:rPr>
                <w:sz w:val="20"/>
                <w:szCs w:val="20"/>
                <w:color w:val="auto"/>
              </w:rPr>
            </w:pPr>
            <w:r>
              <w:rPr>
                <w:rFonts w:ascii="Arial" w:cs="Arial" w:eastAsia="Arial" w:hAnsi="Arial"/>
                <w:sz w:val="18"/>
                <w:szCs w:val="18"/>
                <w:color w:val="auto"/>
                <w:w w:val="84"/>
              </w:rPr>
              <w:t>Plans</w:t>
            </w:r>
          </w:p>
        </w:tc>
        <w:tc>
          <w:tcPr>
            <w:tcW w:w="960" w:type="dxa"/>
            <w:vAlign w:val="bottom"/>
          </w:tcPr>
          <w:p>
            <w:pPr>
              <w:spacing w:after="0"/>
              <w:rPr>
                <w:sz w:val="20"/>
                <w:szCs w:val="20"/>
                <w:color w:val="auto"/>
              </w:rPr>
            </w:pPr>
          </w:p>
        </w:tc>
        <w:tc>
          <w:tcPr>
            <w:tcW w:w="2640" w:type="dxa"/>
            <w:vAlign w:val="bottom"/>
            <w:gridSpan w:val="4"/>
          </w:tcPr>
          <w:p>
            <w:pPr>
              <w:ind w:left="240"/>
              <w:spacing w:after="0"/>
              <w:rPr>
                <w:sz w:val="20"/>
                <w:szCs w:val="20"/>
                <w:color w:val="auto"/>
              </w:rPr>
            </w:pPr>
            <w:r>
              <w:rPr>
                <w:rFonts w:ascii="Arial" w:cs="Arial" w:eastAsia="Arial" w:hAnsi="Arial"/>
                <w:sz w:val="18"/>
                <w:szCs w:val="18"/>
                <w:color w:val="auto"/>
                <w:w w:val="91"/>
              </w:rPr>
              <w:t>Postretirement Healthcare Plans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2017</w:t>
            </w:r>
          </w:p>
        </w:tc>
        <w:tc>
          <w:tcPr>
            <w:tcW w:w="940" w:type="dxa"/>
            <w:vAlign w:val="bottom"/>
          </w:tcPr>
          <w:p>
            <w:pPr>
              <w:ind w:left="580"/>
              <w:spacing w:after="0"/>
              <w:rPr>
                <w:sz w:val="20"/>
                <w:szCs w:val="20"/>
                <w:color w:val="auto"/>
              </w:rPr>
            </w:pPr>
            <w:r>
              <w:rPr>
                <w:rFonts w:ascii="Arial" w:cs="Arial" w:eastAsia="Arial" w:hAnsi="Arial"/>
                <w:sz w:val="18"/>
                <w:szCs w:val="18"/>
                <w:color w:val="auto"/>
                <w:w w:val="84"/>
              </w:rPr>
              <w:t>2018</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(gain) loss</w:t>
            </w:r>
          </w:p>
        </w:tc>
        <w:tc>
          <w:tcPr>
            <w:tcW w:w="9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11,967</w:t>
            </w:r>
          </w:p>
        </w:tc>
        <w:tc>
          <w:tcPr>
            <w:tcW w:w="66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4"/>
              </w:rPr>
              <w:t>10,056</w:t>
            </w:r>
          </w:p>
        </w:tc>
        <w:tc>
          <w:tcPr>
            <w:tcW w:w="4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4,668</w:t>
            </w:r>
          </w:p>
        </w:tc>
        <w:tc>
          <w:tcPr>
            <w:tcW w:w="260" w:type="dxa"/>
            <w:vAlign w:val="bottom"/>
            <w:tcBorders>
              <w:bottom w:val="single" w:sz="8" w:color="CEFFE7"/>
            </w:tcBorders>
            <w:shd w:val="clear" w:color="auto" w:fill="CEFFE7"/>
          </w:tcPr>
          <w:p>
            <w:pPr>
              <w:jc w:val="center"/>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6,639</w:t>
            </w:r>
          </w:p>
        </w:tc>
        <w:tc>
          <w:tcPr>
            <w:tcW w:w="9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860</w:t>
            </w:r>
          </w:p>
        </w:tc>
        <w:tc>
          <w:tcPr>
            <w:tcW w:w="3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Prior service cost (gain)</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(317)</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w w:val="94"/>
              </w:rPr>
              <w:t>Reclassification of certain tax effects from AOCI</w:t>
            </w:r>
          </w:p>
        </w:tc>
        <w:tc>
          <w:tcPr>
            <w:tcW w:w="2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(594)</w:t>
            </w:r>
          </w:p>
        </w:tc>
        <w:tc>
          <w:tcPr>
            <w:tcW w:w="66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2,087</w:t>
            </w:r>
          </w:p>
        </w:tc>
        <w:tc>
          <w:tcPr>
            <w:tcW w:w="4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1,371</w:t>
            </w:r>
          </w:p>
        </w:tc>
        <w:tc>
          <w:tcPr>
            <w:tcW w:w="9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6"/>
              </w:rPr>
              <w:t>Reclassification to regulatory asset</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(5,600)</w:t>
            </w:r>
          </w:p>
        </w:tc>
        <w:tc>
          <w:tcPr>
            <w:tcW w:w="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(919)</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AOCI</w:t>
            </w:r>
          </w:p>
        </w:tc>
        <w:tc>
          <w:tcPr>
            <w:tcW w:w="92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5,774</w:t>
            </w:r>
          </w:p>
        </w:tc>
        <w:tc>
          <w:tcPr>
            <w:tcW w:w="660" w:type="dxa"/>
            <w:vAlign w:val="bottom"/>
            <w:tcBorders>
              <w:bottom w:val="single" w:sz="8" w:color="auto"/>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4"/>
              </w:rPr>
              <w:t>12,164</w:t>
            </w:r>
          </w:p>
        </w:tc>
        <w:tc>
          <w:tcPr>
            <w:tcW w:w="480" w:type="dxa"/>
            <w:vAlign w:val="bottom"/>
            <w:tcBorders>
              <w:bottom w:val="single" w:sz="8" w:color="auto"/>
            </w:tcBorders>
            <w:shd w:val="clear" w:color="auto" w:fill="CEFFE7"/>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ind w:left="480"/>
              <w:spacing w:after="0"/>
              <w:rPr>
                <w:sz w:val="20"/>
                <w:szCs w:val="20"/>
                <w:color w:val="auto"/>
              </w:rPr>
            </w:pPr>
            <w:r>
              <w:rPr>
                <w:rFonts w:ascii="Arial" w:cs="Arial" w:eastAsia="Arial" w:hAnsi="Arial"/>
                <w:sz w:val="18"/>
                <w:szCs w:val="18"/>
                <w:color w:val="auto"/>
              </w:rPr>
              <w:t>4,584</w:t>
            </w:r>
          </w:p>
        </w:tc>
        <w:tc>
          <w:tcPr>
            <w:tcW w:w="260" w:type="dxa"/>
            <w:vAlign w:val="bottom"/>
            <w:tcBorders>
              <w:bottom w:val="single" w:sz="8" w:color="auto"/>
            </w:tcBorders>
            <w:shd w:val="clear" w:color="auto" w:fill="CEFFE7"/>
          </w:tcPr>
          <w:p>
            <w:pPr>
              <w:jc w:val="center"/>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8,014</w:t>
            </w:r>
          </w:p>
        </w:tc>
        <w:tc>
          <w:tcPr>
            <w:tcW w:w="940" w:type="dxa"/>
            <w:vAlign w:val="bottom"/>
            <w:tcBorders>
              <w:bottom w:val="single" w:sz="8" w:color="auto"/>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(421)</w:t>
            </w:r>
          </w:p>
        </w:tc>
        <w:tc>
          <w:tcPr>
            <w:tcW w:w="34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Defined Benefit</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Supplemental</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Pension Plan</w:t>
            </w:r>
          </w:p>
        </w:tc>
        <w:tc>
          <w:tcPr>
            <w:tcW w:w="660" w:type="dxa"/>
            <w:vAlign w:val="bottom"/>
          </w:tcPr>
          <w:p>
            <w:pPr>
              <w:spacing w:after="0"/>
              <w:rPr>
                <w:sz w:val="20"/>
                <w:szCs w:val="20"/>
                <w:color w:val="auto"/>
              </w:rPr>
            </w:pPr>
          </w:p>
        </w:tc>
        <w:tc>
          <w:tcPr>
            <w:tcW w:w="3240" w:type="dxa"/>
            <w:vAlign w:val="bottom"/>
            <w:gridSpan w:val="5"/>
          </w:tcPr>
          <w:p>
            <w:pPr>
              <w:jc w:val="center"/>
              <w:ind w:right="90"/>
              <w:spacing w:after="0"/>
              <w:rPr>
                <w:sz w:val="20"/>
                <w:szCs w:val="20"/>
                <w:color w:val="auto"/>
              </w:rPr>
            </w:pPr>
            <w:r>
              <w:rPr>
                <w:rFonts w:ascii="Arial" w:cs="Arial" w:eastAsia="Arial" w:hAnsi="Arial"/>
                <w:sz w:val="18"/>
                <w:szCs w:val="18"/>
                <w:color w:val="auto"/>
                <w:w w:val="93"/>
              </w:rPr>
              <w:t>Non-qualified Defined Benefit Plans</w:t>
            </w:r>
          </w:p>
        </w:tc>
        <w:tc>
          <w:tcPr>
            <w:tcW w:w="2640" w:type="dxa"/>
            <w:vAlign w:val="bottom"/>
            <w:gridSpan w:val="4"/>
          </w:tcPr>
          <w:p>
            <w:pPr>
              <w:jc w:val="center"/>
              <w:ind w:right="7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benefit obligations:</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020" w:type="dxa"/>
            <w:vAlign w:val="bottom"/>
          </w:tcPr>
          <w:p>
            <w:pPr>
              <w:jc w:val="center"/>
              <w:ind w:right="370"/>
              <w:spacing w:after="0"/>
              <w:rPr>
                <w:sz w:val="20"/>
                <w:szCs w:val="20"/>
                <w:color w:val="auto"/>
              </w:rPr>
            </w:pPr>
            <w:r>
              <w:rPr>
                <w:rFonts w:ascii="Arial" w:cs="Arial" w:eastAsia="Arial" w:hAnsi="Arial"/>
                <w:sz w:val="18"/>
                <w:szCs w:val="18"/>
                <w:color w:val="auto"/>
                <w:w w:val="89"/>
              </w:rPr>
              <w:t>2017</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2016</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2018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0"/>
                <w:szCs w:val="20"/>
                <w:color w:val="auto"/>
              </w:rPr>
            </w:pPr>
          </w:p>
        </w:tc>
        <w:tc>
          <w:tcPr>
            <w:tcW w:w="960" w:type="dxa"/>
            <w:vAlign w:val="bottom"/>
          </w:tcPr>
          <w:p>
            <w:pPr>
              <w:jc w:val="right"/>
              <w:ind w:right="510"/>
              <w:spacing w:after="0"/>
              <w:rPr>
                <w:sz w:val="20"/>
                <w:szCs w:val="20"/>
                <w:color w:val="auto"/>
              </w:rPr>
            </w:pPr>
            <w:r>
              <w:rPr>
                <w:rFonts w:ascii="Arial" w:cs="Arial" w:eastAsia="Arial" w:hAnsi="Arial"/>
                <w:sz w:val="18"/>
                <w:szCs w:val="18"/>
                <w:color w:val="auto"/>
                <w:w w:val="84"/>
              </w:rPr>
              <w:t>2016</w:t>
            </w:r>
          </w:p>
        </w:tc>
        <w:tc>
          <w:tcPr>
            <w:tcW w:w="940" w:type="dxa"/>
            <w:vAlign w:val="bottom"/>
          </w:tcPr>
          <w:p>
            <w:pPr>
              <w:ind w:left="100"/>
              <w:spacing w:after="0"/>
              <w:rPr>
                <w:sz w:val="20"/>
                <w:szCs w:val="20"/>
                <w:color w:val="auto"/>
              </w:rPr>
            </w:pPr>
            <w:r>
              <w:rPr>
                <w:rFonts w:ascii="Arial" w:cs="Arial" w:eastAsia="Arial" w:hAnsi="Arial"/>
                <w:sz w:val="18"/>
                <w:szCs w:val="18"/>
                <w:color w:val="auto"/>
              </w:rPr>
              <w:t>2018</w:t>
            </w:r>
          </w:p>
        </w:tc>
        <w:tc>
          <w:tcPr>
            <w:tcW w:w="460" w:type="dxa"/>
            <w:vAlign w:val="bottom"/>
          </w:tcPr>
          <w:p>
            <w:pPr>
              <w:jc w:val="center"/>
              <w:ind w:left="10"/>
              <w:spacing w:after="0"/>
              <w:rPr>
                <w:sz w:val="20"/>
                <w:szCs w:val="20"/>
                <w:color w:val="auto"/>
              </w:rPr>
            </w:pPr>
            <w:r>
              <w:rPr>
                <w:rFonts w:ascii="Arial" w:cs="Arial" w:eastAsia="Arial" w:hAnsi="Arial"/>
                <w:sz w:val="18"/>
                <w:szCs w:val="18"/>
                <w:color w:val="auto"/>
                <w:w w:val="89"/>
              </w:rPr>
              <w:t>2017</w:t>
            </w:r>
          </w:p>
        </w:tc>
        <w:tc>
          <w:tcPr>
            <w:tcW w:w="3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rPr>
              <w:t>3.71%</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4.27%</w:t>
            </w:r>
          </w:p>
        </w:tc>
        <w:tc>
          <w:tcPr>
            <w:tcW w:w="54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w w:val="90"/>
              </w:rPr>
              <w:t>4.34%</w:t>
            </w:r>
          </w:p>
        </w:tc>
        <w:tc>
          <w:tcPr>
            <w:tcW w:w="100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8"/>
                <w:szCs w:val="18"/>
                <w:color w:val="auto"/>
              </w:rPr>
              <w:t>3.56%</w:t>
            </w:r>
          </w:p>
        </w:tc>
        <w:tc>
          <w:tcPr>
            <w:tcW w:w="2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4.02%</w:t>
            </w:r>
          </w:p>
        </w:tc>
        <w:tc>
          <w:tcPr>
            <w:tcW w:w="9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4.28%</w:t>
            </w:r>
          </w:p>
        </w:tc>
        <w:tc>
          <w:tcPr>
            <w:tcW w:w="8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3.60%</w:t>
            </w:r>
          </w:p>
        </w:tc>
        <w:tc>
          <w:tcPr>
            <w:tcW w:w="90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w w:val="93"/>
              </w:rPr>
              <w:t>3.96%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3.43%</w:t>
            </w: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5.00%</w:t>
            </w:r>
          </w:p>
        </w:tc>
        <w:tc>
          <w:tcPr>
            <w:tcW w:w="1000" w:type="dxa"/>
            <w:vAlign w:val="bottom"/>
          </w:tcPr>
          <w:p>
            <w:pPr>
              <w:ind w:left="46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5.00%</w:t>
            </w:r>
          </w:p>
        </w:tc>
        <w:tc>
          <w:tcPr>
            <w:tcW w:w="940" w:type="dxa"/>
            <w:vAlign w:val="bottom"/>
          </w:tcPr>
          <w:p>
            <w:pPr>
              <w:ind w:left="26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c>
          <w:tcPr>
            <w:tcW w:w="900" w:type="dxa"/>
            <w:vAlign w:val="bottom"/>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Defined Benefit</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Supplemental</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Pension Plan</w:t>
            </w:r>
          </w:p>
        </w:tc>
        <w:tc>
          <w:tcPr>
            <w:tcW w:w="660" w:type="dxa"/>
            <w:vAlign w:val="bottom"/>
          </w:tcPr>
          <w:p>
            <w:pPr>
              <w:spacing w:after="0"/>
              <w:rPr>
                <w:sz w:val="20"/>
                <w:szCs w:val="20"/>
                <w:color w:val="auto"/>
              </w:rPr>
            </w:pPr>
          </w:p>
        </w:tc>
        <w:tc>
          <w:tcPr>
            <w:tcW w:w="3240" w:type="dxa"/>
            <w:vAlign w:val="bottom"/>
            <w:gridSpan w:val="5"/>
          </w:tcPr>
          <w:p>
            <w:pPr>
              <w:jc w:val="center"/>
              <w:ind w:right="90"/>
              <w:spacing w:after="0"/>
              <w:rPr>
                <w:sz w:val="20"/>
                <w:szCs w:val="20"/>
                <w:color w:val="auto"/>
              </w:rPr>
            </w:pPr>
            <w:r>
              <w:rPr>
                <w:rFonts w:ascii="Arial" w:cs="Arial" w:eastAsia="Arial" w:hAnsi="Arial"/>
                <w:sz w:val="18"/>
                <w:szCs w:val="18"/>
                <w:color w:val="auto"/>
                <w:w w:val="93"/>
              </w:rPr>
              <w:t>Non-qualified Defined Benefit Plans</w:t>
            </w:r>
          </w:p>
        </w:tc>
        <w:tc>
          <w:tcPr>
            <w:tcW w:w="2640" w:type="dxa"/>
            <w:vAlign w:val="bottom"/>
            <w:gridSpan w:val="4"/>
          </w:tcPr>
          <w:p>
            <w:pPr>
              <w:jc w:val="center"/>
              <w:ind w:right="7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net periodic benefit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cost for plan year:</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020" w:type="dxa"/>
            <w:vAlign w:val="bottom"/>
          </w:tcPr>
          <w:p>
            <w:pPr>
              <w:jc w:val="center"/>
              <w:ind w:right="370"/>
              <w:spacing w:after="0"/>
              <w:rPr>
                <w:sz w:val="20"/>
                <w:szCs w:val="20"/>
                <w:color w:val="auto"/>
              </w:rPr>
            </w:pPr>
            <w:r>
              <w:rPr>
                <w:rFonts w:ascii="Arial" w:cs="Arial" w:eastAsia="Arial" w:hAnsi="Arial"/>
                <w:sz w:val="18"/>
                <w:szCs w:val="18"/>
                <w:color w:val="auto"/>
                <w:w w:val="89"/>
              </w:rPr>
              <w:t>2017</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2016</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2018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0"/>
                <w:szCs w:val="20"/>
                <w:color w:val="auto"/>
              </w:rPr>
            </w:pPr>
          </w:p>
        </w:tc>
        <w:tc>
          <w:tcPr>
            <w:tcW w:w="960" w:type="dxa"/>
            <w:vAlign w:val="bottom"/>
          </w:tcPr>
          <w:p>
            <w:pPr>
              <w:jc w:val="right"/>
              <w:ind w:right="510"/>
              <w:spacing w:after="0"/>
              <w:rPr>
                <w:sz w:val="20"/>
                <w:szCs w:val="20"/>
                <w:color w:val="auto"/>
              </w:rPr>
            </w:pPr>
            <w:r>
              <w:rPr>
                <w:rFonts w:ascii="Arial" w:cs="Arial" w:eastAsia="Arial" w:hAnsi="Arial"/>
                <w:sz w:val="18"/>
                <w:szCs w:val="18"/>
                <w:color w:val="auto"/>
                <w:w w:val="84"/>
              </w:rPr>
              <w:t>2016</w:t>
            </w:r>
          </w:p>
        </w:tc>
        <w:tc>
          <w:tcPr>
            <w:tcW w:w="940" w:type="dxa"/>
            <w:vAlign w:val="bottom"/>
          </w:tcPr>
          <w:p>
            <w:pPr>
              <w:ind w:left="100"/>
              <w:spacing w:after="0"/>
              <w:rPr>
                <w:sz w:val="20"/>
                <w:szCs w:val="20"/>
                <w:color w:val="auto"/>
              </w:rPr>
            </w:pPr>
            <w:r>
              <w:rPr>
                <w:rFonts w:ascii="Arial" w:cs="Arial" w:eastAsia="Arial" w:hAnsi="Arial"/>
                <w:sz w:val="18"/>
                <w:szCs w:val="18"/>
                <w:color w:val="auto"/>
              </w:rPr>
              <w:t>2018</w:t>
            </w:r>
          </w:p>
        </w:tc>
        <w:tc>
          <w:tcPr>
            <w:tcW w:w="460" w:type="dxa"/>
            <w:vAlign w:val="bottom"/>
          </w:tcPr>
          <w:p>
            <w:pPr>
              <w:jc w:val="center"/>
              <w:ind w:left="10"/>
              <w:spacing w:after="0"/>
              <w:rPr>
                <w:sz w:val="20"/>
                <w:szCs w:val="20"/>
                <w:color w:val="auto"/>
              </w:rPr>
            </w:pPr>
            <w:r>
              <w:rPr>
                <w:rFonts w:ascii="Arial" w:cs="Arial" w:eastAsia="Arial" w:hAnsi="Arial"/>
                <w:sz w:val="18"/>
                <w:szCs w:val="18"/>
                <w:color w:val="auto"/>
                <w:w w:val="89"/>
              </w:rPr>
              <w:t>2017</w:t>
            </w:r>
          </w:p>
        </w:tc>
        <w:tc>
          <w:tcPr>
            <w:tcW w:w="3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4.27%</w:t>
            </w:r>
          </w:p>
        </w:tc>
        <w:tc>
          <w:tcPr>
            <w:tcW w:w="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4.50%</w:t>
            </w:r>
          </w:p>
        </w:tc>
        <w:tc>
          <w:tcPr>
            <w:tcW w:w="5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0"/>
                <w:szCs w:val="20"/>
                <w:color w:val="auto"/>
              </w:rPr>
            </w:pPr>
            <w:r>
              <w:rPr>
                <w:rFonts w:ascii="Arial" w:cs="Arial" w:eastAsia="Arial" w:hAnsi="Arial"/>
                <w:sz w:val="18"/>
                <w:szCs w:val="18"/>
                <w:color w:val="auto"/>
                <w:w w:val="90"/>
              </w:rPr>
              <w:t>3.67%</w:t>
            </w:r>
          </w:p>
        </w:tc>
        <w:tc>
          <w:tcPr>
            <w:tcW w:w="1000" w:type="dxa"/>
            <w:vAlign w:val="bottom"/>
            <w:shd w:val="clear" w:color="auto" w:fill="CEFFE7"/>
          </w:tcPr>
          <w:p>
            <w:pPr>
              <w:ind w:left="460"/>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EFFE7"/>
          </w:tcPr>
          <w:p>
            <w:pPr>
              <w:spacing w:after="0"/>
              <w:rPr>
                <w:sz w:val="23"/>
                <w:szCs w:val="23"/>
                <w:color w:val="auto"/>
              </w:rPr>
            </w:pPr>
          </w:p>
        </w:tc>
        <w:tc>
          <w:tcPr>
            <w:tcW w:w="960" w:type="dxa"/>
            <w:vAlign w:val="bottom"/>
            <w:shd w:val="clear" w:color="auto" w:fill="CEFFE7"/>
          </w:tcPr>
          <w:p>
            <w:pPr>
              <w:ind w:left="160"/>
              <w:spacing w:after="0"/>
              <w:rPr>
                <w:sz w:val="20"/>
                <w:szCs w:val="20"/>
                <w:color w:val="auto"/>
              </w:rPr>
            </w:pPr>
            <w:r>
              <w:rPr>
                <w:rFonts w:ascii="Arial" w:cs="Arial" w:eastAsia="Arial" w:hAnsi="Arial"/>
                <w:sz w:val="18"/>
                <w:szCs w:val="18"/>
                <w:color w:val="auto"/>
              </w:rPr>
              <w:t>4.28%</w:t>
            </w:r>
          </w:p>
        </w:tc>
        <w:tc>
          <w:tcPr>
            <w:tcW w:w="940" w:type="dxa"/>
            <w:vAlign w:val="bottom"/>
            <w:shd w:val="clear" w:color="auto" w:fill="CEFFE7"/>
          </w:tcPr>
          <w:p>
            <w:pPr>
              <w:ind w:left="240"/>
              <w:spacing w:after="0"/>
              <w:rPr>
                <w:sz w:val="20"/>
                <w:szCs w:val="20"/>
                <w:color w:val="auto"/>
              </w:rPr>
            </w:pPr>
            <w:r>
              <w:rPr>
                <w:rFonts w:ascii="Arial" w:cs="Arial" w:eastAsia="Arial" w:hAnsi="Arial"/>
                <w:sz w:val="18"/>
                <w:szCs w:val="18"/>
                <w:color w:val="auto"/>
              </w:rPr>
              <w:t>3.60%</w:t>
            </w:r>
          </w:p>
        </w:tc>
        <w:tc>
          <w:tcPr>
            <w:tcW w:w="800" w:type="dxa"/>
            <w:vAlign w:val="bottom"/>
            <w:gridSpan w:val="2"/>
            <w:shd w:val="clear" w:color="auto" w:fill="CEFFE7"/>
          </w:tcPr>
          <w:p>
            <w:pPr>
              <w:jc w:val="right"/>
              <w:spacing w:after="0"/>
              <w:rPr>
                <w:sz w:val="20"/>
                <w:szCs w:val="20"/>
                <w:color w:val="auto"/>
              </w:rPr>
            </w:pPr>
            <w:r>
              <w:rPr>
                <w:rFonts w:ascii="Arial" w:cs="Arial" w:eastAsia="Arial" w:hAnsi="Arial"/>
                <w:sz w:val="18"/>
                <w:szCs w:val="18"/>
                <w:color w:val="auto"/>
              </w:rPr>
              <w:t>4.05%</w:t>
            </w:r>
          </w:p>
        </w:tc>
        <w:tc>
          <w:tcPr>
            <w:tcW w:w="90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3"/>
              </w:rPr>
              <w:t>4.18%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2"/>
              </w:rPr>
              <w:t>Expected long-term rate of return on</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5"/>
                <w:szCs w:val="25"/>
                <w:color w:val="auto"/>
                <w:vertAlign w:val="superscript"/>
              </w:rPr>
              <w:t>(b)</w:t>
            </w: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2"/>
                <w:szCs w:val="22"/>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6.75%</w:t>
            </w:r>
          </w:p>
        </w:tc>
        <w:tc>
          <w:tcPr>
            <w:tcW w:w="660" w:type="dxa"/>
            <w:vAlign w:val="bottom"/>
          </w:tcPr>
          <w:p>
            <w:pPr>
              <w:jc w:val="right"/>
              <w:spacing w:after="0"/>
              <w:rPr>
                <w:sz w:val="20"/>
                <w:szCs w:val="20"/>
                <w:color w:val="auto"/>
              </w:rPr>
            </w:pPr>
            <w:r>
              <w:rPr>
                <w:rFonts w:ascii="Arial" w:cs="Arial" w:eastAsia="Arial" w:hAnsi="Arial"/>
                <w:sz w:val="18"/>
                <w:szCs w:val="18"/>
                <w:color w:val="auto"/>
              </w:rPr>
              <w:t>6.87%</w:t>
            </w:r>
          </w:p>
        </w:tc>
        <w:tc>
          <w:tcPr>
            <w:tcW w:w="5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N/A</w:t>
            </w:r>
          </w:p>
        </w:tc>
        <w:tc>
          <w:tcPr>
            <w:tcW w:w="1000" w:type="dxa"/>
            <w:vAlign w:val="bottom"/>
          </w:tcPr>
          <w:p>
            <w:pPr>
              <w:ind w:left="4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2"/>
                <w:szCs w:val="22"/>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N/A</w:t>
            </w:r>
          </w:p>
        </w:tc>
        <w:tc>
          <w:tcPr>
            <w:tcW w:w="940" w:type="dxa"/>
            <w:vAlign w:val="bottom"/>
          </w:tcPr>
          <w:p>
            <w:pPr>
              <w:ind w:left="240"/>
              <w:spacing w:after="0"/>
              <w:rPr>
                <w:sz w:val="20"/>
                <w:szCs w:val="20"/>
                <w:color w:val="auto"/>
              </w:rPr>
            </w:pPr>
            <w:r>
              <w:rPr>
                <w:rFonts w:ascii="Arial" w:cs="Arial" w:eastAsia="Arial" w:hAnsi="Arial"/>
                <w:sz w:val="18"/>
                <w:szCs w:val="18"/>
                <w:color w:val="auto"/>
              </w:rPr>
              <w:t>3.93%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900" w:type="dxa"/>
            <w:vAlign w:val="bottom"/>
          </w:tcPr>
          <w:p>
            <w:pPr>
              <w:ind w:left="400"/>
              <w:spacing w:after="0"/>
              <w:rPr>
                <w:sz w:val="20"/>
                <w:szCs w:val="20"/>
                <w:color w:val="auto"/>
              </w:rPr>
            </w:pPr>
            <w:r>
              <w:rPr>
                <w:rFonts w:ascii="Arial" w:cs="Arial" w:eastAsia="Arial" w:hAnsi="Arial"/>
                <w:sz w:val="18"/>
                <w:szCs w:val="18"/>
                <w:color w:val="auto"/>
                <w:w w:val="93"/>
              </w:rPr>
              <w:t>3.83%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540" w:type="dxa"/>
            <w:vAlign w:val="bottom"/>
            <w:shd w:val="clear" w:color="auto" w:fill="CEFFE7"/>
          </w:tcPr>
          <w:p>
            <w:pPr>
              <w:spacing w:after="0"/>
              <w:rPr>
                <w:sz w:val="19"/>
                <w:szCs w:val="19"/>
                <w:color w:val="auto"/>
              </w:rPr>
            </w:pPr>
          </w:p>
        </w:tc>
        <w:tc>
          <w:tcPr>
            <w:tcW w:w="48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rPr>
              <w:t>3.47%</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w:t>
            </w:r>
          </w:p>
        </w:tc>
        <w:tc>
          <w:tcPr>
            <w:tcW w:w="540" w:type="dxa"/>
            <w:vAlign w:val="bottom"/>
            <w:tcBorders>
              <w:bottom w:val="single" w:sz="8" w:color="CEFFE7"/>
            </w:tcBorders>
            <w:shd w:val="clear" w:color="auto" w:fill="CEFFE7"/>
          </w:tcPr>
          <w:p>
            <w:pPr>
              <w:spacing w:after="0"/>
              <w:rPr>
                <w:sz w:val="20"/>
                <w:szCs w:val="20"/>
                <w:color w:val="auto"/>
              </w:rPr>
            </w:pPr>
          </w:p>
        </w:tc>
        <w:tc>
          <w:tcPr>
            <w:tcW w:w="48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w w:val="90"/>
              </w:rPr>
              <w:t>5.00%</w:t>
            </w:r>
          </w:p>
        </w:tc>
        <w:tc>
          <w:tcPr>
            <w:tcW w:w="100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5.00%</w:t>
            </w:r>
          </w:p>
        </w:tc>
        <w:tc>
          <w:tcPr>
            <w:tcW w:w="9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CEFFE7"/>
            </w:tcBorders>
            <w:gridSpan w:val="2"/>
            <w:shd w:val="clear" w:color="auto" w:fill="CEFFE7"/>
          </w:tcPr>
          <w:p>
            <w:pPr>
              <w:jc w:val="right"/>
              <w:ind w:right="150"/>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_____________________________</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estimated discount rate for the Defined Benefit Pension Plan is 4.40% for the calculation of the 2019 net periodic pension costs.</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expected rate of return on plan assets is 6.00% for the calculation of the </w:t>
      </w:r>
      <w:r>
        <w:rPr>
          <w:rFonts w:ascii="Arial" w:cs="Arial" w:eastAsia="Arial" w:hAnsi="Arial"/>
          <w:sz w:val="18"/>
          <w:szCs w:val="18"/>
          <w:color w:val="auto"/>
        </w:rPr>
        <w:t>2019</w:t>
      </w:r>
      <w:r>
        <w:rPr>
          <w:rFonts w:ascii="Arial" w:cs="Arial" w:eastAsia="Arial" w:hAnsi="Arial"/>
          <w:sz w:val="16"/>
          <w:szCs w:val="16"/>
          <w:color w:val="auto"/>
        </w:rPr>
        <w:t xml:space="preserve"> net periodic pension cost.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58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The healthcare benefit obligation was determined at December 31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740" w:type="dxa"/>
            <w:vAlign w:val="bottom"/>
          </w:tcPr>
          <w:p>
            <w:pPr>
              <w:jc w:val="center"/>
              <w:ind w:left="2290"/>
              <w:spacing w:after="0"/>
              <w:rPr>
                <w:sz w:val="20"/>
                <w:szCs w:val="20"/>
                <w:color w:val="auto"/>
              </w:rPr>
            </w:pPr>
            <w:r>
              <w:rPr>
                <w:rFonts w:ascii="Arial" w:cs="Arial" w:eastAsia="Arial" w:hAnsi="Arial"/>
                <w:sz w:val="18"/>
                <w:szCs w:val="18"/>
                <w:color w:val="auto"/>
                <w:w w:val="89"/>
              </w:rPr>
              <w:t>2018</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4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b w:val="1"/>
                <w:bCs w:val="1"/>
                <w:color w:val="auto"/>
              </w:rPr>
              <w:t>Trend Rate - Medical</w:t>
            </w:r>
          </w:p>
        </w:tc>
        <w:tc>
          <w:tcPr>
            <w:tcW w:w="24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Pre-65 for next year - All Plans</w:t>
            </w:r>
          </w:p>
        </w:tc>
        <w:tc>
          <w:tcPr>
            <w:tcW w:w="4740" w:type="dxa"/>
            <w:vAlign w:val="bottom"/>
            <w:tcBorders>
              <w:bottom w:val="single" w:sz="8" w:color="CEFFE7"/>
            </w:tcBorders>
            <w:shd w:val="clear" w:color="auto" w:fill="CEFFE7"/>
          </w:tcPr>
          <w:p>
            <w:pPr>
              <w:jc w:val="center"/>
              <w:ind w:left="2270"/>
              <w:spacing w:after="0"/>
              <w:rPr>
                <w:sz w:val="20"/>
                <w:szCs w:val="20"/>
                <w:color w:val="auto"/>
              </w:rPr>
            </w:pPr>
            <w:r>
              <w:rPr>
                <w:rFonts w:ascii="Arial" w:cs="Arial" w:eastAsia="Arial" w:hAnsi="Arial"/>
                <w:sz w:val="18"/>
                <w:szCs w:val="18"/>
                <w:color w:val="auto"/>
                <w:w w:val="90"/>
              </w:rPr>
              <w:t>6.70%</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7.00%</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Pre-65 Ultimate trend rate - Black Hills Corp</w:t>
            </w:r>
          </w:p>
        </w:tc>
        <w:tc>
          <w:tcPr>
            <w:tcW w:w="4740" w:type="dxa"/>
            <w:vAlign w:val="bottom"/>
          </w:tcPr>
          <w:p>
            <w:pPr>
              <w:jc w:val="center"/>
              <w:ind w:left="22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4740" w:type="dxa"/>
            <w:vAlign w:val="bottom"/>
            <w:tcBorders>
              <w:bottom w:val="single" w:sz="8" w:color="CEFFE7"/>
            </w:tcBorders>
            <w:shd w:val="clear" w:color="auto" w:fill="CEFFE7"/>
          </w:tcPr>
          <w:p>
            <w:pPr>
              <w:jc w:val="center"/>
              <w:ind w:left="2290"/>
              <w:spacing w:after="0"/>
              <w:rPr>
                <w:sz w:val="20"/>
                <w:szCs w:val="20"/>
                <w:color w:val="auto"/>
              </w:rPr>
            </w:pPr>
            <w:r>
              <w:rPr>
                <w:rFonts w:ascii="Arial" w:cs="Arial" w:eastAsia="Arial" w:hAnsi="Arial"/>
                <w:sz w:val="18"/>
                <w:szCs w:val="18"/>
                <w:color w:val="auto"/>
                <w:w w:val="89"/>
              </w:rPr>
              <w:t>2027</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2027</w:t>
            </w:r>
          </w:p>
        </w:tc>
      </w:tr>
      <w:tr>
        <w:trPr>
          <w:trHeight w:val="324"/>
        </w:trPr>
        <w:tc>
          <w:tcPr>
            <w:tcW w:w="4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Post-65 for next year - All Plans</w:t>
            </w:r>
          </w:p>
        </w:tc>
        <w:tc>
          <w:tcPr>
            <w:tcW w:w="4740" w:type="dxa"/>
            <w:vAlign w:val="bottom"/>
            <w:tcBorders>
              <w:bottom w:val="single" w:sz="8" w:color="CEFFE7"/>
            </w:tcBorders>
            <w:shd w:val="clear" w:color="auto" w:fill="CEFFE7"/>
          </w:tcPr>
          <w:p>
            <w:pPr>
              <w:jc w:val="center"/>
              <w:ind w:left="2270"/>
              <w:spacing w:after="0"/>
              <w:rPr>
                <w:sz w:val="20"/>
                <w:szCs w:val="20"/>
                <w:color w:val="auto"/>
              </w:rPr>
            </w:pPr>
            <w:r>
              <w:rPr>
                <w:rFonts w:ascii="Arial" w:cs="Arial" w:eastAsia="Arial" w:hAnsi="Arial"/>
                <w:sz w:val="18"/>
                <w:szCs w:val="18"/>
                <w:color w:val="auto"/>
                <w:w w:val="90"/>
              </w:rPr>
              <w:t>4.94%</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5.00%</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Post-65 Ultimate trend rate - Black Hills Corp</w:t>
            </w:r>
          </w:p>
        </w:tc>
        <w:tc>
          <w:tcPr>
            <w:tcW w:w="4740" w:type="dxa"/>
            <w:vAlign w:val="bottom"/>
          </w:tcPr>
          <w:p>
            <w:pPr>
              <w:jc w:val="center"/>
              <w:ind w:left="22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4280" w:type="dxa"/>
            <w:vAlign w:val="bottom"/>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4740" w:type="dxa"/>
            <w:vAlign w:val="bottom"/>
            <w:shd w:val="clear" w:color="auto" w:fill="CEFFE7"/>
          </w:tcPr>
          <w:p>
            <w:pPr>
              <w:jc w:val="center"/>
              <w:ind w:left="2290"/>
              <w:spacing w:after="0"/>
              <w:rPr>
                <w:sz w:val="20"/>
                <w:szCs w:val="20"/>
                <w:color w:val="auto"/>
              </w:rPr>
            </w:pPr>
            <w:r>
              <w:rPr>
                <w:rFonts w:ascii="Arial" w:cs="Arial" w:eastAsia="Arial" w:hAnsi="Arial"/>
                <w:sz w:val="18"/>
                <w:szCs w:val="18"/>
                <w:color w:val="auto"/>
                <w:w w:val="89"/>
              </w:rPr>
              <w:t>2026</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2026</w:t>
            </w:r>
          </w:p>
        </w:tc>
      </w:tr>
      <w:tr>
        <w:trPr>
          <w:trHeight w:val="27"/>
        </w:trPr>
        <w:tc>
          <w:tcPr>
            <w:tcW w:w="4280" w:type="dxa"/>
            <w:vAlign w:val="bottom"/>
            <w:shd w:val="clear" w:color="auto" w:fill="CEFFE7"/>
          </w:tcPr>
          <w:p>
            <w:pPr>
              <w:spacing w:after="0"/>
              <w:rPr>
                <w:sz w:val="2"/>
                <w:szCs w:val="2"/>
                <w:color w:val="auto"/>
              </w:rPr>
            </w:pPr>
          </w:p>
        </w:tc>
        <w:tc>
          <w:tcPr>
            <w:tcW w:w="474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Beginning in 2016, the Company changed the method used to estimate the service and interest cost components of the net periodic pension, supplemental non-qualified defined benefit and other postretirement benefit costs. See “Pension and Postretirement Benefit Obligations” within our Critical Accounting Policies in Item 7 on Form 10-K for additional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future service, are expected to be paid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color w:val="auto"/>
                <w:w w:val="92"/>
              </w:rPr>
              <w:t>Defined Benefit Pension</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w w:val="94"/>
              </w:rPr>
              <w:t>Supplemental Non-qualified Defined Benefit</w:t>
            </w:r>
          </w:p>
        </w:tc>
        <w:tc>
          <w:tcPr>
            <w:tcW w:w="280" w:type="dxa"/>
            <w:vAlign w:val="bottom"/>
          </w:tcPr>
          <w:p>
            <w:pPr>
              <w:spacing w:after="0"/>
              <w:rPr>
                <w:sz w:val="18"/>
                <w:szCs w:val="18"/>
                <w:color w:val="auto"/>
              </w:rPr>
            </w:pPr>
          </w:p>
        </w:tc>
        <w:tc>
          <w:tcPr>
            <w:tcW w:w="2740" w:type="dxa"/>
            <w:vAlign w:val="bottom"/>
          </w:tcPr>
          <w:p>
            <w:pPr>
              <w:jc w:val="right"/>
              <w:ind w:right="310"/>
              <w:spacing w:after="0"/>
              <w:rPr>
                <w:sz w:val="20"/>
                <w:szCs w:val="20"/>
                <w:color w:val="auto"/>
              </w:rPr>
            </w:pPr>
            <w:r>
              <w:rPr>
                <w:rFonts w:ascii="Arial" w:cs="Arial" w:eastAsia="Arial" w:hAnsi="Arial"/>
                <w:sz w:val="18"/>
                <w:szCs w:val="18"/>
                <w:color w:val="auto"/>
                <w:w w:val="99"/>
              </w:rPr>
              <w:t>Non-Pension Defined Benefit</w:t>
            </w:r>
          </w:p>
        </w:tc>
      </w:tr>
      <w:tr>
        <w:trPr>
          <w:trHeight w:val="230"/>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Arial" w:cs="Arial" w:eastAsia="Arial" w:hAnsi="Arial"/>
                <w:sz w:val="18"/>
                <w:szCs w:val="18"/>
                <w:color w:val="auto"/>
              </w:rPr>
              <w:t>Plan</w:t>
            </w:r>
          </w:p>
        </w:tc>
        <w:tc>
          <w:tcPr>
            <w:tcW w:w="420" w:type="dxa"/>
            <w:vAlign w:val="bottom"/>
          </w:tcPr>
          <w:p>
            <w:pPr>
              <w:spacing w:after="0"/>
              <w:rPr>
                <w:sz w:val="20"/>
                <w:szCs w:val="20"/>
                <w:color w:val="auto"/>
              </w:rPr>
            </w:pPr>
          </w:p>
        </w:tc>
        <w:tc>
          <w:tcPr>
            <w:tcW w:w="3020" w:type="dxa"/>
            <w:vAlign w:val="bottom"/>
          </w:tcPr>
          <w:p>
            <w:pPr>
              <w:jc w:val="right"/>
              <w:ind w:right="141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2740" w:type="dxa"/>
            <w:vAlign w:val="bottom"/>
          </w:tcPr>
          <w:p>
            <w:pPr>
              <w:jc w:val="right"/>
              <w:ind w:right="230"/>
              <w:spacing w:after="0"/>
              <w:rPr>
                <w:sz w:val="20"/>
                <w:szCs w:val="20"/>
                <w:color w:val="auto"/>
              </w:rPr>
            </w:pPr>
            <w:r>
              <w:rPr>
                <w:rFonts w:ascii="Arial" w:cs="Arial" w:eastAsia="Arial" w:hAnsi="Arial"/>
                <w:sz w:val="18"/>
                <w:szCs w:val="18"/>
                <w:color w:val="auto"/>
                <w:w w:val="92"/>
              </w:rPr>
              <w:t>Postretirement Healthcare Plans</w:t>
            </w:r>
          </w:p>
        </w:tc>
      </w:tr>
      <w:tr>
        <w:trPr>
          <w:trHeight w:val="27"/>
        </w:trPr>
        <w:tc>
          <w:tcPr>
            <w:tcW w:w="27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2019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24,405</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1,463</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4,898</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25,847</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1,406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5,545</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26,951</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1,617</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5,695</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27,972</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1,727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5,849</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29,002</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1,912</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5,607</w:t>
            </w:r>
          </w:p>
        </w:tc>
      </w:tr>
      <w:tr>
        <w:trPr>
          <w:trHeight w:val="243"/>
        </w:trPr>
        <w:tc>
          <w:tcPr>
            <w:tcW w:w="2740" w:type="dxa"/>
            <w:vAlign w:val="bottom"/>
          </w:tcPr>
          <w:p>
            <w:pPr>
              <w:jc w:val="right"/>
              <w:spacing w:after="0"/>
              <w:rPr>
                <w:sz w:val="20"/>
                <w:szCs w:val="20"/>
                <w:color w:val="auto"/>
              </w:rPr>
            </w:pPr>
            <w:r>
              <w:rPr>
                <w:rFonts w:ascii="Arial" w:cs="Arial" w:eastAsia="Arial" w:hAnsi="Arial"/>
                <w:sz w:val="18"/>
                <w:szCs w:val="18"/>
                <w:color w:val="auto"/>
              </w:rPr>
              <w:t>2024-2028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151,915</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12,208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24,953</w:t>
            </w:r>
          </w:p>
        </w:tc>
      </w:tr>
      <w:tr>
        <w:trPr>
          <w:trHeight w:val="702"/>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jc w:val="right"/>
              <w:ind w:right="247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49" w:name="page150"/>
    <w:bookmarkEnd w:id="149"/>
    <w:p>
      <w:pPr>
        <w:ind w:right="7120" w:firstLine="8"/>
        <w:spacing w:after="0" w:line="533" w:lineRule="auto"/>
        <w:tabs>
          <w:tab w:leader="none" w:pos="4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Power Purchase and Transmission Services Agreements</w:t>
      </w:r>
    </w:p>
    <w:p>
      <w:pPr>
        <w:spacing w:after="0"/>
        <w:rPr>
          <w:sz w:val="20"/>
          <w:szCs w:val="20"/>
          <w:color w:val="auto"/>
        </w:rPr>
      </w:pPr>
      <w:r>
        <w:rPr>
          <w:rFonts w:ascii="Arial" w:cs="Arial" w:eastAsia="Arial" w:hAnsi="Arial"/>
          <w:sz w:val="18"/>
          <w:szCs w:val="18"/>
          <w:color w:val="auto"/>
        </w:rPr>
        <w:t>Through our subsidiaries, we have the following significant long-term power purchase contracts with non-affiliated third-parties:</w:t>
      </w:r>
    </w:p>
    <w:p>
      <w:pPr>
        <w:spacing w:after="0" w:line="225" w:lineRule="exact"/>
        <w:rPr>
          <w:sz w:val="20"/>
          <w:szCs w:val="20"/>
          <w:color w:val="auto"/>
        </w:rPr>
      </w:pPr>
    </w:p>
    <w:p>
      <w:pPr>
        <w:ind w:left="660" w:right="20" w:hanging="328"/>
        <w:spacing w:after="0" w:line="30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Black Hills Wyoming sold its CTII 40 MW natural gas-fired generating unit to the City of Gillette, Wyoming on September 3, 2014. Under the terms of the sale, Black Hills Wyoming entered into ancillary agreements to operate CTII, provide use of shared facilities including a ground lease and dispatch generation services. In addition, the agreement includes a 20-year economy energy PPA that contains a sharing arrangement in which the parties share the savings of wholesale power purchases made when market power prices are less than the cost of operating the generating unit.</w:t>
      </w:r>
    </w:p>
    <w:p>
      <w:pPr>
        <w:spacing w:after="0" w:line="154" w:lineRule="exact"/>
        <w:rPr>
          <w:rFonts w:ascii="Arial" w:cs="Arial" w:eastAsia="Arial" w:hAnsi="Arial"/>
          <w:sz w:val="16"/>
          <w:szCs w:val="16"/>
          <w:color w:val="auto"/>
        </w:rPr>
      </w:pPr>
    </w:p>
    <w:p>
      <w:pPr>
        <w:ind w:left="660" w:right="180" w:hanging="328"/>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South Dakota Electric’s PPA with PacifiCorp, expiring December 31, 2023, for the purchase of 50 MW of electric capacity and energy from PacifiCorp’s system. The price paid for the capacity and energy is based on the operating costs of one of PacifiCorp’s coal-fired electric generating plants.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South Dakota Electric’s firm point-to-point transmission service agreement with PacifiCorp expiring December 31, 2023. The agreement provides 50 MW of capacity and energy to be transmitted annually by PacifiCorp.</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Wyoming Electric’s PPA with Duke Energy’s Happy Jack wind site, expiring September 3, 2028, provides up to 30 MW of wind energy from Happy Jack to Wyoming Electric. Under a separate intercompany agreement, Wyoming Electric sells 50% of the facility output to South Dakota Electric.</w:t>
      </w:r>
    </w:p>
    <w:p>
      <w:pPr>
        <w:spacing w:after="0" w:line="123" w:lineRule="exact"/>
        <w:rPr>
          <w:rFonts w:ascii="Arial" w:cs="Arial" w:eastAsia="Arial" w:hAnsi="Arial"/>
          <w:sz w:val="16"/>
          <w:szCs w:val="16"/>
          <w:color w:val="auto"/>
        </w:rPr>
      </w:pPr>
    </w:p>
    <w:p>
      <w:pPr>
        <w:ind w:left="660" w:right="24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Wyoming Electric’s PPA with Duke Energy’s Silver Sage wind site, expiring September 30, 2029, provides up to 30 MW of wind energy. Under a separate intercompany agreement, Wyoming Electric sells 20 MW of energy from Silver Sage to South Dakota Electric.</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South Dakota Electric’s PPA with Platte River Power Authority (PRPA) to purchase up to 12 MW of wind energy through PRPA’s agreement with Silver Sage. This agreement will expire September 30, 2029.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under these power purchase contracts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9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PPA with PacifiCorp</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13,681</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13,218</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12,221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Transmission services agreement with PacifiCorp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PPA with Happy Jack</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3,884</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3,846</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3,836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PPA with Silver Sage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4,934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Busch Ranch I Wind Farm </w:t>
            </w:r>
            <w:r>
              <w:rPr>
                <w:rFonts w:ascii="Arial" w:cs="Arial" w:eastAsia="Arial" w:hAnsi="Arial"/>
                <w:sz w:val="25"/>
                <w:szCs w:val="25"/>
                <w:color w:val="auto"/>
                <w:vertAlign w:val="superscript"/>
              </w:rPr>
              <w:t>(a)</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1,966</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2,071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PPA with Platte River Power Authority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PPAs with Cargill </w:t>
            </w:r>
            <w:r>
              <w:rPr>
                <w:rFonts w:ascii="Arial" w:cs="Arial" w:eastAsia="Arial" w:hAnsi="Arial"/>
                <w:sz w:val="25"/>
                <w:szCs w:val="25"/>
                <w:color w:val="auto"/>
                <w:vertAlign w:val="superscript"/>
              </w:rPr>
              <w:t>(b)</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10,995</w:t>
            </w:r>
          </w:p>
        </w:tc>
      </w:tr>
      <w:tr>
        <w:trPr>
          <w:trHeight w:val="220"/>
        </w:trPr>
        <w:tc>
          <w:tcPr>
            <w:tcW w:w="6980" w:type="dxa"/>
            <w:vAlign w:val="bottom"/>
          </w:tcPr>
          <w:p>
            <w:pPr>
              <w:spacing w:after="0"/>
              <w:rPr>
                <w:sz w:val="20"/>
                <w:szCs w:val="20"/>
                <w:color w:val="auto"/>
              </w:rPr>
            </w:pPr>
            <w:r>
              <w:rPr>
                <w:rFonts w:ascii="Arial" w:cs="Arial" w:eastAsia="Arial" w:hAnsi="Arial"/>
                <w:sz w:val="18"/>
                <w:szCs w:val="18"/>
                <w:b w:val="1"/>
                <w:bCs w:val="1"/>
                <w:color w:val="auto"/>
              </w:rPr>
              <w:t>________________</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right="620" w:hanging="332"/>
        <w:spacing w:after="0" w:line="246"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December 11, 2018, Black Hills Electric Generation purchased a 50% ownership interest of the Busch Ranch I Wind Farm from AltaGas. Black Hills Electric Generation and Colorado Electric now collectively own 100% of the wind farm.</w:t>
      </w: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PPAs with Cargill expired on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 - Related Party</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11, 2018, Black Hills Electric Generation purchased a 50% ownership interest in the 29 MW Busch Ranch I Wind Farm, previously owned by AltaGas. Black Hills Electric Generation will provide its 14.5 MW share of energy from the wind farm to Colorado Electric through a new PPA that replaces the PPA that Colorado Electric had with AltaGas, expiring in October 2037.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Other Gas Supply Agreements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Utilities also purchase natural gas, including transportation and storage capacity to meet customers’ needs, under short-term and long-term purchase contracts. These contracts extend to 2044.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maintain natural gas supply contracts with several vendors that generally cover a period of up to one year. Commitments for estimated baseload gas volumes are established prior to the beginning of the month under these contracts on a monthly basis at contractually negotiated prices. Commitments for incremental daily purchases are made as necessary during the month based on requirements in accordance with the terms of the individual contract.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segment has commitments to purchase physical quantities of natural gas under contracts indexed to various forward natural gas price curves. A portion of our gas purchases are purchased under evergreen contracts and are therefore, for purposes of this disclosure, carried out for 60 days. At December 31, 2018, the long-term commitments to purchase quantities of natural gas under contracts indexed to the following forward indices were as follows (in MMBtus):</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CIG Rockies</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NNG-Ventura</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w w:val="96"/>
              </w:rPr>
              <w:t>NWPL-Wyoming</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Other</w:t>
            </w:r>
          </w:p>
        </w:tc>
      </w:tr>
      <w:tr>
        <w:trPr>
          <w:trHeight w:val="27"/>
        </w:trPr>
        <w:tc>
          <w:tcPr>
            <w:tcW w:w="5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2019</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5,803,117</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3,650,000</w:t>
            </w:r>
          </w:p>
        </w:tc>
        <w:tc>
          <w:tcPr>
            <w:tcW w:w="15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720,000</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5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75,075</w:t>
            </w:r>
          </w:p>
        </w:tc>
        <w:tc>
          <w:tcPr>
            <w:tcW w:w="1280" w:type="dxa"/>
            <w:vAlign w:val="bottom"/>
          </w:tcPr>
          <w:p>
            <w:pPr>
              <w:jc w:val="right"/>
              <w:spacing w:after="0"/>
              <w:rPr>
                <w:sz w:val="20"/>
                <w:szCs w:val="20"/>
                <w:color w:val="auto"/>
              </w:rPr>
            </w:pPr>
            <w:r>
              <w:rPr>
                <w:rFonts w:ascii="Arial" w:cs="Arial" w:eastAsia="Arial" w:hAnsi="Arial"/>
                <w:sz w:val="18"/>
                <w:szCs w:val="18"/>
                <w:color w:val="auto"/>
              </w:rPr>
              <w:t>3,660,000</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5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3,650,000</w:t>
            </w:r>
          </w:p>
        </w:tc>
        <w:tc>
          <w:tcPr>
            <w:tcW w:w="15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590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1,810,000</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5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2023</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w:t>
            </w:r>
          </w:p>
        </w:tc>
        <w:tc>
          <w:tcPr>
            <w:tcW w:w="15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5900" w:type="dxa"/>
            <w:vAlign w:val="bottom"/>
          </w:tcPr>
          <w:p>
            <w:pPr>
              <w:jc w:val="right"/>
              <w:ind w:right="30"/>
              <w:spacing w:after="0"/>
              <w:rPr>
                <w:sz w:val="20"/>
                <w:szCs w:val="20"/>
                <w:color w:val="auto"/>
              </w:rPr>
            </w:pPr>
            <w:r>
              <w:rPr>
                <w:rFonts w:ascii="Arial" w:cs="Arial" w:eastAsia="Arial" w:hAnsi="Arial"/>
                <w:sz w:val="18"/>
                <w:szCs w:val="18"/>
                <w:color w:val="auto"/>
              </w:rPr>
              <w:t>Thereafter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Purchases under these contracts totaled $27 million, $65 million and $31 million for 2018, 2017 and 2016, respectively.</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is a schedule of unconditional purchase obligations required under the power purchase, transmission services, coal and natural gas transportation and storage agreements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right"/>
              <w:ind w:right="130"/>
              <w:spacing w:after="0"/>
              <w:rPr>
                <w:sz w:val="20"/>
                <w:szCs w:val="20"/>
                <w:color w:val="auto"/>
              </w:rPr>
            </w:pPr>
            <w:r>
              <w:rPr>
                <w:rFonts w:ascii="Arial" w:cs="Arial" w:eastAsia="Arial" w:hAnsi="Arial"/>
                <w:sz w:val="18"/>
                <w:szCs w:val="18"/>
                <w:color w:val="auto"/>
                <w:w w:val="91"/>
              </w:rPr>
              <w:t>Power Purchase Agreements</w:t>
            </w:r>
          </w:p>
        </w:tc>
        <w:tc>
          <w:tcPr>
            <w:tcW w:w="2900" w:type="dxa"/>
            <w:vAlign w:val="bottom"/>
            <w:gridSpan w:val="2"/>
          </w:tcPr>
          <w:p>
            <w:pPr>
              <w:ind w:left="80"/>
              <w:spacing w:after="0"/>
              <w:rPr>
                <w:sz w:val="20"/>
                <w:szCs w:val="20"/>
                <w:color w:val="auto"/>
              </w:rPr>
            </w:pPr>
            <w:r>
              <w:rPr>
                <w:rFonts w:ascii="Arial" w:cs="Arial" w:eastAsia="Arial" w:hAnsi="Arial"/>
                <w:sz w:val="18"/>
                <w:szCs w:val="18"/>
                <w:color w:val="auto"/>
                <w:w w:val="88"/>
              </w:rPr>
              <w:t>Transportation and storage agreements</w:t>
            </w:r>
          </w:p>
        </w:tc>
      </w:tr>
      <w:tr>
        <w:trPr>
          <w:trHeight w:val="27"/>
        </w:trPr>
        <w:tc>
          <w:tcPr>
            <w:tcW w:w="5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22,092</w:t>
            </w:r>
          </w:p>
        </w:tc>
        <w:tc>
          <w:tcPr>
            <w:tcW w:w="11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129,018</w:t>
            </w:r>
          </w:p>
        </w:tc>
      </w:tr>
      <w:tr>
        <w:trPr>
          <w:trHeight w:val="243"/>
        </w:trPr>
        <w:tc>
          <w:tcPr>
            <w:tcW w:w="5960" w:type="dxa"/>
            <w:vAlign w:val="bottom"/>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6,837</w:t>
            </w:r>
          </w:p>
        </w:tc>
        <w:tc>
          <w:tcPr>
            <w:tcW w:w="1180" w:type="dxa"/>
            <w:vAlign w:val="bottom"/>
          </w:tcPr>
          <w:p>
            <w:pPr>
              <w:ind w:left="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127,326</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6,203</w:t>
            </w:r>
          </w:p>
        </w:tc>
        <w:tc>
          <w:tcPr>
            <w:tcW w:w="11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118,707</w:t>
            </w:r>
          </w:p>
        </w:tc>
      </w:tr>
      <w:tr>
        <w:trPr>
          <w:trHeight w:val="243"/>
        </w:trPr>
        <w:tc>
          <w:tcPr>
            <w:tcW w:w="596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6,203</w:t>
            </w:r>
          </w:p>
        </w:tc>
        <w:tc>
          <w:tcPr>
            <w:tcW w:w="1180" w:type="dxa"/>
            <w:vAlign w:val="bottom"/>
          </w:tcPr>
          <w:p>
            <w:pPr>
              <w:ind w:left="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92,635</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6,204</w:t>
            </w:r>
          </w:p>
        </w:tc>
        <w:tc>
          <w:tcPr>
            <w:tcW w:w="11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73,919</w:t>
            </w:r>
          </w:p>
        </w:tc>
      </w:tr>
      <w:tr>
        <w:trPr>
          <w:trHeight w:val="243"/>
        </w:trPr>
        <w:tc>
          <w:tcPr>
            <w:tcW w:w="6140" w:type="dxa"/>
            <w:vAlign w:val="bottom"/>
            <w:gridSpan w:val="2"/>
          </w:tcPr>
          <w:p>
            <w:pPr>
              <w:jc w:val="right"/>
              <w:spacing w:after="0"/>
              <w:rPr>
                <w:sz w:val="20"/>
                <w:szCs w:val="20"/>
                <w:color w:val="auto"/>
              </w:rPr>
            </w:pPr>
            <w:r>
              <w:rPr>
                <w:rFonts w:ascii="Arial" w:cs="Arial" w:eastAsia="Arial" w:hAnsi="Arial"/>
                <w:sz w:val="18"/>
                <w:szCs w:val="18"/>
                <w:color w:val="auto"/>
              </w:rPr>
              <w:t>Thereafter $</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148,363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Purchase Agreement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Wyoming Electric’s PPA for 60 MW of capacity and energy from Black Hills Wyoming’s Wygen I generating facility expiring on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includes an option for Wyoming Electric to purchase Black Hills Wyoming’s ownership in the Wygen I facility. The purchase price related to the option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 million per MW which is the equivalent per MW of the pre-construction estimated cost of the Wygen III plant, which was completed in April 2010.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purchase price is adjusted for capital additions and reduced by an amount equal to annual depreciation based on a 35-year life starting January 1,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option would be subject to WPSC and FERC approval in order to obtain regulatory treatment.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58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Power Sales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Through our subsidiaries, we have the following significant long-term power sales contracts with non-affiliated third-parties:</w:t>
      </w:r>
    </w:p>
    <w:p>
      <w:pPr>
        <w:spacing w:after="0" w:line="225" w:lineRule="exact"/>
        <w:rPr>
          <w:sz w:val="20"/>
          <w:szCs w:val="20"/>
          <w:color w:val="auto"/>
        </w:rPr>
      </w:pPr>
    </w:p>
    <w:p>
      <w:pPr>
        <w:ind w:left="660" w:right="420" w:hanging="328"/>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MDU owns a portion of the capacity, or during periods when Wygen III is off-line, MDU will be provided with 25 MW from our other generation facilities or from system purchases with reimbursement of costs by MDU. This agreement expires January 31, 2023.</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South Dakota Electric has an agreement to serve MDU capacity and energy up to a maximum of 50 MW in excess of Wygen III ownership. This agreement expires December 31, 2023.</w:t>
      </w:r>
    </w:p>
    <w:p>
      <w:pPr>
        <w:spacing w:after="0" w:line="170" w:lineRule="exact"/>
        <w:rPr>
          <w:rFonts w:ascii="Arial" w:cs="Arial" w:eastAsia="Arial" w:hAnsi="Arial"/>
          <w:sz w:val="18"/>
          <w:szCs w:val="18"/>
          <w:color w:val="auto"/>
        </w:rPr>
      </w:pPr>
    </w:p>
    <w:p>
      <w:pPr>
        <w:jc w:val="both"/>
        <w:ind w:left="660" w:right="100" w:hanging="328"/>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the City of Gillette owns a portion of the capacity, or during periods when Wygen III is off-line, we will provide the City of Gillette with its first 23 MW from our other generating facilities or from system purchases with reimbursement of costs by the City of Gillette. Under this agreement, which expires September 3, 2019, South Dakota Electric will also provide the City of Gillette their operating component of spinning reserves.</w:t>
      </w:r>
    </w:p>
    <w:p>
      <w:pPr>
        <w:spacing w:after="0" w:line="186"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South Dakota Electric has a PPA with MEAN expiring May 31, 2028. This contract is unit-contingent on up to 10 MW from Neil Simpson II and up to 10 MW from Wygen III based on the availability of these plants. The capacity purchase requirements decrease over the term of the agreement.</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South Dakota Electric has an agreement through December 31, 2021 to provide 50 MW of energy to Macquarie Energy, LLC during heavy and light load timing intervals.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Lease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Colorado Electric’s PPA with Black Hills Colorado IPP expiring on December 31, 2031, provides 200 MW of power to Colorado Electric from Black Hills Colorado IPP’s combined-cycle turbines. This PPA is accounted for as a capital lease whereby Colorado Electric, as lessee, has included the combined-cycle turbines as property, plant and equipment along with the related lease obligation and Black Hills Colorado IPP, as lessor, has recorded a lease receivable. Segment revenue and expenses associated with the PPA have been impacted by the lease accounting. The effect of the lease accounting is eliminated in corporate consolidations.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Agreement</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a reimbursement agreement in place with Wells Fargo on behalf of Wyoming Electric for the 2009A bonds of $10 million due in 2027 and the 2009B bonds of $7.0 million due in 2021. In the case of default, we hold the assumption of liability for drawings on Wyoming Electric’s Letter of Credit attached to these bonds.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Disposal</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Various materials used at our facilities are subject to disposal regulations. Our Osage plant, permanently retired on March 21, 2014, had an on-site ash impoundment that was near capacity. An application to close the impoundment was approved on April 13, 2012. Site closure work was completed in 2013 with the state providing closure certification in 2014. Post closure monitoring activities will continue for 30 years following the closure certification date.</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September 2013, Osage also received a permit to close the small industrial rubble landfill. Site work was completed with the state providing closure certification in 2014. Post closure monitoring will continue for 30 years following the closure certification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80" w:right="239" w:bottom="1440" w:gutter="0" w:footer="0" w:header="0"/>
        </w:sectPr>
      </w:pPr>
    </w:p>
    <w:bookmarkStart w:id="152" w:name="page153"/>
    <w:bookmarkEnd w:id="152"/>
    <w:p>
      <w:pPr>
        <w:spacing w:after="0" w:line="264" w:lineRule="auto"/>
        <w:rPr>
          <w:sz w:val="20"/>
          <w:szCs w:val="20"/>
          <w:color w:val="auto"/>
        </w:rPr>
      </w:pPr>
      <w:r>
        <w:rPr>
          <w:rFonts w:ascii="Arial" w:cs="Arial" w:eastAsia="Arial" w:hAnsi="Arial"/>
          <w:sz w:val="18"/>
          <w:szCs w:val="18"/>
          <w:color w:val="auto"/>
        </w:rPr>
        <w:t>Our W.N. Clark plant, which has been retired, previously delivered coal ash to a permitted, privately-owned landfill. While we do not believe that any substances from our solid waste disposal activities will pollute underground water, we can provide no assurance that pollution will not occur over time. In this event, we could incur material costs to mitigate any resulting damages.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Reclamation Liability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our Pueblo Airport Generation site, we posted a bond of $4.1 million with the State of Colorado to cover the costs of remediation for a waste water containment pond permitted to provide wastewater storage and processing for this zero discharge facility. The reclamation liability is recorded at the present value of the estimated future cost to reclaim the land.</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its land lease for Busch Ranch I, Colorado Electric is required to reclaim all land where it has placed wind turbines. The reclamation liability is recorded at the present value of the estimated future cost to reclaim the land.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its mining permit, WRDC is required to reclaim all land where it has mined coal reserves. The reclamation liability is recorded at the present value of the estimated future cost to reclaim the 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Processing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the Aquila Transaction, we acquired whole and partial liabilities for former manufactured gas processing sites in Nebraska and Iowa which were previously used to convert coal to natural gas. The acquisition provided for an insurance recovery, now valued at $1.1 million recorded in Other assets, non-current on our Consolidated Balance Sheets, which will be used to help offset remediation costs. We also have a $1.0 million regulatory asset for manufactured gas processing sites; see Note 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our estimated liabilities for Iowa’s MGP site currently range from approximately $2.6 million to $6.1 million for which we had</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$2.6 million accrued for remediation of the site as of December 31, 2018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222222"/>
        </w:rPr>
        <w:t>For additional information on environmental matters, see Item 1 in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584" w:right="259" w:bottom="1440" w:gutter="0" w:footer="0" w:header="0"/>
        </w:sectPr>
      </w:pPr>
    </w:p>
    <w:bookmarkStart w:id="153" w:name="page154"/>
    <w:bookmarkEnd w:id="153"/>
    <w:p>
      <w:pPr>
        <w:spacing w:after="0"/>
        <w:tabs>
          <w:tab w:leader="none" w:pos="460" w:val="left"/>
        </w:tabs>
        <w:rPr>
          <w:sz w:val="20"/>
          <w:szCs w:val="20"/>
          <w:color w:val="auto"/>
        </w:rPr>
      </w:pPr>
      <w:r>
        <w:rPr>
          <w:rFonts w:ascii="Arial" w:cs="Arial" w:eastAsia="Arial" w:hAnsi="Arial"/>
          <w:sz w:val="18"/>
          <w:szCs w:val="18"/>
          <w:b w:val="1"/>
          <w:bCs w:val="1"/>
          <w:color w:val="auto"/>
        </w:rPr>
        <w:t>(20)</w:t>
        <w:tab/>
        <w:t>GUARANTEES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have entered into various agreements providing financial or performance assurance to third parties on behalf of certain of our subsidiaries. The agreements include indemnification for reclamation and surety bonds and a contract performance guarantee.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 had the following guarantees in place as of (in thousands):</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color w:val="auto"/>
                <w:w w:val="96"/>
              </w:rPr>
              <w:t>Maximum Exposure at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Nature of Guarantee</w:t>
            </w:r>
          </w:p>
        </w:tc>
        <w:tc>
          <w:tcPr>
            <w:tcW w:w="220" w:type="dxa"/>
            <w:vAlign w:val="bottom"/>
          </w:tcPr>
          <w:p>
            <w:pPr>
              <w:spacing w:after="0"/>
              <w:rPr>
                <w:sz w:val="23"/>
                <w:szCs w:val="23"/>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December 31, 2018</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Indemnification for subsidiary reclamation/surety bonds </w:t>
            </w:r>
            <w:r>
              <w:rPr>
                <w:rFonts w:ascii="Arial" w:cs="Arial" w:eastAsia="Arial" w:hAnsi="Arial"/>
                <w:sz w:val="25"/>
                <w:szCs w:val="25"/>
                <w:color w:val="auto"/>
                <w:vertAlign w:val="superscript"/>
              </w:rPr>
              <w:t>(a)</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54,683</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Ongoing</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Contract performance guarantee </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39,807</w:t>
            </w:r>
          </w:p>
        </w:tc>
        <w:tc>
          <w:tcPr>
            <w:tcW w:w="170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8"/>
              </w:rPr>
              <w:t>December 2019</w:t>
            </w:r>
          </w:p>
        </w:tc>
        <w:tc>
          <w:tcPr>
            <w:tcW w:w="0" w:type="dxa"/>
            <w:vAlign w:val="bottom"/>
          </w:tcPr>
          <w:p>
            <w:pPr>
              <w:spacing w:after="0"/>
              <w:rPr>
                <w:sz w:val="1"/>
                <w:szCs w:val="1"/>
                <w:color w:val="auto"/>
              </w:rPr>
            </w:pPr>
          </w:p>
        </w:tc>
      </w:tr>
      <w:tr>
        <w:trPr>
          <w:trHeight w:val="269"/>
        </w:trPr>
        <w:tc>
          <w:tcPr>
            <w:tcW w:w="744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94,490</w:t>
            </w:r>
          </w:p>
        </w:tc>
        <w:tc>
          <w:tcPr>
            <w:tcW w:w="170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65" w:lineRule="auto"/>
        <w:tabs>
          <w:tab w:leader="none" w:pos="3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We have guarantees in place for reclamation and surety bonds for our subsidiaries. The guarantees were entered into in the normal course of business. To the extent liabilities are incurred as a result of activities covered by the surety bonds, such liabilities are included in our Consolidated Balance Sheets.</w:t>
      </w:r>
    </w:p>
    <w:p>
      <w:pPr>
        <w:spacing w:after="0" w:line="1" w:lineRule="exact"/>
        <w:rPr>
          <w:rFonts w:ascii="Arial" w:cs="Arial" w:eastAsia="Arial" w:hAnsi="Arial"/>
          <w:sz w:val="15"/>
          <w:szCs w:val="15"/>
          <w:color w:val="auto"/>
        </w:rPr>
      </w:pPr>
    </w:p>
    <w:p>
      <w:pPr>
        <w:ind w:left="340" w:right="60" w:hanging="332"/>
        <w:spacing w:after="0" w:line="252"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BHC has guaranteed the full and complete payment and performance on behalf of Black Hills Electric Generation for construction of the Busch Ranch II Wind Farm. The guarantee terminates when BHC or Black Hills Electric Generation has paid for and performed all guaranteed obligations. The guarantee decreases as progress payments are made.</w:t>
      </w:r>
    </w:p>
    <w:p>
      <w:pPr>
        <w:spacing w:after="0" w:line="15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r>
        <w:rPr>
          <w:rFonts w:ascii="Arial" w:cs="Arial" w:eastAsia="Arial" w:hAnsi="Arial"/>
          <w:sz w:val="18"/>
          <w:szCs w:val="18"/>
          <w:b w:val="1"/>
          <w:bCs w:val="1"/>
          <w:color w:val="auto"/>
        </w:rPr>
        <w:tab/>
        <w:t>DISCONTINUED OPERATIONS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Results of operations for discontinued operations have been classified as Net (loss) from discontinued operations in the accompanying Consolidated Statements of Income. Current assets and current liabilities of the discontinued operations have been reclassified and reflected on the accompanying Consolidated Balance Sheets as “Current assets held for sale” and “Current liabilities held for sale”, respectively. Prior periods relating to our discontinued operations have also been reclassified to reflect consistency within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November 1, 2017, the BHC Board of Directors approved a complete divestiture of our Oil and Gas segment. As of December 31, 2018, we have sold our oil and gas properties and completed the exit of the Oil and Gas business.</w:t>
      </w:r>
    </w:p>
    <w:p>
      <w:pPr>
        <w:spacing w:after="0" w:line="170"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2017, we performed a fair value assessment of the assets and liabilities classified as held for sale. We evaluated our disposal groups classified as held for sale based on the lower of carrying value or fair value less cost to sell. The market approach was based on our fourth quarter 2017 sale of our Powder River Basin assets and pending sale transactions of our other properties. We believe that the estimates used in calculating the fair value of our assets and liabilities held for sale were reasonable based on the information that was known when the estimates were made. At December 31, 2017, the fair value of our held for sale assets was less than our carrying value, which required an after-tax write down of $13 million. There were no adjustments made to the fair value of our held for sale liabilities.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 ended December 31, 2018, we recorded $3.3 million of expenses comprised of royalty payments and reclamation costs related to final closing on the sale of BHEP assets.</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Total assets and liabilities of BHEP at December 31, 2017 were classified as Current assets held for sale and Current liabilities held for sale on the accompanying Consolidated Balance Sheets due to the final disposals occurring in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5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EFFE7"/>
            </w:tcBorders>
          </w:tcPr>
          <w:p>
            <w:pPr>
              <w:spacing w:after="0"/>
              <w:rPr>
                <w:sz w:val="2"/>
                <w:szCs w:val="2"/>
                <w:color w:val="auto"/>
              </w:rPr>
            </w:pPr>
          </w:p>
        </w:tc>
        <w:tc>
          <w:tcPr>
            <w:tcW w:w="50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current assets</w:t>
            </w:r>
          </w:p>
        </w:tc>
        <w:tc>
          <w:tcPr>
            <w:tcW w:w="522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income tax assets, noncurrent, net</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vMerge w:val="restart"/>
          </w:tcPr>
          <w:p>
            <w:pPr>
              <w:jc w:val="right"/>
              <w:ind w:right="10"/>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 net</w:t>
            </w:r>
          </w:p>
        </w:tc>
        <w:tc>
          <w:tcPr>
            <w:tcW w:w="5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56,916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noncurrent liabilities</w:t>
            </w:r>
          </w:p>
        </w:tc>
        <w:tc>
          <w:tcPr>
            <w:tcW w:w="500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(22,808)</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Net assets</w:t>
            </w:r>
          </w:p>
        </w:tc>
        <w:tc>
          <w:tcPr>
            <w:tcW w:w="50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42,468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000" w:type="dxa"/>
            <w:vAlign w:val="bottom"/>
            <w:vMerge w:val="restart"/>
          </w:tcPr>
          <w:p>
            <w:pPr>
              <w:jc w:val="right"/>
              <w:ind w:right="343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At December 31, 2017, the Oil and Gas segment’s net deferred tax assets were primarily comprised of basis differences on oil and gas properties.</w:t>
      </w:r>
    </w:p>
    <w:p>
      <w:pPr>
        <w:spacing w:after="0" w:line="23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BHEP’s Other current liabilities at December 31, 2017 consisted primarily of accrued royalties, payroll and property taxes. Other noncurrent liabilities at December 31, 2017 consisted primarily of ARO obligations relating to plugging and abandonment of oil and gas wells.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results of the Oil and Gas segment included in Discontinued operations on the accompanying Consolidated Statements of Income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color w:val="auto"/>
                <w:w w:val="92"/>
              </w:rPr>
              <w:t>For the Years Ended</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0"/>
        </w:trPr>
        <w:tc>
          <w:tcPr>
            <w:tcW w:w="5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2018</w:t>
            </w: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5,897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25,382</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34,058</w:t>
            </w:r>
          </w:p>
        </w:tc>
      </w:tr>
      <w:tr>
        <w:trPr>
          <w:trHeight w:val="318"/>
        </w:trPr>
        <w:tc>
          <w:tcPr>
            <w:tcW w:w="5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11,014</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22,872</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27,187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on sale of assets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7,521</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106,957</w:t>
            </w:r>
          </w:p>
        </w:tc>
      </w:tr>
      <w:tr>
        <w:trPr>
          <w:trHeight w:val="27"/>
        </w:trPr>
        <w:tc>
          <w:tcPr>
            <w:tcW w:w="526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15,573</w:t>
            </w:r>
          </w:p>
        </w:tc>
        <w:tc>
          <w:tcPr>
            <w:tcW w:w="220" w:type="dxa"/>
            <w:vAlign w:val="bottom"/>
            <w:tcBorders>
              <w:bottom w:val="single" w:sz="8" w:color="CEFFE7"/>
            </w:tcBorders>
            <w:shd w:val="clear" w:color="auto" w:fill="CEFFE7"/>
          </w:tcPr>
          <w:p>
            <w:pPr>
              <w:spacing w:after="0"/>
              <w:rPr>
                <w:sz w:val="22"/>
                <w:szCs w:val="22"/>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50,778</w:t>
            </w:r>
          </w:p>
        </w:tc>
        <w:tc>
          <w:tcPr>
            <w:tcW w:w="220" w:type="dxa"/>
            <w:vAlign w:val="bottom"/>
            <w:tcBorders>
              <w:bottom w:val="single" w:sz="8" w:color="CEFFE7"/>
            </w:tcBorders>
            <w:shd w:val="clear" w:color="auto" w:fill="CEFFE7"/>
          </w:tcPr>
          <w:p>
            <w:pPr>
              <w:spacing w:after="0"/>
              <w:rPr>
                <w:sz w:val="22"/>
                <w:szCs w:val="22"/>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147,654</w:t>
            </w:r>
          </w:p>
        </w:tc>
      </w:tr>
      <w:tr>
        <w:trPr>
          <w:trHeight w:val="318"/>
        </w:trPr>
        <w:tc>
          <w:tcPr>
            <w:tcW w:w="5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(9,676)</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(25,396)</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(113,596)</w:t>
            </w:r>
          </w:p>
        </w:tc>
      </w:tr>
      <w:tr>
        <w:trPr>
          <w:trHeight w:val="324"/>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2,618</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8,413</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48,626</w:t>
            </w:r>
          </w:p>
        </w:tc>
      </w:tr>
      <w:tr>
        <w:trPr>
          <w:trHeight w:val="318"/>
        </w:trPr>
        <w:tc>
          <w:tcPr>
            <w:tcW w:w="5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(6,887)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(17,099)</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(64,162)</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Cost Accounting</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Historically, we used the full cost method of accounting for oil and gas production activities. Under the full cost method, costs related to acquisition, exploration and estimated future expenditures to be incurred in developing proved reserves as well as estimated reclamation and abandonment costs, net of estimated salvage values are capitalized. These costs are amortized using a unit-of-production method based on volumes produced and proved reserves. Any conveyances of properties, including gains or losses on abandonment of properties, are typically treated as adjustments to the cost of the properties with no gain or loss recognized.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directly associated with unproved properties and major development projects, if any, are excluded from the costs to be amortized. These excluded costs are subsequently included within the costs to be amortized when it is determined whether or not proved reserves can be assigned to the properties. The properties excluded from the costs to be amortized are assessed for impairment at least annually and any amount of impairment is added to the costs to be amortized.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full cost method, net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 Future net cash flows are estimated based on SEC-defined end-of-period commodity prices adjusted for contracted price changes and held constant for the life of the reserves. An average price is calculated using the price at the first day of each month for each of the preceding 12 months. If the net capitalized costs exceed the full cost “ceiling” at period end, a permanent non-cash write-down would be charged to earnings in that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801"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discussed above, at December 31, 2017, the fair value of our held for sale assets was less than our carrying value, which required a write down of $20 million. There were no adjustments made to the fair value of our held for sale liabilities.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a result of continued low commodity prices throughout 2016, we recorded non-cash ceiling test impairments of our Oil and Gas assets totaling approximately $92 million for the year ended December 31, 2016. In determining the ceiling value of our assets, we utilized the average of the quoted prices from the first day of each month from the previous 12 months. For natural gas, the average NYMEX price was $2.48 per Mcf, adjusted to $2.25 per Mcf at the wellhead; for crude oil, the average NYMEX price was $42.75 per barrel, adjusted to $37.35 per barrel at the wellhead.</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second quarter of 2016, certain non-core assets were identified that were not suitable for inclusion in a possible Cost of Service Gas Program. We assessed these assets for impairment in accordance with ASC 360. We valued the assets applying a market method approach utilizing assumptions consistent with similar known and measurable transactions and determined that the carrying amount exceeded the fair value. As a result, we recorded a pre-tax impairment of depreciable properties at June 30, 2016 of $14 million, in addition to the ceiling test impairments noted above.</w:t>
      </w:r>
    </w:p>
    <w:p>
      <w:pPr>
        <w:spacing w:after="0" w:line="16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OIL AND GAS RESERVES </w:t>
      </w:r>
      <w:r>
        <w:rPr>
          <w:rFonts w:ascii="Arial" w:cs="Arial" w:eastAsia="Arial" w:hAnsi="Arial"/>
          <w:sz w:val="17"/>
          <w:szCs w:val="17"/>
          <w:color w:val="auto"/>
        </w:rPr>
        <w:t>(Unaudited)</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November 1, 2017, we initiated the process of divesting all Oil and Gas segment assets in order to fully exit the oil and gas business. On November 1, 2017, we stopped the use of the full-cost method of accounting for our oil and gas business. The assets and liabilities have been classified as held for sale and the results of operations are included in income (loss) from discontinued operations, other than certain general and administrative costs and interest expense which do not meet the criteria for income (loss) from discontinued operations. As a result, our oil and gas reserves were no longer considered significant in 2017. Oil and Gas reserves were considered significant in 2016. For more information, see Note 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Following is a summary of costs incurred in oil and gas property acquisition, exploration and development during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9480" w:type="dxa"/>
            <w:vAlign w:val="bottom"/>
            <w:vMerge w:val="restart"/>
          </w:tcPr>
          <w:p>
            <w:pPr>
              <w:ind w:left="40"/>
              <w:spacing w:after="0"/>
              <w:rPr>
                <w:sz w:val="20"/>
                <w:szCs w:val="20"/>
                <w:color w:val="auto"/>
              </w:rPr>
            </w:pPr>
            <w:r>
              <w:rPr>
                <w:rFonts w:ascii="Arial" w:cs="Arial" w:eastAsia="Arial" w:hAnsi="Arial"/>
                <w:sz w:val="18"/>
                <w:szCs w:val="18"/>
                <w:color w:val="auto"/>
              </w:rPr>
              <w:t>Acquisition of properties:</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Proved</w:t>
            </w:r>
          </w:p>
        </w:tc>
        <w:tc>
          <w:tcPr>
            <w:tcW w:w="4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Unproved</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Exploration costs</w:t>
            </w:r>
          </w:p>
        </w:tc>
        <w:tc>
          <w:tcPr>
            <w:tcW w:w="46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Development costs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 retirement obligations incurred</w:t>
            </w:r>
          </w:p>
        </w:tc>
        <w:tc>
          <w:tcPr>
            <w:tcW w:w="46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480" w:type="dxa"/>
            <w:vAlign w:val="bottom"/>
          </w:tcPr>
          <w:p>
            <w:pPr>
              <w:ind w:left="280"/>
              <w:spacing w:after="0"/>
              <w:rPr>
                <w:sz w:val="20"/>
                <w:szCs w:val="20"/>
                <w:color w:val="auto"/>
              </w:rPr>
            </w:pPr>
            <w:r>
              <w:rPr>
                <w:rFonts w:ascii="Arial" w:cs="Arial" w:eastAsia="Arial" w:hAnsi="Arial"/>
                <w:sz w:val="18"/>
                <w:szCs w:val="18"/>
                <w:color w:val="auto"/>
              </w:rPr>
              <w:t>Total costs incurred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following table summarizes BHEP’s quantities of proved developed and undeveloped oil, natural gas and NGL reserves, estimated using SEC-defined product prices, as of December 31, 2016 and a reconciliation of the changes. The summary information presented for our estimated proved developed and undeveloped crude oil, natural gas, and NGL reserves and the 10% discounted present value of estimated future net revenues is based on reports prepared by Cawley Gillespie &amp; Associates (CG&amp;A), an independent consulting and engineering firm located in Fort Worth, Texas. CG&amp;A is a Texas Registered Engineering Firm. Our primary contact at CG&amp;A is Mr. Zane Meekins. Mr. Meekins has been practicing consulting petroleum engineering since 1989. Mr. Meekins is a Registered Professional Engineer in the State of Texas, a member of the Society of Petroleum Evaluation Engineers (SPEE), and has over 31 years of practical experience in petroleum engineering and over 29 years of experience in the estimation and evaluation of reserves. Reserves were determined consistent with SEC requirements using a 12-month average product price calculated using the first-day-of-the-month price for each of the 12 months in the reporting period held constant for the life of the properties. Reserves for crude oil, natural gas, and NGLs are reported separately and then combined for a total MMcfe (where oil and NGLs in Mbbl are converted to an MMcfe basis by multiplying Mbbl by six). Such reserve estimates were inherently imprecise and may be subject to revisions as a result of numerous factors including, but not limited to, additional development activity, evolving production history and continual reassessment of the viability of production under varying economic conditions.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800"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i w:val="1"/>
          <w:iCs w:val="1"/>
          <w:color w:val="auto"/>
        </w:rPr>
        <w:t>Minor differences in amounts may result in the following tables relating to oil and gas reserves due to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Oil</w:t>
            </w:r>
          </w:p>
        </w:tc>
        <w:tc>
          <w:tcPr>
            <w:tcW w:w="2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Gas</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NGL</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3080" w:type="dxa"/>
            <w:vAlign w:val="bottom"/>
            <w:gridSpan w:val="6"/>
          </w:tcPr>
          <w:p>
            <w:pPr>
              <w:ind w:left="20"/>
              <w:spacing w:after="0"/>
              <w:rPr>
                <w:sz w:val="20"/>
                <w:szCs w:val="20"/>
                <w:color w:val="auto"/>
              </w:rPr>
            </w:pPr>
            <w:r>
              <w:rPr>
                <w:rFonts w:ascii="Arial" w:cs="Arial" w:eastAsia="Arial" w:hAnsi="Arial"/>
                <w:sz w:val="18"/>
                <w:szCs w:val="18"/>
                <w:color w:val="auto"/>
              </w:rPr>
              <w:t>(in Mbbls of oil and NGL, and MMcf of</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gas)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Proved developed and undeveloped reserves:</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73,412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Production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EFFE7"/>
          </w:tcPr>
          <w:p>
            <w:pPr>
              <w:spacing w:after="0"/>
              <w:rPr>
                <w:sz w:val="23"/>
                <w:szCs w:val="23"/>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(9,430)</w:t>
            </w:r>
          </w:p>
        </w:tc>
        <w:tc>
          <w:tcPr>
            <w:tcW w:w="240" w:type="dxa"/>
            <w:vAlign w:val="bottom"/>
            <w:shd w:val="clear" w:color="auto" w:fill="CEFFE7"/>
          </w:tcPr>
          <w:p>
            <w:pPr>
              <w:spacing w:after="0"/>
              <w:rPr>
                <w:sz w:val="23"/>
                <w:szCs w:val="23"/>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Additions - extensions and discoveries</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Revisions to previous estimates</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2,242</w:t>
            </w:r>
          </w:p>
        </w:tc>
        <w:tc>
          <w:tcPr>
            <w:tcW w:w="240" w:type="dxa"/>
            <w:vAlign w:val="bottom"/>
            <w:tcBorders>
              <w:bottom w:val="single" w:sz="8" w:color="auto"/>
            </w:tcBorders>
            <w:shd w:val="clear" w:color="auto" w:fill="CEFFE7"/>
          </w:tcPr>
          <w:p>
            <w:pPr>
              <w:spacing w:after="0"/>
              <w:rPr>
                <w:sz w:val="22"/>
                <w:szCs w:val="22"/>
                <w:color w:val="auto"/>
              </w:rPr>
            </w:pPr>
          </w:p>
        </w:tc>
        <w:tc>
          <w:tcPr>
            <w:tcW w:w="7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54,570</w:t>
            </w:r>
          </w:p>
        </w:tc>
        <w:tc>
          <w:tcPr>
            <w:tcW w:w="240" w:type="dxa"/>
            <w:vAlign w:val="bottom"/>
            <w:tcBorders>
              <w:bottom w:val="single" w:sz="8" w:color="auto"/>
            </w:tcBorders>
            <w:shd w:val="clear" w:color="auto" w:fill="CEFFE7"/>
          </w:tcPr>
          <w:p>
            <w:pPr>
              <w:spacing w:after="0"/>
              <w:rPr>
                <w:sz w:val="22"/>
                <w:szCs w:val="22"/>
                <w:color w:val="auto"/>
              </w:rPr>
            </w:pP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Proved developed reserves at end of year included above</w:t>
            </w:r>
          </w:p>
        </w:tc>
        <w:tc>
          <w:tcPr>
            <w:tcW w:w="36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2,242</w:t>
            </w:r>
          </w:p>
        </w:tc>
        <w:tc>
          <w:tcPr>
            <w:tcW w:w="240" w:type="dxa"/>
            <w:vAlign w:val="bottom"/>
            <w:tcBorders>
              <w:bottom w:val="single" w:sz="8" w:color="auto"/>
            </w:tcBorders>
            <w:shd w:val="clear" w:color="auto" w:fill="CEFFE7"/>
          </w:tcPr>
          <w:p>
            <w:pPr>
              <w:spacing w:after="0"/>
              <w:rPr>
                <w:sz w:val="22"/>
                <w:szCs w:val="22"/>
                <w:color w:val="auto"/>
              </w:rPr>
            </w:pPr>
          </w:p>
        </w:tc>
        <w:tc>
          <w:tcPr>
            <w:tcW w:w="7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54,570</w:t>
            </w:r>
          </w:p>
        </w:tc>
        <w:tc>
          <w:tcPr>
            <w:tcW w:w="240" w:type="dxa"/>
            <w:vAlign w:val="bottom"/>
            <w:tcBorders>
              <w:bottom w:val="single" w:sz="8" w:color="auto"/>
            </w:tcBorders>
            <w:shd w:val="clear" w:color="auto" w:fill="CEFFE7"/>
          </w:tcPr>
          <w:p>
            <w:pPr>
              <w:spacing w:after="0"/>
              <w:rPr>
                <w:sz w:val="22"/>
                <w:szCs w:val="22"/>
                <w:color w:val="auto"/>
              </w:rPr>
            </w:pP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Proved undeveloped reserves at the end of year included in above</w:t>
            </w:r>
          </w:p>
        </w:tc>
        <w:tc>
          <w:tcPr>
            <w:tcW w:w="36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EFFE7"/>
          </w:tcPr>
          <w:p>
            <w:pPr>
              <w:spacing w:after="0"/>
              <w:rPr>
                <w:sz w:val="22"/>
                <w:szCs w:val="22"/>
                <w:color w:val="auto"/>
              </w:rPr>
            </w:pPr>
          </w:p>
        </w:tc>
        <w:tc>
          <w:tcPr>
            <w:tcW w:w="7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EFFE7"/>
          </w:tcPr>
          <w:p>
            <w:pPr>
              <w:spacing w:after="0"/>
              <w:rPr>
                <w:sz w:val="22"/>
                <w:szCs w:val="22"/>
                <w:color w:val="auto"/>
              </w:rPr>
            </w:pP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NYMEX prices</w:t>
            </w:r>
          </w:p>
        </w:tc>
        <w:tc>
          <w:tcPr>
            <w:tcW w:w="3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42.75</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EFFE7"/>
            </w:tcBorders>
            <w:shd w:val="clear" w:color="auto" w:fill="CEFFE7"/>
          </w:tcPr>
          <w:p>
            <w:pPr>
              <w:ind w:left="40"/>
              <w:spacing w:after="0" w:line="270" w:lineRule="exact"/>
              <w:rPr>
                <w:sz w:val="20"/>
                <w:szCs w:val="20"/>
                <w:color w:val="auto"/>
              </w:rPr>
            </w:pPr>
            <w:r>
              <w:rPr>
                <w:rFonts w:ascii="Arial" w:cs="Arial" w:eastAsia="Arial" w:hAnsi="Arial"/>
                <w:sz w:val="18"/>
                <w:szCs w:val="18"/>
                <w:color w:val="auto"/>
              </w:rPr>
              <w:t>Well-head reserve prices</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37.35</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6"/>
                <w:szCs w:val="16"/>
                <w:color w:val="auto"/>
              </w:rPr>
              <w:t>________________________</w:t>
            </w: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Production for reserve calculations did not include volumes for natural gas liquids (NGLs) for historical periods.</w:t>
      </w:r>
    </w:p>
    <w:p>
      <w:pPr>
        <w:spacing w:after="0" w:line="5"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specific NYMEX price for NGL was not available. Market prices for NGL are broken down by various liquid components, including ethane, propane, isobutane, normal butane, and natural gasoline. Each of these components is traded as an index. Ethane was not being recovered at any of the facilities that process our natural gas production.</w:t>
      </w:r>
    </w:p>
    <w:p>
      <w:pPr>
        <w:spacing w:after="0" w:line="1" w:lineRule="exact"/>
        <w:rPr>
          <w:rFonts w:ascii="Arial" w:cs="Arial" w:eastAsia="Arial" w:hAnsi="Arial"/>
          <w:sz w:val="16"/>
          <w:szCs w:val="16"/>
          <w:color w:val="auto"/>
        </w:rPr>
      </w:pPr>
    </w:p>
    <w:p>
      <w:pPr>
        <w:ind w:left="340" w:right="100" w:hanging="332"/>
        <w:spacing w:after="0" w:line="252"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reserves purposes, costs to gather gas previously netted from the gas price were reclassified into operating expenses in 2016, with approximate rates of $1.54/Mcf for Piceance, $0.92/Mcf for San Juan and $0.53/Mcf for all others. The sales price for natural gas was adjusted for transportation costs and other related deductions when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r>
              <w:rPr>
                <w:rFonts w:ascii="Arial" w:cs="Arial" w:eastAsia="Arial" w:hAnsi="Arial"/>
                <w:sz w:val="18"/>
                <w:szCs w:val="18"/>
                <w:b w:val="1"/>
                <w:bCs w:val="1"/>
                <w:color w:val="auto"/>
              </w:rPr>
              <w:t>Capitalized Costs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Following is information concerning capitalized costs for the years ended December 31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Unproved oil and gas properties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Proved oil and gas properties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1,043,558</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Gross capitalized costs</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1,062,105</w:t>
            </w:r>
          </w:p>
        </w:tc>
        <w:tc>
          <w:tcPr>
            <w:tcW w:w="0" w:type="dxa"/>
            <w:vAlign w:val="bottom"/>
          </w:tcPr>
          <w:p>
            <w:pPr>
              <w:spacing w:after="0"/>
              <w:rPr>
                <w:sz w:val="1"/>
                <w:szCs w:val="1"/>
                <w:color w:val="auto"/>
              </w:rPr>
            </w:pPr>
          </w:p>
        </w:tc>
      </w:tr>
      <w:tr>
        <w:trPr>
          <w:trHeight w:val="324"/>
        </w:trPr>
        <w:tc>
          <w:tcPr>
            <w:tcW w:w="9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Accumulated depreciation, depletion and amortization and valuation allowances</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(1,000,091)</w:t>
            </w:r>
          </w:p>
        </w:tc>
        <w:tc>
          <w:tcPr>
            <w:tcW w:w="0" w:type="dxa"/>
            <w:vAlign w:val="bottom"/>
          </w:tcPr>
          <w:p>
            <w:pPr>
              <w:spacing w:after="0"/>
              <w:rPr>
                <w:sz w:val="1"/>
                <w:szCs w:val="1"/>
                <w:color w:val="auto"/>
              </w:rPr>
            </w:pP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Net capitalized costs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62,014</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5580"/>
              <w:spacing w:after="0"/>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more on oil and gas producing activities included in discontinued operations, see Note 21. Following is a summary of results of operations for producing activities for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982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34,058</w:t>
            </w:r>
          </w:p>
        </w:tc>
      </w:tr>
      <w:tr>
        <w:trPr>
          <w:trHeight w:val="318"/>
        </w:trPr>
        <w:tc>
          <w:tcPr>
            <w:tcW w:w="98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Production costs</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17,231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12,574</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106,957</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costs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136,762</w:t>
            </w:r>
          </w:p>
        </w:tc>
      </w:tr>
      <w:tr>
        <w:trPr>
          <w:trHeight w:val="27"/>
        </w:trPr>
        <w:tc>
          <w:tcPr>
            <w:tcW w:w="982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Results of operations from producing activities before tax</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(102,704)</w:t>
            </w:r>
          </w:p>
        </w:tc>
      </w:tr>
      <w:tr>
        <w:trPr>
          <w:trHeight w:val="324"/>
        </w:trPr>
        <w:tc>
          <w:tcPr>
            <w:tcW w:w="9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37,916</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Results of operations from producing activities (excluding general and administrative costs and interest costs)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(64,788)</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Unproved Properties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Unproved properties not subject to amortization at December 31, 2016 consisted mainly of exploration costs on various existing work-in-progress projects as well as leasehold acquired through significant natural gas and oil property acquisitions and through direct purchases of leasehold. We capitalized approximately $0.9 million of interest during 2016 on significant investments in unproved properties that were not yet included in the amortization base of the full-cost pool.</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the cost of unproved properties excluded from the amortization base as of December 31, 2016 and notes the year in which the associated costs were incurred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97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Leasehold acquisition cost</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Exploration cost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Capitalized interest</w:t>
            </w:r>
          </w:p>
        </w:tc>
        <w:tc>
          <w:tcPr>
            <w:tcW w:w="4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1,545</w:t>
            </w:r>
          </w:p>
        </w:tc>
      </w:tr>
      <w:tr>
        <w:trPr>
          <w:trHeight w:val="20"/>
        </w:trPr>
        <w:tc>
          <w:tcPr>
            <w:tcW w:w="9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Net Cash Flows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is a summary of the standardized measure of discounted future net cash flows and changes relating to proved oil and gas reserves for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EFFE7"/>
            </w:tcBorders>
          </w:tcPr>
          <w:p>
            <w:pPr>
              <w:spacing w:after="0"/>
              <w:rPr>
                <w:sz w:val="2"/>
                <w:szCs w:val="2"/>
                <w:color w:val="auto"/>
              </w:rPr>
            </w:pPr>
          </w:p>
        </w:tc>
        <w:tc>
          <w:tcPr>
            <w:tcW w:w="47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Future cash inflows</w:t>
            </w:r>
          </w:p>
        </w:tc>
        <w:tc>
          <w:tcPr>
            <w:tcW w:w="5080" w:type="dxa"/>
            <w:vAlign w:val="bottom"/>
            <w:tcBorders>
              <w:bottom w:val="single" w:sz="8" w:color="CEFFE7"/>
            </w:tcBorders>
            <w:gridSpan w:val="2"/>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246,221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(166,248)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8"/>
              </w:rPr>
              <w:t>Future development costs, including plugging and abandonment</w:t>
            </w:r>
          </w:p>
        </w:tc>
        <w:tc>
          <w:tcPr>
            <w:tcW w:w="47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(18,333)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Future net cash flows</w:t>
            </w:r>
          </w:p>
        </w:tc>
        <w:tc>
          <w:tcPr>
            <w:tcW w:w="4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61,640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10% annual discount for estimated timing of cash flows</w:t>
            </w:r>
          </w:p>
        </w:tc>
        <w:tc>
          <w:tcPr>
            <w:tcW w:w="47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47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35,066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700" w:type="dxa"/>
            <w:vAlign w:val="bottom"/>
            <w:vMerge w:val="restart"/>
          </w:tcPr>
          <w:p>
            <w:pPr>
              <w:jc w:val="right"/>
              <w:ind w:right="3890"/>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8" w:name="page159"/>
    <w:bookmarkEnd w:id="158"/>
    <w:p>
      <w:pPr>
        <w:ind w:right="280"/>
        <w:spacing w:after="0" w:line="277" w:lineRule="auto"/>
        <w:rPr>
          <w:sz w:val="20"/>
          <w:szCs w:val="20"/>
          <w:color w:val="auto"/>
        </w:rPr>
      </w:pPr>
      <w:r>
        <w:rPr>
          <w:rFonts w:ascii="Arial" w:cs="Arial" w:eastAsia="Arial" w:hAnsi="Arial"/>
          <w:sz w:val="18"/>
          <w:szCs w:val="18"/>
          <w:color w:val="auto"/>
        </w:rPr>
        <w:t>The following are the principal sources of change in the standardized measure of discounted future net cash flows during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982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Standardized measure - beginning of year</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79,028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Sales and transfers of oil and gas produced, net of production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(32,698)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Changes in future development costs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(7,477)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7,903</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Sales of reserves</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(9,201)</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Standardized measure -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35,066</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Changes in the standardized measure from “revisions of previous quantity estimates” were driven by reserve revisions, modifications of production profiles and timing of future development. For all years presented, we had minimal net reserve revisions to prior estimates due to performance. Production forecast modifications were generally made at the well level each year through the reserve review process. These production profile modifications were based on incorporation of the most recent production information and applicable technical studies. Timing of future development investments were reviewed each year and were often modified in response to current market conditions for items such as permitting and service availability.</w:t>
      </w:r>
    </w:p>
    <w:p>
      <w:pPr>
        <w:spacing w:after="0" w:line="3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QUARTERLY HISTORICAL DATA </w:t>
      </w:r>
      <w:r>
        <w:rPr>
          <w:rFonts w:ascii="Arial" w:cs="Arial" w:eastAsia="Arial" w:hAnsi="Arial"/>
          <w:sz w:val="17"/>
          <w:szCs w:val="17"/>
          <w:color w:val="auto"/>
        </w:rPr>
        <w:t>(Unaudited)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operates on a calendar year basis. The following tables set forth select unaudited historical operating results and market data for each quarter of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Third</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First Quarter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2"/>
              </w:rPr>
              <w:t>Second Quarter</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Quarter</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Fourth Quarter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gridSpan w:val="7"/>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80" w:type="dxa"/>
            <w:vAlign w:val="bottom"/>
            <w:gridSpan w:val="7"/>
          </w:tcPr>
          <w:p>
            <w:pPr>
              <w:jc w:val="right"/>
              <w:ind w:right="90"/>
              <w:spacing w:after="0"/>
              <w:rPr>
                <w:sz w:val="20"/>
                <w:szCs w:val="20"/>
                <w:color w:val="auto"/>
              </w:rPr>
            </w:pPr>
            <w:r>
              <w:rPr>
                <w:rFonts w:ascii="Arial" w:cs="Arial" w:eastAsia="Arial" w:hAnsi="Arial"/>
                <w:sz w:val="18"/>
                <w:szCs w:val="18"/>
                <w:color w:val="auto"/>
                <w:w w:val="89"/>
              </w:rPr>
              <w:t>(in thousands, except per share amounts, dividends and common</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3"/>
          </w:tcPr>
          <w:p>
            <w:pPr>
              <w:jc w:val="right"/>
              <w:ind w:right="690"/>
              <w:spacing w:after="0"/>
              <w:rPr>
                <w:sz w:val="20"/>
                <w:szCs w:val="20"/>
                <w:color w:val="auto"/>
              </w:rPr>
            </w:pPr>
            <w:r>
              <w:rPr>
                <w:rFonts w:ascii="Arial" w:cs="Arial" w:eastAsia="Arial" w:hAnsi="Arial"/>
                <w:sz w:val="18"/>
                <w:szCs w:val="18"/>
                <w:color w:val="auto"/>
              </w:rPr>
              <w:t>stock prices)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2018</w:t>
            </w: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575,389</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355,704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321,979</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501,196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148,274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69,551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114,127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138,977</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27,167</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21,801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91,604</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(3,630)</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(3,994)</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(3,773)</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133,004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86,571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600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Amounts attributable to common shareholders: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636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135,347</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24,344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17,807</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87,831</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Net income (loss)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133,004</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21,917</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16,950</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86,571</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Basic</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0.46</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0.33</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Basic</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2.49</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0.32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1.50</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Diluted</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0.32</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Diluted</w:t>
            </w:r>
          </w:p>
        </w:tc>
        <w:tc>
          <w:tcPr>
            <w:tcW w:w="140" w:type="dxa"/>
            <w:vAlign w:val="bottom"/>
            <w:tcBorders>
              <w:bottom w:val="single" w:sz="8" w:color="auto"/>
            </w:tcBorders>
            <w:shd w:val="clear" w:color="auto" w:fill="CEFFE7"/>
          </w:tcPr>
          <w:p>
            <w:pPr>
              <w:spacing w:after="0"/>
              <w:rPr>
                <w:sz w:val="22"/>
                <w:szCs w:val="22"/>
                <w:color w:val="auto"/>
              </w:rPr>
            </w:pP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auto"/>
            </w:tcBorders>
            <w:shd w:val="clear" w:color="auto" w:fill="CEFFE7"/>
          </w:tcPr>
          <w:p>
            <w:pPr>
              <w:spacing w:after="0"/>
              <w:rPr>
                <w:sz w:val="22"/>
                <w:szCs w:val="22"/>
                <w:color w:val="auto"/>
              </w:rPr>
            </w:pP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0.31</w:t>
            </w:r>
          </w:p>
        </w:tc>
        <w:tc>
          <w:tcPr>
            <w:tcW w:w="340" w:type="dxa"/>
            <w:vAlign w:val="bottom"/>
            <w:tcBorders>
              <w:bottom w:val="single" w:sz="8" w:color="auto"/>
            </w:tcBorders>
            <w:shd w:val="clear" w:color="auto" w:fill="CEFFE7"/>
          </w:tcPr>
          <w:p>
            <w:pPr>
              <w:spacing w:after="0"/>
              <w:rPr>
                <w:sz w:val="22"/>
                <w:szCs w:val="22"/>
                <w:color w:val="auto"/>
              </w:rPr>
            </w:pP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20"/>
          </w:cols>
          <w:pgMar w:left="240" w:top="585" w:right="239" w:bottom="1440" w:gutter="0" w:footer="0" w:header="0"/>
          <w:type w:val="continuous"/>
        </w:sectPr>
      </w:pPr>
    </w:p>
    <w:bookmarkStart w:id="159" w:name="page160"/>
    <w:bookmarkEnd w:id="159"/>
    <w:p>
      <w:pPr>
        <w:ind w:right="720"/>
        <w:spacing w:after="0" w:line="277" w:lineRule="auto"/>
        <w:rPr>
          <w:sz w:val="20"/>
          <w:szCs w:val="20"/>
          <w:color w:val="auto"/>
        </w:rPr>
      </w:pPr>
      <w:r>
        <w:rPr>
          <w:rFonts w:ascii="Arial" w:cs="Arial" w:eastAsia="Arial" w:hAnsi="Arial"/>
          <w:sz w:val="18"/>
          <w:szCs w:val="18"/>
          <w:color w:val="auto"/>
        </w:rPr>
        <w:t>Included within the Income (loss) from continuing operations in the first and fourth quarters of 2018 are tax benefits of $49 million and $23 million, respectively, related to goodwill that is amortizable for tax purposes which resulted from legal entity restructuring.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Third</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Fourth</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First Quarter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2"/>
              </w:rPr>
              <w:t>Second Quarter</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Quarter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gridSpan w:val="7"/>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80" w:type="dxa"/>
            <w:vAlign w:val="bottom"/>
            <w:gridSpan w:val="7"/>
          </w:tcPr>
          <w:p>
            <w:pPr>
              <w:jc w:val="right"/>
              <w:ind w:right="90"/>
              <w:spacing w:after="0"/>
              <w:rPr>
                <w:sz w:val="20"/>
                <w:szCs w:val="20"/>
                <w:color w:val="auto"/>
              </w:rPr>
            </w:pPr>
            <w:r>
              <w:rPr>
                <w:rFonts w:ascii="Arial" w:cs="Arial" w:eastAsia="Arial" w:hAnsi="Arial"/>
                <w:sz w:val="18"/>
                <w:szCs w:val="18"/>
                <w:color w:val="auto"/>
                <w:w w:val="89"/>
              </w:rPr>
              <w:t>(in thousands, except per share amounts, dividends and common</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3"/>
          </w:tcPr>
          <w:p>
            <w:pPr>
              <w:jc w:val="right"/>
              <w:ind w:right="690"/>
              <w:spacing w:after="0"/>
              <w:rPr>
                <w:sz w:val="20"/>
                <w:szCs w:val="20"/>
                <w:color w:val="auto"/>
              </w:rPr>
            </w:pPr>
            <w:r>
              <w:rPr>
                <w:rFonts w:ascii="Arial" w:cs="Arial" w:eastAsia="Arial" w:hAnsi="Arial"/>
                <w:sz w:val="18"/>
                <w:szCs w:val="18"/>
                <w:color w:val="auto"/>
              </w:rPr>
              <w:t>stock prices)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2017</w:t>
            </w: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547,528</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341,829</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335,611</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455,298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150,186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69,796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79,559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117,195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81,715</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25,927</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32,898</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67,835</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(3,623)</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(3,116)</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(3,568)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76,523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22,195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27,663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50,653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600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Amounts attributable to common shareholders: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636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78,092</w:t>
            </w:r>
          </w:p>
        </w:tc>
        <w:tc>
          <w:tcPr>
            <w:tcW w:w="3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22,811</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28,963</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64,267</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Net income (loss) from discontinued operations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Borders>
              <w:bottom w:val="single" w:sz="8" w:color="auto"/>
            </w:tcBorders>
            <w:shd w:val="clear" w:color="auto" w:fill="CEFFE7"/>
          </w:tcPr>
          <w:p>
            <w:pPr>
              <w:spacing w:after="0"/>
              <w:rPr>
                <w:sz w:val="22"/>
                <w:szCs w:val="22"/>
                <w:color w:val="auto"/>
              </w:rPr>
            </w:pP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76,523</w:t>
            </w:r>
          </w:p>
        </w:tc>
        <w:tc>
          <w:tcPr>
            <w:tcW w:w="360" w:type="dxa"/>
            <w:vAlign w:val="bottom"/>
            <w:tcBorders>
              <w:bottom w:val="single" w:sz="8" w:color="auto"/>
            </w:tcBorders>
            <w:shd w:val="clear" w:color="auto" w:fill="CEFFE7"/>
          </w:tcPr>
          <w:p>
            <w:pPr>
              <w:spacing w:after="0"/>
              <w:rPr>
                <w:sz w:val="22"/>
                <w:szCs w:val="22"/>
                <w:color w:val="auto"/>
              </w:rPr>
            </w:pP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22,195</w:t>
            </w:r>
          </w:p>
        </w:tc>
        <w:tc>
          <w:tcPr>
            <w:tcW w:w="2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27,663</w:t>
            </w:r>
          </w:p>
        </w:tc>
        <w:tc>
          <w:tcPr>
            <w:tcW w:w="2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50,653</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Basic</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0.54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Basic</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Basic</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0.52</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0.95</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Diluted</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0.52</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Diluted</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Diluted</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1.39</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0.50</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0.92</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Income from continuing operations for each quarter of 2017 included external incremental acquisition and transaction costs. We incurred after-tax external incremental acquisition and transaction expenses of $0.9 million during the first quarter, $0.3 million during the second quarter, $0.2 million during the third quarter and $1.3 million during the fourth quarter.</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Included within the Income (loss) from continuing operations in the fourth quarter of 2017 is a net tax benefit of $7.6 million from the impact of the TCJA, as well as a tax benefit of $4.1 million from a true-up to the filed 2016 SourceGas tax returns related to the SourceGas acquisition.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Included within the Loss from discontinued operations in the fourth quarter of 2017 is an after-tax non-cash impairment of oil and gas properties of $13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801" w:right="239" w:bottom="1440" w:gutter="0" w:footer="0" w:header="0"/>
        </w:sectPr>
      </w:pPr>
    </w:p>
    <w:bookmarkStart w:id="160" w:name="page161"/>
    <w:bookmarkEnd w:id="160"/>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(Exchange Act)) as of December 31, 2018. Based on their evaluation, they have concluded that our disclosure controls and procedures are effective.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quarter ended December 31, 2018, there were no changes in the Company’s internal control over financial reporting (as defined in Rule 13a-15(f) under the Securities Exchange Act of 1934) that have materially affected, or are reasonably likely to materially affect, the Company’s internal control over financial reporting.</w:t>
      </w:r>
    </w:p>
    <w:p>
      <w:pPr>
        <w:spacing w:after="0" w:line="343"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Management’s Report on Internal Control over Financial Reporting is presented on Page </w:t>
      </w:r>
      <w:hyperlink w:anchor="page86">
        <w:r>
          <w:rPr>
            <w:rFonts w:ascii="Arial" w:cs="Arial" w:eastAsia="Arial" w:hAnsi="Arial"/>
            <w:sz w:val="18"/>
            <w:szCs w:val="18"/>
            <w:u w:val="single" w:color="auto"/>
            <w:color w:val="0000EE"/>
          </w:rPr>
          <w:t>86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00"/>
          </w:cols>
          <w:pgMar w:left="240" w:top="581" w:right="3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Information required under this item with respect to directors and information required by Items 401, 405, 406, 407(c)(3), 407(d)(4) and 407(d)(5) of Regulation S-K, is set forth in the Proxy Statement for our 2019 Annual Meeting of Shareholders,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David R. Emery, </w:t>
      </w:r>
      <w:r>
        <w:rPr>
          <w:rFonts w:ascii="Arial" w:cs="Arial" w:eastAsia="Arial" w:hAnsi="Arial"/>
          <w:sz w:val="16"/>
          <w:szCs w:val="16"/>
          <w:color w:val="auto"/>
        </w:rPr>
        <w:t>age 56, has been Executive Chairman since January 1, 2019, Chairman and Chief Executive Officer from 2016 through 2018,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President and Chief Executive Officer from 2005 through 2015. Prior to that, he held various positions with the Company, including President and Chief Executive Officer and member of the Board of Directors from 2004 to 2005, President and Chief Operating Officer — Retail Business Segment from 2003 to 2004 and Vice President — Fuel Resources from 1997 to 2003. Mr. Emery has 29 years of experience with the Company.</w:t>
      </w:r>
    </w:p>
    <w:p>
      <w:pPr>
        <w:spacing w:after="0" w:line="151"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56,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17 years of experience with the Company.</w:t>
      </w:r>
    </w:p>
    <w:p>
      <w:pPr>
        <w:spacing w:after="0" w:line="14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Scott A. Buchholz, </w:t>
      </w:r>
      <w:r>
        <w:rPr>
          <w:rFonts w:ascii="Arial" w:cs="Arial" w:eastAsia="Arial" w:hAnsi="Arial"/>
          <w:sz w:val="18"/>
          <w:szCs w:val="18"/>
          <w:color w:val="auto"/>
        </w:rPr>
        <w:t>age 57, has been our Senior Vice President — Chief Information Officer since the closing of the Aquila Transaction in 2008.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the Company, he was Aquila’s Vice President of Information Technology from 2005 until 2008, Six Sigma Deployment Leader/Black Belt from 2004 until 2005, and General Manager, Corporate Information Technology from 2002 until 2004. Mr. Buchholz has 38 years of experience with the Company, including 28 years with Aquila.</w:t>
      </w:r>
    </w:p>
    <w:p>
      <w:pPr>
        <w:spacing w:after="0" w:line="180"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Brian G. Iverson, </w:t>
      </w:r>
      <w:r>
        <w:rPr>
          <w:rFonts w:ascii="Arial" w:cs="Arial" w:eastAsia="Arial" w:hAnsi="Arial"/>
          <w:sz w:val="16"/>
          <w:szCs w:val="16"/>
          <w:color w:val="auto"/>
        </w:rPr>
        <w:t>age 56, has been Senior Vice President, General Counsel, Chief Compliance Officer and Corporate Secretary since February 1, 2019. He</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15 years of experience with the Company.</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Richard W. Kinzley, </w:t>
      </w:r>
      <w:r>
        <w:rPr>
          <w:rFonts w:ascii="Arial" w:cs="Arial" w:eastAsia="Arial" w:hAnsi="Arial"/>
          <w:sz w:val="18"/>
          <w:szCs w:val="18"/>
          <w:color w:val="auto"/>
        </w:rPr>
        <w:t>age 53, has been Senior Vice President and Chief Financial Officer since 2015. He served as Vice President - Corporate Controller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2013 to 2014, Vice President - Strategic Planning and Development from 2008 to 2013, and as Director of Corporate Development from 2000 to 2008. Mr. Kinzley has 19 years of experience with the Company.</w:t>
      </w:r>
    </w:p>
    <w:p>
      <w:pPr>
        <w:spacing w:after="0" w:line="176"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Jennifer C. Landis, </w:t>
      </w:r>
      <w:r>
        <w:rPr>
          <w:rFonts w:ascii="Arial" w:cs="Arial" w:eastAsia="Arial" w:hAnsi="Arial"/>
          <w:sz w:val="17"/>
          <w:szCs w:val="17"/>
          <w:color w:val="auto"/>
        </w:rPr>
        <w:t>age 44, has been Senior Vice President - Chief Human Resources Officer since February 1, 2017. She served as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from April 2016 through January 2017, Director of Corporate Human Resources and Talent Management from 2013 to April 2016, and Director of Organization Development from 2008 to 2013. Ms. Landis has 17 years of experience with the Company.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required under this item is set forth in the Proxy Statement for our 2019 Annual Meeting of Shareholders, which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580" w:right="259" w:bottom="1440" w:gutter="0" w:footer="0" w:header="0"/>
        </w:sectPr>
      </w:pPr>
    </w:p>
    <w:bookmarkStart w:id="162" w:name="page163"/>
    <w:bookmarkEnd w:id="162"/>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regarding the security ownership of certain beneficial owners and management is set forth in the Proxy Statement for our 2019 Annual Meeting of Shareholders,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includes information as of December 31, 2018 with respect to our equity compensation plans. These plans include the 2005 Omnibus Incentive Plan and 2015 Omnibus Incentive Plan.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Equity Compensation Plan Information</w:t>
            </w: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2"/>
              </w:rPr>
              <w:t>Number of securities remaining</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89"/>
              </w:rPr>
              <w:t>Number of securities to be issued</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 exercise price of</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0"/>
              </w:rPr>
              <w:t>equity compensation 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upon exercise of outstanding</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0"/>
              </w:rPr>
              <w:t>outstanding options, warrants and</w:t>
            </w: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30"/>
        </w:trPr>
        <w:tc>
          <w:tcPr>
            <w:tcW w:w="3540" w:type="dxa"/>
            <w:vAlign w:val="bottom"/>
          </w:tcPr>
          <w:p>
            <w:pPr>
              <w:ind w:left="1280"/>
              <w:spacing w:after="0"/>
              <w:rPr>
                <w:sz w:val="20"/>
                <w:szCs w:val="20"/>
                <w:color w:val="auto"/>
              </w:rPr>
            </w:pPr>
            <w:r>
              <w:rPr>
                <w:rFonts w:ascii="Arial" w:cs="Arial" w:eastAsia="Arial" w:hAnsi="Arial"/>
                <w:sz w:val="18"/>
                <w:szCs w:val="18"/>
                <w:color w:val="auto"/>
              </w:rPr>
              <w:t>Plan category</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rights</w:t>
            </w:r>
          </w:p>
        </w:tc>
        <w:tc>
          <w:tcPr>
            <w:tcW w:w="2280" w:type="dxa"/>
            <w:vAlign w:val="bottom"/>
          </w:tcPr>
          <w:p>
            <w:pPr>
              <w:jc w:val="center"/>
              <w:ind w:left="250"/>
              <w:spacing w:after="0"/>
              <w:rPr>
                <w:sz w:val="20"/>
                <w:szCs w:val="20"/>
                <w:color w:val="auto"/>
              </w:rPr>
            </w:pPr>
            <w:r>
              <w:rPr>
                <w:rFonts w:ascii="Arial" w:cs="Arial" w:eastAsia="Arial" w:hAnsi="Arial"/>
                <w:sz w:val="18"/>
                <w:szCs w:val="18"/>
                <w:color w:val="auto"/>
                <w:w w:val="94"/>
              </w:rPr>
              <w:t>column (a))</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60" w:type="dxa"/>
            <w:vAlign w:val="bottom"/>
          </w:tcPr>
          <w:p>
            <w:pPr>
              <w:jc w:val="center"/>
              <w:ind w:left="330"/>
              <w:spacing w:after="0"/>
              <w:rPr>
                <w:sz w:val="20"/>
                <w:szCs w:val="20"/>
                <w:color w:val="auto"/>
              </w:rPr>
            </w:pPr>
            <w:r>
              <w:rPr>
                <w:rFonts w:ascii="Arial" w:cs="Arial" w:eastAsia="Arial" w:hAnsi="Arial"/>
                <w:sz w:val="18"/>
                <w:szCs w:val="18"/>
                <w:color w:val="auto"/>
                <w:w w:val="90"/>
              </w:rPr>
              <w:t>(a)</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(b)</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5"/>
              </w:rPr>
              <w:t>(c)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Equity compensation plans approved by</w:t>
            </w:r>
          </w:p>
        </w:tc>
        <w:tc>
          <w:tcPr>
            <w:tcW w:w="22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228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256,111</w:t>
            </w:r>
          </w:p>
        </w:tc>
        <w:tc>
          <w:tcPr>
            <w:tcW w:w="36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jc w:val="right"/>
              <w:ind w:right="90"/>
              <w:spacing w:after="0" w:line="257" w:lineRule="exact"/>
              <w:rPr>
                <w:sz w:val="20"/>
                <w:szCs w:val="20"/>
                <w:color w:val="auto"/>
              </w:rPr>
            </w:pPr>
            <w:r>
              <w:rPr>
                <w:rFonts w:ascii="Arial" w:cs="Arial" w:eastAsia="Arial" w:hAnsi="Arial"/>
                <w:sz w:val="18"/>
                <w:szCs w:val="18"/>
                <w:color w:val="auto"/>
              </w:rPr>
              <w:t xml:space="preserve">41.63  </w:t>
            </w:r>
            <w:r>
              <w:rPr>
                <w:rFonts w:ascii="Arial" w:cs="Arial" w:eastAsia="Arial" w:hAnsi="Arial"/>
                <w:sz w:val="25"/>
                <w:szCs w:val="25"/>
                <w:color w:val="auto"/>
                <w:vertAlign w:val="superscript"/>
              </w:rPr>
              <w:t>(1)</w:t>
            </w:r>
          </w:p>
        </w:tc>
        <w:tc>
          <w:tcPr>
            <w:tcW w:w="2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800,180</w:t>
            </w:r>
          </w:p>
        </w:tc>
        <w:tc>
          <w:tcPr>
            <w:tcW w:w="32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Equity compensation plans not approved by</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EFFE7"/>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256,111</w:t>
            </w:r>
          </w:p>
        </w:tc>
        <w:tc>
          <w:tcPr>
            <w:tcW w:w="3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41.63</w:t>
            </w:r>
          </w:p>
        </w:tc>
        <w:tc>
          <w:tcPr>
            <w:tcW w:w="2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800,180</w:t>
            </w:r>
          </w:p>
        </w:tc>
        <w:tc>
          <w:tcPr>
            <w:tcW w:w="32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8"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Includes 187,362 full value awards outstanding as of December 31, 2018, comprised of restricted stock units, performance shares, short-term incentive plan (STIP) units and Director common stock units. The weighted average exercise price does not include the restricted stock units, performance shares, STIP or common stock units. In addition, 235,748 shares of unvested restricted stock were outstanding as of December 31, 2018, which are not included in the above table because they have already been issued.</w:t>
      </w:r>
    </w:p>
    <w:p>
      <w:pPr>
        <w:ind w:left="340" w:right="180" w:hanging="332"/>
        <w:spacing w:after="0" w:line="257"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available for issuance are from the 2015 Omnibus Incentive Plan. The 2015 Omnibus Incentive Plan permits the grant of stock options, stock appreciation rights, restricted stock, restricted stock units, performance shares, performance units, cash-based awards and other stock based awards.</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set forth in the Proxy Statement for our 2019 Annual Meeting of Shareholders,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Information regarding principal accounting fees and services is set forth in the Proxy Statement for our 2019 Annual Meeting to Shareholders, which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80"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05" w:lineRule="exact"/>
        <w:rPr>
          <w:sz w:val="20"/>
          <w:szCs w:val="20"/>
          <w:color w:val="auto"/>
        </w:rPr>
      </w:pPr>
    </w:p>
    <w:p>
      <w:pPr>
        <w:ind w:left="720" w:hanging="685"/>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Financial statements required under this item are included in Item 8 of Part II</w:t>
      </w:r>
    </w:p>
    <w:p>
      <w:pPr>
        <w:spacing w:after="0" w:line="387" w:lineRule="exact"/>
        <w:rPr>
          <w:sz w:val="20"/>
          <w:szCs w:val="20"/>
          <w:color w:val="auto"/>
        </w:rPr>
      </w:pPr>
    </w:p>
    <w:p>
      <w:pPr>
        <w:ind w:left="1520" w:hanging="796"/>
        <w:spacing w:after="0"/>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Schedules</w:t>
      </w:r>
    </w:p>
    <w:p>
      <w:pPr>
        <w:spacing w:after="0" w:line="38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Schedule II — Consolidated Valuation and Qualifying Accounts for the years ended December 31, 2018, 2017 and 2016</w:t>
      </w:r>
    </w:p>
    <w:p>
      <w:pPr>
        <w:spacing w:after="0" w:line="387" w:lineRule="exact"/>
        <w:rPr>
          <w:rFonts w:ascii="Arial" w:cs="Arial" w:eastAsia="Arial" w:hAnsi="Arial"/>
          <w:sz w:val="18"/>
          <w:szCs w:val="18"/>
          <w:color w:val="auto"/>
        </w:rPr>
      </w:pPr>
    </w:p>
    <w:p>
      <w:pPr>
        <w:ind w:left="1520" w:hanging="796"/>
        <w:spacing w:after="0"/>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Exhibits</w:t>
      </w:r>
    </w:p>
    <w:p>
      <w:pPr>
        <w:spacing w:after="0" w:line="387" w:lineRule="exact"/>
        <w:rPr>
          <w:rFonts w:ascii="Arial" w:cs="Arial" w:eastAsia="Arial" w:hAnsi="Arial"/>
          <w:sz w:val="18"/>
          <w:szCs w:val="18"/>
          <w:color w:val="auto"/>
        </w:rPr>
      </w:pPr>
    </w:p>
    <w:p>
      <w:pPr>
        <w:ind w:left="1520" w:right="28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of the absence of the conditions under which they are required or because the required information is included in our consolidated financial statements and notes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Consolidated valuation and qualifying accounts are detailed within Note 1 of the Notes to Consolidated Financial Statements in this Annual Report on Form 10-K.</w:t>
      </w:r>
    </w:p>
    <w:p>
      <w:pPr>
        <w:spacing w:after="0" w:line="13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Exhibit Number</w:t>
            </w:r>
          </w:p>
        </w:tc>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20" w:type="dxa"/>
            <w:vAlign w:val="bottom"/>
            <w:gridSpan w:val="10"/>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46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2.1*</w:t>
            </w:r>
          </w:p>
        </w:tc>
        <w:tc>
          <w:tcPr>
            <w:tcW w:w="9260" w:type="dxa"/>
            <w:vAlign w:val="bottom"/>
            <w:tcBorders>
              <w:bottom w:val="single" w:sz="8" w:color="0000FF"/>
            </w:tcBorders>
            <w:gridSpan w:val="6"/>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Purchase and Sale Agreement by and among Alinda Gas Delaware LLC, Alinda Infrastructure Fund I, L.P. and Aircraft Services</w:t>
              </w:r>
            </w:hyperlink>
          </w:p>
        </w:tc>
        <w:tc>
          <w:tcPr>
            <w:tcW w:w="740" w:type="dxa"/>
            <w:vAlign w:val="bottom"/>
            <w:gridSpan w:val="7"/>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Corporation, as Sellers, and Black Hills Utility Holdings, Inc., as Buyer, dated as of July 12, 2015 (filed as Exhibit 2.1 to the Registrant’s</w:t>
              </w:r>
            </w:hyperlink>
          </w:p>
        </w:tc>
        <w:tc>
          <w:tcPr>
            <w:tcW w:w="1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Form 8-K filed on July 14, 2015).</w:t>
              </w:r>
            </w:hyperlink>
          </w:p>
        </w:tc>
        <w:tc>
          <w:tcPr>
            <w:tcW w:w="7560" w:type="dxa"/>
            <w:vAlign w:val="bottom"/>
            <w:gridSpan w:val="11"/>
          </w:tcPr>
          <w:p>
            <w:pPr>
              <w:spacing w:after="0"/>
              <w:rPr>
                <w:sz w:val="17"/>
                <w:szCs w:val="17"/>
                <w:color w:val="auto"/>
              </w:rPr>
            </w:pPr>
          </w:p>
        </w:tc>
      </w:tr>
      <w:tr>
        <w:trPr>
          <w:trHeight w:val="534"/>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2.2*</w:t>
            </w:r>
          </w:p>
        </w:tc>
        <w:tc>
          <w:tcPr>
            <w:tcW w:w="10000" w:type="dxa"/>
            <w:vAlign w:val="bottom"/>
            <w:gridSpan w:val="13"/>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First Amendment to Purchase and Sale Agreement effective December 10, 2015, by and among, Alinda Gas Delaware LLC, Alinda</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8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Infrastructure Fund I, L.P. and Aircraft Services Corporation, as Sellers, and Black Hills Utility Holdings, Inc., as Buyer (filed as Exhibit</w:t>
              </w:r>
            </w:hyperlink>
          </w:p>
        </w:tc>
        <w:tc>
          <w:tcPr>
            <w:tcW w:w="140" w:type="dxa"/>
            <w:vAlign w:val="bottom"/>
            <w:gridSpan w:val="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2.</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Form 10-K for 2015).</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520"/>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2.3*</w:t>
            </w:r>
          </w:p>
        </w:tc>
        <w:tc>
          <w:tcPr>
            <w:tcW w:w="10000" w:type="dxa"/>
            <w:vAlign w:val="bottom"/>
            <w:gridSpan w:val="13"/>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Option Agreement, by and among, Aircraft Services Corporation, as ASC, SourceGas Holdings LLC, as the Company and Black Hills</w:t>
              </w:r>
            </w:hyperlink>
          </w:p>
        </w:tc>
      </w:tr>
      <w:tr>
        <w:trPr>
          <w:trHeight w:val="196"/>
        </w:trPr>
        <w:tc>
          <w:tcPr>
            <w:tcW w:w="142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Utility Holdings, Inc., as Buyer (filed as Exhibit 2.2 to the Registrant’s Form 8-K filed on July 14, 2015).</w:t>
              </w:r>
            </w:hyperlink>
          </w:p>
        </w:tc>
        <w:tc>
          <w:tcPr>
            <w:tcW w:w="2100" w:type="dxa"/>
            <w:vAlign w:val="bottom"/>
            <w:tcBorders>
              <w:top w:val="single" w:sz="8" w:color="0000FF"/>
            </w:tcBorders>
            <w:gridSpan w:val="4"/>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520"/>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3.1*</w:t>
            </w:r>
          </w:p>
        </w:tc>
        <w:tc>
          <w:tcPr>
            <w:tcW w:w="9140" w:type="dxa"/>
            <w:vAlign w:val="bottom"/>
            <w:tcBorders>
              <w:bottom w:val="single" w:sz="8" w:color="0000FF"/>
            </w:tcBorders>
            <w:gridSpan w:val="5"/>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Restated Articles of Incorporation of the Registrant (filed as Exhibit 3 to the Registrant’s Form 8-K filed on February 5, 2018).</w:t>
              </w:r>
            </w:hyperlink>
          </w:p>
        </w:tc>
        <w:tc>
          <w:tcPr>
            <w:tcW w:w="860" w:type="dxa"/>
            <w:vAlign w:val="bottom"/>
            <w:gridSpan w:val="8"/>
          </w:tcPr>
          <w:p>
            <w:pPr>
              <w:spacing w:after="0"/>
              <w:rPr>
                <w:sz w:val="24"/>
                <w:szCs w:val="24"/>
                <w:color w:val="auto"/>
              </w:rPr>
            </w:pPr>
          </w:p>
        </w:tc>
      </w:tr>
      <w:tr>
        <w:trPr>
          <w:trHeight w:val="520"/>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3.2*</w:t>
            </w:r>
          </w:p>
        </w:tc>
        <w:tc>
          <w:tcPr>
            <w:tcW w:w="10000" w:type="dxa"/>
            <w:vAlign w:val="bottom"/>
            <w:gridSpan w:val="13"/>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Amended and Restated Bylaws of the Registrant dated April 24, 2017 (filed as Exhibit 3 to the Registrant’s Form 8-K filed on April 28,</w:t>
              </w:r>
            </w:hyperlink>
          </w:p>
        </w:tc>
      </w:tr>
      <w:tr>
        <w:trPr>
          <w:trHeight w:val="196"/>
        </w:trPr>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7">
              <w:r>
                <w:rPr>
                  <w:rFonts w:ascii="Arial" w:cs="Arial" w:eastAsia="Arial" w:hAnsi="Arial"/>
                  <w:sz w:val="18"/>
                  <w:szCs w:val="18"/>
                  <w:color w:val="0000FF"/>
                  <w:w w:val="86"/>
                </w:rPr>
                <w:t>2017).</w:t>
              </w:r>
            </w:hyperlink>
          </w:p>
        </w:tc>
        <w:tc>
          <w:tcPr>
            <w:tcW w:w="19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40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20"/>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4.1*</w:t>
            </w:r>
          </w:p>
        </w:tc>
        <w:tc>
          <w:tcPr>
            <w:tcW w:w="9700" w:type="dxa"/>
            <w:vAlign w:val="bottom"/>
            <w:tcBorders>
              <w:bottom w:val="single" w:sz="8" w:color="0000FF"/>
            </w:tcBorders>
            <w:gridSpan w:val="9"/>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Indenture dated as of May 21, 2003 between the Registrant and Wells Fargo Bank, National Association (as successor to LaSalle Bank</w:t>
              </w:r>
            </w:hyperlink>
          </w:p>
        </w:tc>
        <w:tc>
          <w:tcPr>
            <w:tcW w:w="300" w:type="dxa"/>
            <w:vAlign w:val="bottom"/>
            <w:gridSpan w:val="4"/>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4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National Association), as Trustee (filed as Exhibit 4.1 to the Registrant’s Form 10-Q for the quarterly period ended June 30, 2003).</w:t>
              </w:r>
            </w:hyperlink>
          </w:p>
        </w:tc>
        <w:tc>
          <w:tcPr>
            <w:tcW w:w="520" w:type="dxa"/>
            <w:vAlign w:val="bottom"/>
            <w:gridSpan w:val="6"/>
          </w:tcPr>
          <w:p>
            <w:pPr>
              <w:spacing w:after="0"/>
              <w:rPr>
                <w:sz w:val="17"/>
                <w:szCs w:val="17"/>
                <w:color w:val="auto"/>
              </w:rPr>
            </w:pPr>
          </w:p>
        </w:tc>
      </w:tr>
    </w:tbl>
    <w:p>
      <w:pPr>
        <w:spacing w:after="0" w:line="67" w:lineRule="exact"/>
        <w:rPr>
          <w:sz w:val="20"/>
          <w:szCs w:val="20"/>
          <w:color w:val="auto"/>
        </w:rPr>
      </w:pPr>
    </w:p>
    <w:p>
      <w:pPr>
        <w:ind w:left="1420" w:right="160"/>
        <w:spacing w:after="0" w:line="277" w:lineRule="auto"/>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First Supplemental Indenture dated as of May 21, 2003 (filed as Exhibit 4.2 to the Registrant’s Form 10-Q for the quarterly period ended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June 30, 2003).</w:t>
        </w:r>
      </w:hyperlink>
    </w:p>
    <w:p>
      <w:pPr>
        <w:spacing w:after="0" w:line="8" w:lineRule="exact"/>
        <w:rPr>
          <w:sz w:val="20"/>
          <w:szCs w:val="20"/>
          <w:color w:val="auto"/>
        </w:rPr>
      </w:pPr>
    </w:p>
    <w:p>
      <w:pPr>
        <w:ind w:left="5580" w:right="620" w:hanging="4165"/>
        <w:spacing w:after="0" w:line="590"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Second Supplemental Indenture dated as of May 14, 2009 (filed as Exhibit 4 to the Registrant’s Form 8-K filed on May 14, 2009).</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164</w:t>
      </w:r>
    </w:p>
    <w:p>
      <w:pPr>
        <w:sectPr>
          <w:pgSz w:w="11900" w:h="16838" w:orient="portrait"/>
          <w:cols w:equalWidth="0" w:num="1">
            <w:col w:w="11420"/>
          </w:cols>
          <w:pgMar w:left="240" w:top="581"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9960" w:type="dxa"/>
            <w:vAlign w:val="bottom"/>
            <w:gridSpan w:val="28"/>
          </w:tcPr>
          <w:p>
            <w:pPr>
              <w:spacing w:after="0"/>
              <w:rPr>
                <w:rFonts w:ascii="Arial" w:cs="Arial" w:eastAsia="Arial" w:hAnsi="Arial"/>
                <w:sz w:val="18"/>
                <w:szCs w:val="18"/>
                <w:color w:val="0000FF"/>
              </w:rPr>
            </w:pPr>
            <w:hyperlink r:id="rId61">
              <w:r>
                <w:rPr>
                  <w:rFonts w:ascii="Arial" w:cs="Arial" w:eastAsia="Arial" w:hAnsi="Arial"/>
                  <w:sz w:val="18"/>
                  <w:szCs w:val="18"/>
                  <w:color w:val="0000FF"/>
                </w:rPr>
                <w:t>Third Supplemental Indenture dated as of July 16, 2010 (filed as Exhibit 4 to Registrant’s Form 8-K filed on July 15, 2010).</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60" w:type="dxa"/>
            <w:vAlign w:val="bottom"/>
            <w:gridSpan w:val="28"/>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Fourth Supplemental Indenture dated as of November 19, 2013 (filed as Exhibit 4 to the Registrant’s Form 8-K filed on November 18,</w:t>
              </w:r>
            </w:hyperlink>
          </w:p>
        </w:tc>
      </w:tr>
      <w:tr>
        <w:trPr>
          <w:trHeight w:val="196"/>
        </w:trPr>
        <w:tc>
          <w:tcPr>
            <w:tcW w:w="138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2013).</w:t>
              </w:r>
            </w:hyperlink>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800" w:type="dxa"/>
            <w:vAlign w:val="bottom"/>
            <w:tcBorders>
              <w:bottom w:val="single" w:sz="8" w:color="0000FF"/>
            </w:tcBorders>
            <w:gridSpan w:val="23"/>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Fifth Supplemental Indenture dated as of January 13, 2016 (filed as Exhibit 4.1 to the Registrant’s Form 8-K filed on January 13, 2016).</w:t>
              </w:r>
            </w:hyperlink>
          </w:p>
        </w:tc>
        <w:tc>
          <w:tcPr>
            <w:tcW w:w="160" w:type="dxa"/>
            <w:vAlign w:val="bottom"/>
            <w:gridSpan w:val="5"/>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9960" w:type="dxa"/>
            <w:vAlign w:val="bottom"/>
            <w:gridSpan w:val="28"/>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Sixth Supplemental Indenture dated as of August 19, 2016 (filed as Exhibit 4.1 to the Registrant’s Form 8-K filed on August 19, 2016).</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60" w:type="dxa"/>
            <w:vAlign w:val="bottom"/>
            <w:gridSpan w:val="28"/>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Seventh Supplemental Indenture dated as of August 17, 2018 (filed as Exhibit 4.2 to the Registrant’s Form 8-K filed on August 17, 2018).</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9960" w:type="dxa"/>
            <w:vAlign w:val="bottom"/>
            <w:tcBorders>
              <w:bottom w:val="single" w:sz="8" w:color="0000FF"/>
            </w:tcBorders>
            <w:gridSpan w:val="28"/>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Restated and Amended Indenture of Mortgage and Deed of Trust of Black Hills Corporation (now called Black Hills Power, Inc.) dated as</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of September 1, 1999 (filed as Exhibit 4.19 to the Registrant’s Post-Effective Amendment No. 1 to the Registrant’s Registration Statement</w:t>
              </w:r>
            </w:hyperlink>
          </w:p>
        </w:tc>
      </w:tr>
      <w:tr>
        <w:trPr>
          <w:trHeight w:val="196"/>
        </w:trPr>
        <w:tc>
          <w:tcPr>
            <w:tcW w:w="138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on Form S-3 (No. 333-150669)).</w:t>
              </w:r>
            </w:hyperlink>
          </w:p>
        </w:tc>
        <w:tc>
          <w:tcPr>
            <w:tcW w:w="7600" w:type="dxa"/>
            <w:vAlign w:val="bottom"/>
            <w:gridSpan w:val="24"/>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960" w:type="dxa"/>
            <w:vAlign w:val="bottom"/>
            <w:gridSpan w:val="28"/>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First Supplemental Indenture, dated as of August 13, 2002, between Black Hills Power, Inc. and The Bank of New York Mellon (as</w:t>
              </w:r>
            </w:hyperlink>
          </w:p>
        </w:tc>
      </w:tr>
      <w:tr>
        <w:trPr>
          <w:trHeight w:val="196"/>
        </w:trPr>
        <w:tc>
          <w:tcPr>
            <w:tcW w:w="13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successor to JPMorgan Chase Bank), as Trustee (filed as Exhibit 4.20 to the Registrant’s Post-Effective Amendment No. 1 to the</w:t>
              </w:r>
            </w:hyperlink>
          </w:p>
        </w:tc>
        <w:tc>
          <w:tcPr>
            <w:tcW w:w="200" w:type="dxa"/>
            <w:vAlign w:val="bottom"/>
            <w:tcBorders>
              <w:top w:val="single" w:sz="8" w:color="0000FF"/>
            </w:tcBorders>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40" w:type="dxa"/>
            <w:vAlign w:val="bottom"/>
            <w:tcBorders>
              <w:bottom w:val="single" w:sz="8" w:color="0000FF"/>
            </w:tcBorders>
            <w:gridSpan w:val="27"/>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Second Supplemental Indenture, dated as of October 27, 2009, between Black Hills Power, Inc. and The Bank of New York Mellon (filed</w:t>
              </w:r>
            </w:hyperlink>
          </w:p>
        </w:tc>
        <w:tc>
          <w:tcPr>
            <w:tcW w:w="2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as Exhibit 4.21 to the Registrant’s Post-Effective Amendment No. 2 to the Registrant’s Registration Statement on Form S-3 (No. 333-</w:t>
              </w:r>
            </w:hyperlink>
          </w:p>
        </w:tc>
      </w:tr>
      <w:tr>
        <w:trPr>
          <w:trHeight w:val="196"/>
        </w:trPr>
        <w:tc>
          <w:tcPr>
            <w:tcW w:w="138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68">
              <w:r>
                <w:rPr>
                  <w:rFonts w:ascii="Arial" w:cs="Arial" w:eastAsia="Arial" w:hAnsi="Arial"/>
                  <w:sz w:val="18"/>
                  <w:szCs w:val="18"/>
                  <w:color w:val="0000FF"/>
                  <w:w w:val="88"/>
                </w:rPr>
                <w:t>150669)</w:t>
              </w:r>
              <w:r>
                <w:rPr>
                  <w:rFonts w:ascii="Arial" w:cs="Arial" w:eastAsia="Arial" w:hAnsi="Arial"/>
                  <w:sz w:val="18"/>
                  <w:szCs w:val="18"/>
                  <w:u w:val="single" w:color="auto"/>
                  <w:color w:val="0000FF"/>
                  <w:w w:val="88"/>
                </w:rPr>
                <w:t>)</w:t>
              </w:r>
              <w:r>
                <w:rPr>
                  <w:rFonts w:ascii="Arial" w:cs="Arial" w:eastAsia="Arial" w:hAnsi="Arial"/>
                  <w:sz w:val="18"/>
                  <w:szCs w:val="18"/>
                  <w:color w:val="0000FF"/>
                  <w:w w:val="88"/>
                </w:rPr>
                <w:t>.</w:t>
              </w:r>
            </w:hyperlink>
          </w:p>
        </w:tc>
        <w:tc>
          <w:tcPr>
            <w:tcW w:w="16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880" w:type="dxa"/>
            <w:vAlign w:val="bottom"/>
            <w:tcBorders>
              <w:bottom w:val="single" w:sz="8" w:color="0000FF"/>
            </w:tcBorders>
            <w:gridSpan w:val="25"/>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Third Supplemental Indenture, dated as of October 1, 2014, between Black Hills Power, Inc. and The Bank of New York Mellon (filed as</w:t>
              </w:r>
            </w:hyperlink>
          </w:p>
        </w:tc>
        <w:tc>
          <w:tcPr>
            <w:tcW w:w="80" w:type="dxa"/>
            <w:vAlign w:val="bottom"/>
            <w:gridSpan w:val="3"/>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49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Exhibit 10.1 to the Registrant’s Form 8-K filed on October 2, 2014).</w:t>
              </w:r>
            </w:hyperlink>
          </w:p>
        </w:tc>
        <w:tc>
          <w:tcPr>
            <w:tcW w:w="5020" w:type="dxa"/>
            <w:vAlign w:val="bottom"/>
            <w:gridSpan w:val="18"/>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4.3*</w:t>
            </w:r>
          </w:p>
        </w:tc>
        <w:tc>
          <w:tcPr>
            <w:tcW w:w="9860" w:type="dxa"/>
            <w:vAlign w:val="bottom"/>
            <w:tcBorders>
              <w:bottom w:val="single" w:sz="8" w:color="0000FF"/>
            </w:tcBorders>
            <w:gridSpan w:val="24"/>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Restated Indenture of Mortgage, Deed of Trust, Security Agreement and Financing Statement, amended and restated as of November 20,</w:t>
              </w:r>
            </w:hyperlink>
          </w:p>
        </w:tc>
        <w:tc>
          <w:tcPr>
            <w:tcW w:w="10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2007, between Cheyenne Light, Fuel and Power Company and Wells Fargo Bank, National Association (filed as Exhibit 10.2 to the</w:t>
              </w:r>
            </w:hyperlink>
          </w:p>
        </w:tc>
      </w:tr>
      <w:tr>
        <w:trPr>
          <w:trHeight w:val="196"/>
        </w:trPr>
        <w:tc>
          <w:tcPr>
            <w:tcW w:w="1380" w:type="dxa"/>
            <w:vAlign w:val="bottom"/>
          </w:tcPr>
          <w:p>
            <w:pPr>
              <w:spacing w:after="0"/>
              <w:rPr>
                <w:sz w:val="17"/>
                <w:szCs w:val="17"/>
                <w:color w:val="auto"/>
              </w:rPr>
            </w:pPr>
          </w:p>
        </w:tc>
        <w:tc>
          <w:tcPr>
            <w:tcW w:w="94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Registrant’s Form 8-K filed on October 2, 2014).</w:t>
              </w:r>
            </w:hyperlink>
          </w:p>
        </w:tc>
        <w:tc>
          <w:tcPr>
            <w:tcW w:w="50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40" w:type="dxa"/>
            <w:vAlign w:val="bottom"/>
            <w:tcBorders>
              <w:bottom w:val="single" w:sz="8" w:color="0000FF"/>
            </w:tcBorders>
            <w:gridSpan w:val="27"/>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First Supplemental Indenture, dated as of September 3, 2009, between Cheyenne Light, Fuel and Power Company and Wells Fargo Bank,</w:t>
              </w:r>
            </w:hyperlink>
          </w:p>
        </w:tc>
        <w:tc>
          <w:tcPr>
            <w:tcW w:w="2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National Association (filed as Exhibit 10.3 to the Registrant’s Form 8-K filed on October 2, 2014).</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40" w:type="dxa"/>
            <w:vAlign w:val="bottom"/>
            <w:tcBorders>
              <w:bottom w:val="single" w:sz="8" w:color="0000FF"/>
            </w:tcBorders>
            <w:gridSpan w:val="27"/>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Second Supplemental Indenture, dated as of October 1, 2014, between Cheyenne Light, Fuel and Power Company and Wells Fargo Bank,</w:t>
              </w:r>
            </w:hyperlink>
          </w:p>
        </w:tc>
        <w:tc>
          <w:tcPr>
            <w:tcW w:w="2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National Association (filed as Exhibit 10.4 to the Registrant’s Form 8-K filed on October 2, 2014).</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790"/>
        </w:trPr>
        <w:tc>
          <w:tcPr>
            <w:tcW w:w="1380" w:type="dxa"/>
            <w:vAlign w:val="bottom"/>
          </w:tcPr>
          <w:p>
            <w:pPr>
              <w:spacing w:after="0"/>
              <w:rPr>
                <w:sz w:val="20"/>
                <w:szCs w:val="20"/>
                <w:color w:val="auto"/>
              </w:rPr>
            </w:pPr>
            <w:r>
              <w:rPr>
                <w:rFonts w:ascii="Arial" w:cs="Arial" w:eastAsia="Arial" w:hAnsi="Arial"/>
                <w:sz w:val="18"/>
                <w:szCs w:val="18"/>
                <w:color w:val="auto"/>
              </w:rPr>
              <w:t>4.4*</w:t>
            </w:r>
          </w:p>
        </w:tc>
        <w:tc>
          <w:tcPr>
            <w:tcW w:w="9960" w:type="dxa"/>
            <w:vAlign w:val="bottom"/>
            <w:gridSpan w:val="28"/>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 xml:space="preserve">Form of Stock Certificate for Common Stock, Par Value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1.00 Per Share (filed as Exhibit 4.2 to the Registrant’s Form 10-K for 2000).</w:t>
              </w:r>
            </w:hyperlink>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680" w:type="dxa"/>
            <w:vAlign w:val="bottom"/>
            <w:tcBorders>
              <w:top w:val="single" w:sz="8" w:color="0000FF"/>
            </w:tcBorders>
            <w:gridSpan w:val="21"/>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Amended and Restated Pension Equalization Plan of Black Hills Corporation dated November 6, 2001 (filed as Exhibit 10.11 to the</w:t>
              </w:r>
            </w:hyperlink>
          </w:p>
        </w:tc>
        <w:tc>
          <w:tcPr>
            <w:tcW w:w="28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4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Registrant’s Form 10-K/A for 2001).</w:t>
              </w:r>
            </w:hyperlink>
          </w:p>
        </w:tc>
        <w:tc>
          <w:tcPr>
            <w:tcW w:w="480" w:type="dxa"/>
            <w:vAlign w:val="bottom"/>
            <w:gridSpan w:val="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60" w:type="dxa"/>
            <w:vAlign w:val="bottom"/>
            <w:gridSpan w:val="28"/>
          </w:tcPr>
          <w:p>
            <w:pPr>
              <w:spacing w:after="0"/>
              <w:rPr>
                <w:rFonts w:ascii="Arial" w:cs="Arial" w:eastAsia="Arial" w:hAnsi="Arial"/>
                <w:sz w:val="18"/>
                <w:szCs w:val="18"/>
                <w:color w:val="0000FF"/>
              </w:rPr>
            </w:pPr>
            <w:hyperlink r:id="rId75">
              <w:r>
                <w:rPr>
                  <w:rFonts w:ascii="Arial" w:cs="Arial" w:eastAsia="Arial" w:hAnsi="Arial"/>
                  <w:sz w:val="18"/>
                  <w:szCs w:val="18"/>
                  <w:color w:val="0000FF"/>
                </w:rPr>
                <w:t>First Amendment to Pension Equalization Plan (filed as Exhibit 10.10 to the Registrant’s Form 10-K for 2002).</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00" w:type="dxa"/>
            <w:vAlign w:val="bottom"/>
            <w:tcBorders>
              <w:bottom w:val="single" w:sz="8" w:color="0000FF"/>
            </w:tcBorders>
            <w:gridSpan w:val="26"/>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Grandfather Amendment to the Amended and Restated Pension Equalization Plan of Black Hills Corporation (filed as Exhibit 10.2 to the</w:t>
              </w:r>
            </w:hyperlink>
          </w:p>
        </w:tc>
        <w:tc>
          <w:tcPr>
            <w:tcW w:w="60" w:type="dxa"/>
            <w:vAlign w:val="bottom"/>
            <w:gridSpan w:val="2"/>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Registrant’s Form 10-K for 2008).</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8800" w:type="dxa"/>
            <w:vAlign w:val="bottom"/>
            <w:tcBorders>
              <w:bottom w:val="single" w:sz="8" w:color="0000FF"/>
            </w:tcBorders>
            <w:gridSpan w:val="15"/>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2005 Pension Equalization Plan of Black Hills Corporation (filed as Exhibit 10.3 to the Registrant’s Form 10-K for 2008).</w:t>
              </w:r>
            </w:hyperlink>
          </w:p>
        </w:tc>
        <w:tc>
          <w:tcPr>
            <w:tcW w:w="1160" w:type="dxa"/>
            <w:vAlign w:val="bottom"/>
            <w:gridSpan w:val="13"/>
          </w:tcPr>
          <w:p>
            <w:pPr>
              <w:spacing w:after="0"/>
              <w:rPr>
                <w:sz w:val="24"/>
                <w:szCs w:val="24"/>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7700" w:type="dxa"/>
            <w:vAlign w:val="bottom"/>
            <w:tcBorders>
              <w:bottom w:val="single" w:sz="8" w:color="0000FF"/>
            </w:tcBorders>
            <w:gridSpan w:val="13"/>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Restoration Plan of Black Hills Corporation (filed as Exhibit 10.5 to the Registrant’s Form 10-K for 2008).</w:t>
              </w:r>
            </w:hyperlink>
          </w:p>
        </w:tc>
        <w:tc>
          <w:tcPr>
            <w:tcW w:w="2260" w:type="dxa"/>
            <w:vAlign w:val="bottom"/>
            <w:gridSpan w:val="15"/>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9740" w:type="dxa"/>
            <w:vAlign w:val="bottom"/>
            <w:tcBorders>
              <w:bottom w:val="single" w:sz="8" w:color="0000FF"/>
            </w:tcBorders>
            <w:gridSpan w:val="22"/>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First Amendment to the Restoration Plan of Black Hills Corporation dated July 24, 2011 (filed as Exhibit 10.2 to the Registrant’s Form</w:t>
              </w:r>
            </w:hyperlink>
          </w:p>
        </w:tc>
        <w:tc>
          <w:tcPr>
            <w:tcW w:w="22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10-Q for the quarterly period ended June 30, 2011).</w:t>
              </w:r>
            </w:hyperlink>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1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tcBorders>
              <w:bottom w:val="single" w:sz="8" w:color="0000FF"/>
            </w:tcBorders>
            <w:gridSpan w:val="25"/>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Black Hills Corporation Non-qualified Deferred Compensation Plan as Amended and Restated effective January 1, 2011 (filed as Exhibit</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Registrant’s Form 10-K for 2010).</w:t>
              </w:r>
            </w:hyperlink>
          </w:p>
        </w:tc>
        <w:tc>
          <w:tcPr>
            <w:tcW w:w="6680" w:type="dxa"/>
            <w:vAlign w:val="bottom"/>
            <w:gridSpan w:val="21"/>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gridSpan w:val="28"/>
          </w:tcPr>
          <w:p>
            <w:pPr>
              <w:spacing w:after="0"/>
              <w:rPr>
                <w:rFonts w:ascii="Arial" w:cs="Arial" w:eastAsia="Arial" w:hAnsi="Arial"/>
                <w:sz w:val="18"/>
                <w:szCs w:val="18"/>
                <w:color w:val="0000FF"/>
                <w:w w:val="92"/>
              </w:rPr>
            </w:pPr>
            <w:hyperlink w:anchor="page169">
              <w:r>
                <w:rPr>
                  <w:rFonts w:ascii="Arial" w:cs="Arial" w:eastAsia="Arial" w:hAnsi="Arial"/>
                  <w:sz w:val="18"/>
                  <w:szCs w:val="18"/>
                  <w:color w:val="0000FF"/>
                  <w:w w:val="92"/>
                </w:rPr>
                <w:t>First Amendment to the Black Hills Corporation Nonqualified Deferred Compensation Plan as Amended and Restated effective January</w:t>
              </w:r>
            </w:hyperlink>
          </w:p>
        </w:tc>
      </w:tr>
      <w:tr>
        <w:trPr>
          <w:trHeight w:val="196"/>
        </w:trPr>
        <w:tc>
          <w:tcPr>
            <w:tcW w:w="138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w:anchor="page169">
              <w:r>
                <w:rPr>
                  <w:rFonts w:ascii="Arial" w:cs="Arial" w:eastAsia="Arial" w:hAnsi="Arial"/>
                  <w:sz w:val="18"/>
                  <w:szCs w:val="18"/>
                  <w:color w:val="0000FF"/>
                  <w:w w:val="86"/>
                </w:rPr>
                <w:t>1, 2011.</w:t>
              </w:r>
            </w:hyperlink>
          </w:p>
        </w:tc>
        <w:tc>
          <w:tcPr>
            <w:tcW w:w="1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10.6†</w:t>
            </w:r>
          </w:p>
        </w:tc>
        <w:tc>
          <w:tcPr>
            <w:tcW w:w="9960" w:type="dxa"/>
            <w:vAlign w:val="bottom"/>
            <w:gridSpan w:val="28"/>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Black Hills Corporation Post-2018 Nonqualified Deferred Compensation Plan.</w:t>
              </w:r>
            </w:hyperlink>
          </w:p>
        </w:tc>
      </w:tr>
      <w:tr>
        <w:trPr>
          <w:trHeight w:val="507"/>
        </w:trPr>
        <w:tc>
          <w:tcPr>
            <w:tcW w:w="1380" w:type="dxa"/>
            <w:vAlign w:val="bottom"/>
          </w:tcPr>
          <w:p>
            <w:pPr>
              <w:spacing w:after="0"/>
              <w:rPr>
                <w:sz w:val="24"/>
                <w:szCs w:val="24"/>
                <w:color w:val="auto"/>
              </w:rPr>
            </w:pPr>
          </w:p>
        </w:tc>
        <w:tc>
          <w:tcPr>
            <w:tcW w:w="4940" w:type="dxa"/>
            <w:vAlign w:val="bottom"/>
            <w:tcBorders>
              <w:top w:val="single" w:sz="8" w:color="0000FF"/>
            </w:tcBorders>
            <w:gridSpan w:val="10"/>
          </w:tcPr>
          <w:p>
            <w:pPr>
              <w:ind w:left="4160"/>
              <w:spacing w:after="0"/>
              <w:rPr>
                <w:sz w:val="20"/>
                <w:szCs w:val="20"/>
                <w:color w:val="auto"/>
              </w:rPr>
            </w:pPr>
            <w:r>
              <w:rPr>
                <w:rFonts w:ascii="Arial" w:cs="Arial" w:eastAsia="Arial" w:hAnsi="Arial"/>
                <w:sz w:val="18"/>
                <w:szCs w:val="18"/>
                <w:color w:val="auto"/>
              </w:rPr>
              <w:t>165</w:t>
            </w:r>
          </w:p>
        </w:tc>
        <w:tc>
          <w:tcPr>
            <w:tcW w:w="74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80" w:top="729" w:right="27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10.7*†</w:t>
            </w:r>
          </w:p>
        </w:tc>
        <w:tc>
          <w:tcPr>
            <w:tcW w:w="9800" w:type="dxa"/>
            <w:vAlign w:val="bottom"/>
            <w:tcBorders>
              <w:bottom w:val="single" w:sz="8" w:color="0000FF"/>
            </w:tcBorders>
            <w:gridSpan w:val="27"/>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Black Hills Corporation 2005 Omnibus Incentive Plan (”Omnibus Plan”) (filed as Appendix A to the Registrant’s Proxy Statement filed</w:t>
              </w:r>
            </w:hyperlink>
          </w:p>
        </w:tc>
        <w:tc>
          <w:tcPr>
            <w:tcW w:w="1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16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April 13, 2005).</w:t>
              </w:r>
            </w:hyperlink>
          </w:p>
        </w:tc>
        <w:tc>
          <w:tcPr>
            <w:tcW w:w="8780" w:type="dxa"/>
            <w:vAlign w:val="bottom"/>
            <w:gridSpan w:val="30"/>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7400" w:type="dxa"/>
            <w:vAlign w:val="bottom"/>
            <w:tcBorders>
              <w:bottom w:val="single" w:sz="8" w:color="0000FF"/>
            </w:tcBorders>
            <w:gridSpan w:val="13"/>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First Amendment to the Omnibus Plan (filed as Exhibit 10.11 to the Registrant’s Form 10-K for 2008).</w:t>
              </w:r>
            </w:hyperlink>
          </w:p>
        </w:tc>
        <w:tc>
          <w:tcPr>
            <w:tcW w:w="2540" w:type="dxa"/>
            <w:vAlign w:val="bottom"/>
            <w:gridSpan w:val="19"/>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8280" w:type="dxa"/>
            <w:vAlign w:val="bottom"/>
            <w:tcBorders>
              <w:bottom w:val="single" w:sz="8" w:color="0000FF"/>
            </w:tcBorders>
            <w:gridSpan w:val="15"/>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Second Amendment to the Omnibus Plan (filed as Exhibit 10 to the Registrant’s Form 8-K filed on May 26, 2010).</w:t>
              </w:r>
            </w:hyperlink>
          </w:p>
        </w:tc>
        <w:tc>
          <w:tcPr>
            <w:tcW w:w="1660" w:type="dxa"/>
            <w:vAlign w:val="bottom"/>
            <w:gridSpan w:val="17"/>
          </w:tcPr>
          <w:p>
            <w:pPr>
              <w:spacing w:after="0"/>
              <w:rPr>
                <w:sz w:val="21"/>
                <w:szCs w:val="2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10.8*†</w:t>
            </w:r>
          </w:p>
        </w:tc>
        <w:tc>
          <w:tcPr>
            <w:tcW w:w="9940" w:type="dxa"/>
            <w:vAlign w:val="bottom"/>
            <w:gridSpan w:val="32"/>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Black Hills Corporation 2015 Omnibus Incentive Plan (filed as Appendix B to the Registrant’s Proxy Statement filed March 19, 2015).</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FF"/>
            </w:tcBorders>
            <w:gridSpan w:val="28"/>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Form of Stock Option Agreement for Omnibus Plan effective for awards granted on or after January 1, 2014 (filed as Exhibit 10.7 to the</w:t>
              </w:r>
            </w:hyperlink>
          </w:p>
        </w:tc>
        <w:tc>
          <w:tcPr>
            <w:tcW w:w="1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Registrant’s Form 10-K for 2013).</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900" w:type="dxa"/>
            <w:vAlign w:val="bottom"/>
            <w:tcBorders>
              <w:bottom w:val="single" w:sz="8" w:color="0000FF"/>
            </w:tcBorders>
            <w:gridSpan w:val="31"/>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Form of Stock Option Agreement effective for awards granted on or after April 28, 2015 (filed as Exhibit 10.8 to Registrant’s Form 10-K</w:t>
              </w:r>
            </w:hyperlink>
          </w:p>
        </w:tc>
        <w:tc>
          <w:tcPr>
            <w:tcW w:w="4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for 2015).</w:t>
              </w:r>
            </w:hyperlink>
          </w:p>
        </w:tc>
        <w:tc>
          <w:tcPr>
            <w:tcW w:w="9220" w:type="dxa"/>
            <w:vAlign w:val="bottom"/>
            <w:gridSpan w:val="31"/>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10.10*†</w:t>
            </w:r>
          </w:p>
        </w:tc>
        <w:tc>
          <w:tcPr>
            <w:tcW w:w="9880" w:type="dxa"/>
            <w:vAlign w:val="bottom"/>
            <w:tcBorders>
              <w:bottom w:val="single" w:sz="8" w:color="0000FF"/>
            </w:tcBorders>
            <w:gridSpan w:val="30"/>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Form of Restricted Stock Award Agreement effective for awards granted on or after April 28, 2015 (filed as Exhibit 10.10 to Registrant’s</w:t>
              </w:r>
            </w:hyperlink>
          </w:p>
        </w:tc>
        <w:tc>
          <w:tcPr>
            <w:tcW w:w="6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Form 10-K for 2015).</w:t>
              </w:r>
            </w:hyperlink>
          </w:p>
        </w:tc>
      </w:tr>
      <w:tr>
        <w:trPr>
          <w:trHeight w:val="20"/>
        </w:trPr>
        <w:tc>
          <w:tcPr>
            <w:tcW w:w="138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000FF"/>
            </w:tcBorders>
            <w:gridSpan w:val="29"/>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Form of Restricted Stock Unit Award Agreement for 2015 Omnibus Plan effective for awards granted on or after April 28, 2015 (filed as</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Exhibit 10.12 to the Registrant’s Form 10-K for 2015).</w:t>
              </w:r>
            </w:hyperlink>
          </w:p>
        </w:tc>
      </w:tr>
      <w:tr>
        <w:trPr>
          <w:trHeight w:val="20"/>
        </w:trPr>
        <w:tc>
          <w:tcPr>
            <w:tcW w:w="138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40" w:type="dxa"/>
            <w:vAlign w:val="bottom"/>
            <w:gridSpan w:val="32"/>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Form of Performance Share Award Agreement effective for awards granted on or after January 1, 2016 (filed as Exhibit 10.6 to the</w:t>
              </w:r>
            </w:hyperlink>
          </w:p>
        </w:tc>
      </w:tr>
      <w:tr>
        <w:trPr>
          <w:trHeight w:val="196"/>
        </w:trPr>
        <w:tc>
          <w:tcPr>
            <w:tcW w:w="138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Registrant’s Form 10-Q for the quarterly period ended March 31, 2016).</w:t>
              </w:r>
            </w:hyperlink>
          </w:p>
        </w:tc>
        <w:tc>
          <w:tcPr>
            <w:tcW w:w="4220" w:type="dxa"/>
            <w:vAlign w:val="bottom"/>
            <w:tcBorders>
              <w:top w:val="single" w:sz="8" w:color="0000FF"/>
            </w:tcBorders>
            <w:gridSpan w:val="8"/>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940" w:type="dxa"/>
            <w:vAlign w:val="bottom"/>
            <w:gridSpan w:val="32"/>
          </w:tcPr>
          <w:p>
            <w:pPr>
              <w:spacing w:after="0"/>
              <w:rPr>
                <w:rFonts w:ascii="Arial" w:cs="Arial" w:eastAsia="Arial" w:hAnsi="Arial"/>
                <w:sz w:val="18"/>
                <w:szCs w:val="18"/>
                <w:color w:val="0000FF"/>
                <w:w w:val="97"/>
              </w:rPr>
            </w:pPr>
            <w:hyperlink r:id="rId90">
              <w:r>
                <w:rPr>
                  <w:rFonts w:ascii="Arial" w:cs="Arial" w:eastAsia="Arial" w:hAnsi="Arial"/>
                  <w:sz w:val="18"/>
                  <w:szCs w:val="18"/>
                  <w:color w:val="0000FF"/>
                  <w:w w:val="97"/>
                </w:rPr>
                <w:t>Form of Performance Share Award Agreement effective for awards granted on or after January 1, 2017 (files as Exhibit 10 to the</w:t>
              </w:r>
            </w:hyperlink>
          </w:p>
        </w:tc>
      </w:tr>
      <w:tr>
        <w:trPr>
          <w:trHeight w:val="196"/>
        </w:trPr>
        <w:tc>
          <w:tcPr>
            <w:tcW w:w="138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Registrant’s Form 10-Q for the quarterly period ended March 31, 2017).</w:t>
              </w:r>
            </w:hyperlink>
          </w:p>
        </w:tc>
        <w:tc>
          <w:tcPr>
            <w:tcW w:w="4060" w:type="dxa"/>
            <w:vAlign w:val="bottom"/>
            <w:tcBorders>
              <w:top w:val="single" w:sz="8" w:color="0000FF"/>
            </w:tcBorders>
            <w:gridSpan w:val="6"/>
          </w:tcPr>
          <w:p>
            <w:pPr>
              <w:spacing w:after="0"/>
              <w:rPr>
                <w:sz w:val="17"/>
                <w:szCs w:val="17"/>
                <w:color w:val="auto"/>
              </w:rPr>
            </w:pPr>
          </w:p>
        </w:tc>
        <w:tc>
          <w:tcPr>
            <w:tcW w:w="680" w:type="dxa"/>
            <w:vAlign w:val="bottom"/>
            <w:gridSpan w:val="15"/>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9940" w:type="dxa"/>
            <w:vAlign w:val="bottom"/>
            <w:tcBorders>
              <w:bottom w:val="single" w:sz="8" w:color="0000FF"/>
            </w:tcBorders>
            <w:gridSpan w:val="32"/>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Form of Short-term Incentive effective for awards granted on or after January 1, 2016 (filed as Exhibit 10.7 to the Registrant’s Form 10-Q</w:t>
              </w:r>
            </w:hyperlink>
          </w:p>
        </w:tc>
      </w:tr>
      <w:tr>
        <w:trPr>
          <w:trHeight w:val="196"/>
        </w:trPr>
        <w:tc>
          <w:tcPr>
            <w:tcW w:w="1380" w:type="dxa"/>
            <w:vAlign w:val="bottom"/>
          </w:tcPr>
          <w:p>
            <w:pPr>
              <w:spacing w:after="0"/>
              <w:rPr>
                <w:sz w:val="17"/>
                <w:szCs w:val="17"/>
                <w:color w:val="auto"/>
              </w:rPr>
            </w:pPr>
          </w:p>
        </w:tc>
        <w:tc>
          <w:tcPr>
            <w:tcW w:w="3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for the quarterly period ended March 31, 2016).</w:t>
              </w:r>
            </w:hyperlink>
          </w:p>
        </w:tc>
        <w:tc>
          <w:tcPr>
            <w:tcW w:w="6500" w:type="dxa"/>
            <w:vAlign w:val="bottom"/>
            <w:gridSpan w:val="25"/>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10.14*†</w:t>
            </w:r>
          </w:p>
        </w:tc>
        <w:tc>
          <w:tcPr>
            <w:tcW w:w="9940" w:type="dxa"/>
            <w:vAlign w:val="bottom"/>
            <w:gridSpan w:val="32"/>
          </w:tcPr>
          <w:p>
            <w:pPr>
              <w:spacing w:after="0"/>
              <w:rPr>
                <w:rFonts w:ascii="Arial" w:cs="Arial" w:eastAsia="Arial" w:hAnsi="Arial"/>
                <w:sz w:val="18"/>
                <w:szCs w:val="18"/>
                <w:color w:val="0000FF"/>
              </w:rPr>
            </w:pPr>
            <w:hyperlink r:id="rId92">
              <w:r>
                <w:rPr>
                  <w:rFonts w:ascii="Arial" w:cs="Arial" w:eastAsia="Arial" w:hAnsi="Arial"/>
                  <w:sz w:val="18"/>
                  <w:szCs w:val="18"/>
                  <w:color w:val="0000FF"/>
                </w:rPr>
                <w:t>Form of Indemnification Agreement (filed as Exhibit 10.5 to the Registrant’s Form 8-K filed on September 3, 2004).</w:t>
              </w:r>
            </w:hyperlink>
          </w:p>
        </w:tc>
      </w:tr>
      <w:tr>
        <w:trPr>
          <w:trHeight w:val="20"/>
        </w:trPr>
        <w:tc>
          <w:tcPr>
            <w:tcW w:w="138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780" w:type="dxa"/>
            <w:vAlign w:val="bottom"/>
            <w:tcBorders>
              <w:bottom w:val="single" w:sz="8" w:color="0000FF"/>
            </w:tcBorders>
            <w:gridSpan w:val="26"/>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Change in Control Agreement dated November 15, 2016 between Black Hills Corporation and David R. Emery (filed as Exhibit 10.1 to</w:t>
              </w:r>
            </w:hyperlink>
          </w:p>
        </w:tc>
        <w:tc>
          <w:tcPr>
            <w:tcW w:w="16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the Registrant’s Form 8-K filed on November 16, 2016).</w:t>
              </w:r>
            </w:hyperlink>
          </w:p>
        </w:tc>
      </w:tr>
      <w:tr>
        <w:trPr>
          <w:trHeight w:val="20"/>
        </w:trPr>
        <w:tc>
          <w:tcPr>
            <w:tcW w:w="138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tcBorders>
              <w:bottom w:val="single" w:sz="8" w:color="0000FF"/>
            </w:tcBorders>
            <w:gridSpan w:val="25"/>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Form of Change in Control Agreements between Black Hills Corporation and its non-CEO Senior Executive Officers (filed as Exhibit</w:t>
              </w:r>
            </w:hyperlink>
          </w:p>
        </w:tc>
        <w:tc>
          <w:tcPr>
            <w:tcW w:w="22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Form 8-K filed on November 16, 2016).</w:t>
              </w:r>
            </w:hyperlink>
          </w:p>
        </w:tc>
      </w:tr>
      <w:tr>
        <w:trPr>
          <w:trHeight w:val="20"/>
        </w:trPr>
        <w:tc>
          <w:tcPr>
            <w:tcW w:w="138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10.17*†</w:t>
            </w:r>
          </w:p>
        </w:tc>
        <w:tc>
          <w:tcPr>
            <w:tcW w:w="9540" w:type="dxa"/>
            <w:vAlign w:val="bottom"/>
            <w:tcBorders>
              <w:bottom w:val="single" w:sz="8" w:color="0000FF"/>
            </w:tcBorders>
            <w:gridSpan w:val="23"/>
          </w:tcPr>
          <w:p>
            <w:pPr>
              <w:spacing w:after="0"/>
              <w:rPr>
                <w:rFonts w:ascii="Arial" w:cs="Arial" w:eastAsia="Arial" w:hAnsi="Arial"/>
                <w:sz w:val="18"/>
                <w:szCs w:val="18"/>
                <w:color w:val="0000FF"/>
                <w:w w:val="89"/>
              </w:rPr>
            </w:pPr>
            <w:hyperlink r:id="rId95">
              <w:r>
                <w:rPr>
                  <w:rFonts w:ascii="Arial" w:cs="Arial" w:eastAsia="Arial" w:hAnsi="Arial"/>
                  <w:sz w:val="18"/>
                  <w:szCs w:val="18"/>
                  <w:color w:val="0000FF"/>
                  <w:w w:val="89"/>
                </w:rPr>
                <w:t>Outside Directors Stock Based Compensation Plan as Amended and Restated effective January 1, 2009 (filed as Exhibit 10.23 to the</w:t>
              </w:r>
            </w:hyperlink>
          </w:p>
        </w:tc>
        <w:tc>
          <w:tcPr>
            <w:tcW w:w="4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Registrant’s Form 10-K for 2008).</w:t>
              </w:r>
            </w:hyperlink>
          </w:p>
        </w:tc>
        <w:tc>
          <w:tcPr>
            <w:tcW w:w="7460" w:type="dxa"/>
            <w:vAlign w:val="bottom"/>
            <w:gridSpan w:val="27"/>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380" w:type="dxa"/>
            <w:vAlign w:val="bottom"/>
            <w:tcBorders>
              <w:bottom w:val="single" w:sz="8" w:color="0000FF"/>
            </w:tcBorders>
            <w:gridSpan w:val="18"/>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First Amendment to the Outside Directors Stock Based Compensation Plan effective January 1, 2011 (filed as Exhibit 10.16 to the</w:t>
              </w:r>
            </w:hyperlink>
          </w:p>
        </w:tc>
        <w:tc>
          <w:tcPr>
            <w:tcW w:w="560" w:type="dxa"/>
            <w:vAlign w:val="bottom"/>
            <w:gridSpan w:val="14"/>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Registrant’s Form 10-K for 2010).</w:t>
              </w:r>
            </w:hyperlink>
          </w:p>
        </w:tc>
        <w:tc>
          <w:tcPr>
            <w:tcW w:w="7460" w:type="dxa"/>
            <w:vAlign w:val="bottom"/>
            <w:gridSpan w:val="27"/>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640" w:type="dxa"/>
            <w:vAlign w:val="bottom"/>
            <w:tcBorders>
              <w:bottom w:val="single" w:sz="8" w:color="0000FF"/>
            </w:tcBorders>
            <w:gridSpan w:val="24"/>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Second Amendment to the Outside Director’s Stock Based Compensation Plan effective January 1, 2013 (filed as Exhibit 10.15 to the</w:t>
              </w:r>
            </w:hyperlink>
          </w:p>
        </w:tc>
        <w:tc>
          <w:tcPr>
            <w:tcW w:w="300" w:type="dxa"/>
            <w:vAlign w:val="bottom"/>
            <w:gridSpan w:val="8"/>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Registrant’s Form 10-K for 2012).</w:t>
              </w:r>
            </w:hyperlink>
          </w:p>
        </w:tc>
        <w:tc>
          <w:tcPr>
            <w:tcW w:w="7460" w:type="dxa"/>
            <w:vAlign w:val="bottom"/>
            <w:gridSpan w:val="27"/>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Third Amendment to the Outside Director’s Stock Based Compensation Plan effective January 1, 2015 (filed as Exhibit 10.16 to the</w:t>
              </w:r>
            </w:hyperlink>
          </w:p>
        </w:tc>
        <w:tc>
          <w:tcPr>
            <w:tcW w:w="420" w:type="dxa"/>
            <w:vAlign w:val="bottom"/>
            <w:gridSpan w:val="10"/>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Registrant’s Form 10-K for 2014).</w:t>
              </w:r>
            </w:hyperlink>
          </w:p>
        </w:tc>
      </w:tr>
      <w:tr>
        <w:trPr>
          <w:trHeight w:val="20"/>
        </w:trPr>
        <w:tc>
          <w:tcPr>
            <w:tcW w:w="138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9500" w:type="dxa"/>
            <w:vAlign w:val="bottom"/>
            <w:tcBorders>
              <w:bottom w:val="single" w:sz="8" w:color="0000FF"/>
            </w:tcBorders>
            <w:gridSpan w:val="21"/>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Fourth Amendment to the Outside Director’s Stock Based Compensation Plan effective January 1, 2017 (filed as Exhibit 10.4 to the</w:t>
              </w:r>
            </w:hyperlink>
          </w:p>
        </w:tc>
        <w:tc>
          <w:tcPr>
            <w:tcW w:w="440" w:type="dxa"/>
            <w:vAlign w:val="bottom"/>
            <w:gridSpan w:val="11"/>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5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Registrant’s Form 10-Q for the quarterly period ended September 30, 2016).</w:t>
              </w:r>
            </w:hyperlink>
          </w:p>
        </w:tc>
        <w:tc>
          <w:tcPr>
            <w:tcW w:w="4440" w:type="dxa"/>
            <w:vAlign w:val="bottom"/>
            <w:gridSpan w:val="20"/>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460" w:type="dxa"/>
            <w:vAlign w:val="bottom"/>
            <w:tcBorders>
              <w:bottom w:val="single" w:sz="8" w:color="0000FF"/>
            </w:tcBorders>
            <w:gridSpan w:val="20"/>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Fifth Amendment to the Outside Director’s Stock Based Compensation Plan effective January 1, 2018 (filed as Exhibit 10.16 to the</w:t>
              </w:r>
            </w:hyperlink>
          </w:p>
        </w:tc>
        <w:tc>
          <w:tcPr>
            <w:tcW w:w="480" w:type="dxa"/>
            <w:vAlign w:val="bottom"/>
            <w:gridSpan w:val="12"/>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Registrant’s Form 10-K for 2017).</w:t>
              </w:r>
            </w:hyperlink>
          </w:p>
        </w:tc>
        <w:tc>
          <w:tcPr>
            <w:tcW w:w="7460" w:type="dxa"/>
            <w:vAlign w:val="bottom"/>
            <w:gridSpan w:val="27"/>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10.18†</w:t>
            </w:r>
          </w:p>
        </w:tc>
        <w:tc>
          <w:tcPr>
            <w:tcW w:w="9940" w:type="dxa"/>
            <w:vAlign w:val="bottom"/>
            <w:gridSpan w:val="32"/>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Sixth Amendment to the Outside Director’s Stock Based Compensation Plan effective January 1, 2019.</w:t>
              </w:r>
            </w:hyperlink>
          </w:p>
        </w:tc>
      </w:tr>
      <w:tr>
        <w:trPr>
          <w:trHeight w:val="20"/>
        </w:trPr>
        <w:tc>
          <w:tcPr>
            <w:tcW w:w="1380" w:type="dxa"/>
            <w:vAlign w:val="bottom"/>
          </w:tcPr>
          <w:p>
            <w:pPr>
              <w:spacing w:after="0" w:line="20" w:lineRule="exact"/>
              <w:rPr>
                <w:sz w:val="1"/>
                <w:szCs w:val="1"/>
                <w:color w:val="auto"/>
              </w:rPr>
            </w:pPr>
          </w:p>
        </w:tc>
        <w:tc>
          <w:tcPr>
            <w:tcW w:w="3180" w:type="dxa"/>
            <w:vAlign w:val="bottom"/>
            <w:gridSpan w:val="6"/>
            <w:shd w:val="clear" w:color="auto" w:fill="0000FF"/>
          </w:tcPr>
          <w:p>
            <w:pPr>
              <w:spacing w:after="0" w:line="20" w:lineRule="exact"/>
              <w:rPr>
                <w:sz w:val="1"/>
                <w:szCs w:val="1"/>
                <w:color w:val="auto"/>
              </w:rPr>
            </w:pPr>
          </w:p>
        </w:tc>
        <w:tc>
          <w:tcPr>
            <w:tcW w:w="4240" w:type="dxa"/>
            <w:vAlign w:val="bottom"/>
            <w:gridSpan w:val="8"/>
            <w:shd w:val="clear" w:color="auto" w:fill="0000FF"/>
          </w:tcPr>
          <w:p>
            <w:pPr>
              <w:spacing w:after="0" w:line="20" w:lineRule="exact"/>
              <w:rPr>
                <w:sz w:val="1"/>
                <w:szCs w:val="1"/>
                <w:color w:val="auto"/>
              </w:rPr>
            </w:pPr>
          </w:p>
        </w:tc>
        <w:tc>
          <w:tcPr>
            <w:tcW w:w="244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860" w:type="dxa"/>
            <w:vAlign w:val="bottom"/>
            <w:tcBorders>
              <w:bottom w:val="single" w:sz="8" w:color="0000FF"/>
            </w:tcBorders>
            <w:gridSpan w:val="29"/>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Form of Non-Disclosure and Non-Solicitation Agreement for Certain Employees (filed as Exhibit 10.8 to the Registrant’s Form 10-Q for</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the quarterly period ended March 31, 2016).</w:t>
              </w:r>
            </w:hyperlink>
          </w:p>
        </w:tc>
      </w:tr>
      <w:tr>
        <w:trPr>
          <w:trHeight w:val="777"/>
        </w:trPr>
        <w:tc>
          <w:tcPr>
            <w:tcW w:w="1380" w:type="dxa"/>
            <w:vAlign w:val="bottom"/>
          </w:tcPr>
          <w:p>
            <w:pPr>
              <w:spacing w:after="0"/>
              <w:rPr>
                <w:sz w:val="24"/>
                <w:szCs w:val="24"/>
                <w:color w:val="auto"/>
              </w:rPr>
            </w:pPr>
          </w:p>
        </w:tc>
        <w:tc>
          <w:tcPr>
            <w:tcW w:w="3180" w:type="dxa"/>
            <w:vAlign w:val="bottom"/>
            <w:tcBorders>
              <w:top w:val="single" w:sz="8" w:color="0000FF"/>
            </w:tcBorders>
            <w:gridSpan w:val="6"/>
          </w:tcPr>
          <w:p>
            <w:pPr>
              <w:spacing w:after="0"/>
              <w:rPr>
                <w:sz w:val="24"/>
                <w:szCs w:val="24"/>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20"/>
          </w:cols>
          <w:pgMar w:left="280" w:top="1000" w:right="299" w:bottom="1440" w:gutter="0" w:footer="0" w:header="0"/>
        </w:sectPr>
      </w:pPr>
    </w:p>
    <w:bookmarkStart w:id="166" w:name="page167"/>
    <w:bookmarkEnd w:id="16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10.20*</w:t>
            </w:r>
          </w:p>
        </w:tc>
        <w:tc>
          <w:tcPr>
            <w:tcW w:w="9940" w:type="dxa"/>
            <w:vAlign w:val="bottom"/>
            <w:tcBorders>
              <w:bottom w:val="single" w:sz="8" w:color="0000FF"/>
            </w:tcBorders>
            <w:gridSpan w:val="8"/>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Equity Distribution Sales Agreement dated August 4, 2017 among Black Hills Corporation and the several Agents named therein (filed as</w:t>
              </w:r>
            </w:hyperlink>
          </w:p>
        </w:tc>
      </w:tr>
      <w:tr>
        <w:trPr>
          <w:trHeight w:val="196"/>
        </w:trPr>
        <w:tc>
          <w:tcPr>
            <w:tcW w:w="138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Exhibit 1.1 to the Registrant’s Form 8-K filed on August 4, 2017).</w:t>
              </w:r>
            </w:hyperlink>
          </w:p>
        </w:tc>
      </w:tr>
      <w:tr>
        <w:trPr>
          <w:trHeight w:val="20"/>
        </w:trPr>
        <w:tc>
          <w:tcPr>
            <w:tcW w:w="1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0"/>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10.21*</w:t>
            </w:r>
          </w:p>
        </w:tc>
        <w:tc>
          <w:tcPr>
            <w:tcW w:w="9640" w:type="dxa"/>
            <w:vAlign w:val="bottom"/>
            <w:tcBorders>
              <w:bottom w:val="single" w:sz="8" w:color="0000FF"/>
            </w:tcBorders>
            <w:gridSpan w:val="6"/>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 xml:space="preserve">Third Amended and Restated Credit Agreement dated as of July 30, 2018 (relating to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750 million Revolving Credit Facility), among</w:t>
              </w:r>
            </w:hyperlink>
          </w:p>
        </w:tc>
        <w:tc>
          <w:tcPr>
            <w:tcW w:w="3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Black Hills Corporation, as Borrower, the financial institutions party thereto, as Banks, and U.S. Bank, National Association, as</w:t>
              </w:r>
            </w:hyperlink>
          </w:p>
        </w:tc>
        <w:tc>
          <w:tcPr>
            <w:tcW w:w="7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Administrative Agent (filed as Exhibit 10.1 to the Registrant’s Form 8-K filed on July 31, 2018).</w:t>
              </w:r>
            </w:hyperlink>
          </w:p>
        </w:tc>
      </w:tr>
      <w:tr>
        <w:trPr>
          <w:trHeight w:val="20"/>
        </w:trPr>
        <w:tc>
          <w:tcPr>
            <w:tcW w:w="1380" w:type="dxa"/>
            <w:vAlign w:val="bottom"/>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0"/>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10.22*</w:t>
            </w:r>
          </w:p>
        </w:tc>
        <w:tc>
          <w:tcPr>
            <w:tcW w:w="9620" w:type="dxa"/>
            <w:vAlign w:val="bottom"/>
            <w:tcBorders>
              <w:bottom w:val="single" w:sz="8" w:color="0000FF"/>
            </w:tcBorders>
            <w:gridSpan w:val="5"/>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 xml:space="preserve">Amended and Restated Credit Agreement dated as of July 30, 2018 (relating to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300 million, two-year term loan), among Black Hills</w:t>
              </w:r>
            </w:hyperlink>
          </w:p>
        </w:tc>
        <w:tc>
          <w:tcPr>
            <w:tcW w:w="32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Corporation, as Borrower, the financial institutions party thereto, as Banks, and JPMorgan Chase Bank, N.A., as Administrative Agent</w:t>
              </w:r>
            </w:hyperlink>
          </w:p>
        </w:tc>
      </w:tr>
      <w:tr>
        <w:trPr>
          <w:trHeight w:val="196"/>
        </w:trPr>
        <w:tc>
          <w:tcPr>
            <w:tcW w:w="1380" w:type="dxa"/>
            <w:vAlign w:val="bottom"/>
          </w:tcPr>
          <w:p>
            <w:pPr>
              <w:spacing w:after="0"/>
              <w:rPr>
                <w:sz w:val="17"/>
                <w:szCs w:val="17"/>
                <w:color w:val="auto"/>
              </w:rPr>
            </w:pPr>
          </w:p>
        </w:tc>
        <w:tc>
          <w:tcPr>
            <w:tcW w:w="53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(filed as Exhibit 10.2 to the Registrant’s Form 8-K filed on July 31, 2018).</w:t>
              </w:r>
            </w:hyperlink>
          </w:p>
        </w:tc>
        <w:tc>
          <w:tcPr>
            <w:tcW w:w="4320" w:type="dxa"/>
            <w:vAlign w:val="bottom"/>
            <w:tcBorders>
              <w:top w:val="single" w:sz="8" w:color="0000FF"/>
            </w:tcBorders>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546"/>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10.23*</w:t>
            </w:r>
          </w:p>
        </w:tc>
        <w:tc>
          <w:tcPr>
            <w:tcW w:w="9940" w:type="dxa"/>
            <w:vAlign w:val="bottom"/>
            <w:gridSpan w:val="8"/>
          </w:tcPr>
          <w:p>
            <w:pPr>
              <w:spacing w:after="0"/>
              <w:rPr>
                <w:sz w:val="20"/>
                <w:szCs w:val="20"/>
                <w:color w:val="auto"/>
              </w:rPr>
            </w:pPr>
            <w:r>
              <w:rPr>
                <w:rFonts w:ascii="Arial" w:cs="Arial" w:eastAsia="Arial" w:hAnsi="Arial"/>
                <w:sz w:val="18"/>
                <w:szCs w:val="18"/>
                <w:color w:val="auto"/>
              </w:rPr>
              <w:t>Coal Leases between WRDC and the Federal Government</w:t>
            </w:r>
          </w:p>
        </w:tc>
      </w:tr>
      <w:tr>
        <w:trPr>
          <w:trHeight w:val="216"/>
        </w:trPr>
        <w:tc>
          <w:tcPr>
            <w:tcW w:w="1380" w:type="dxa"/>
            <w:vAlign w:val="bottom"/>
          </w:tcPr>
          <w:p>
            <w:pPr>
              <w:spacing w:after="0"/>
              <w:rPr>
                <w:sz w:val="18"/>
                <w:szCs w:val="18"/>
                <w:color w:val="auto"/>
              </w:rPr>
            </w:pPr>
          </w:p>
        </w:tc>
        <w:tc>
          <w:tcPr>
            <w:tcW w:w="9940" w:type="dxa"/>
            <w:vAlign w:val="bottom"/>
            <w:gridSpan w:val="8"/>
          </w:tcPr>
          <w:p>
            <w:pPr>
              <w:ind w:left="220"/>
              <w:spacing w:after="0" w:line="207" w:lineRule="exact"/>
              <w:rPr>
                <w:sz w:val="20"/>
                <w:szCs w:val="20"/>
                <w:color w:val="auto"/>
              </w:rPr>
            </w:pPr>
            <w:r>
              <w:rPr>
                <w:rFonts w:ascii="Arial" w:cs="Arial" w:eastAsia="Arial" w:hAnsi="Arial"/>
                <w:sz w:val="18"/>
                <w:szCs w:val="18"/>
                <w:color w:val="auto"/>
              </w:rPr>
              <w:t>-Dated May 1, 1959 (filed as Exhibit 5(i)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16"/>
        </w:trPr>
        <w:tc>
          <w:tcPr>
            <w:tcW w:w="1380" w:type="dxa"/>
            <w:vAlign w:val="bottom"/>
          </w:tcPr>
          <w:p>
            <w:pPr>
              <w:spacing w:after="0"/>
              <w:rPr>
                <w:sz w:val="18"/>
                <w:szCs w:val="18"/>
                <w:color w:val="auto"/>
              </w:rPr>
            </w:pPr>
          </w:p>
        </w:tc>
        <w:tc>
          <w:tcPr>
            <w:tcW w:w="9940" w:type="dxa"/>
            <w:vAlign w:val="bottom"/>
            <w:gridSpan w:val="8"/>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10(h) to the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216"/>
        </w:trPr>
        <w:tc>
          <w:tcPr>
            <w:tcW w:w="1380" w:type="dxa"/>
            <w:vAlign w:val="bottom"/>
          </w:tcPr>
          <w:p>
            <w:pPr>
              <w:spacing w:after="0"/>
              <w:rPr>
                <w:sz w:val="18"/>
                <w:szCs w:val="18"/>
                <w:color w:val="auto"/>
              </w:rPr>
            </w:pPr>
          </w:p>
        </w:tc>
        <w:tc>
          <w:tcPr>
            <w:tcW w:w="9940" w:type="dxa"/>
            <w:vAlign w:val="bottom"/>
            <w:gridSpan w:val="8"/>
          </w:tcPr>
          <w:p>
            <w:pPr>
              <w:ind w:left="220"/>
              <w:spacing w:after="0" w:line="207" w:lineRule="exact"/>
              <w:rPr>
                <w:sz w:val="20"/>
                <w:szCs w:val="20"/>
                <w:color w:val="auto"/>
              </w:rPr>
            </w:pPr>
            <w:r>
              <w:rPr>
                <w:rFonts w:ascii="Arial" w:cs="Arial" w:eastAsia="Arial" w:hAnsi="Arial"/>
                <w:sz w:val="18"/>
                <w:szCs w:val="18"/>
                <w:color w:val="auto"/>
              </w:rPr>
              <w:t>-Dated April 1, 1961 (filed as Exhibit 5(j)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16"/>
        </w:trPr>
        <w:tc>
          <w:tcPr>
            <w:tcW w:w="1380" w:type="dxa"/>
            <w:vAlign w:val="bottom"/>
          </w:tcPr>
          <w:p>
            <w:pPr>
              <w:spacing w:after="0"/>
              <w:rPr>
                <w:sz w:val="18"/>
                <w:szCs w:val="18"/>
                <w:color w:val="auto"/>
              </w:rPr>
            </w:pPr>
          </w:p>
        </w:tc>
        <w:tc>
          <w:tcPr>
            <w:tcW w:w="9940" w:type="dxa"/>
            <w:vAlign w:val="bottom"/>
            <w:gridSpan w:val="8"/>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10(i) to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216"/>
        </w:trPr>
        <w:tc>
          <w:tcPr>
            <w:tcW w:w="1380" w:type="dxa"/>
            <w:vAlign w:val="bottom"/>
          </w:tcPr>
          <w:p>
            <w:pPr>
              <w:spacing w:after="0"/>
              <w:rPr>
                <w:sz w:val="18"/>
                <w:szCs w:val="18"/>
                <w:color w:val="auto"/>
              </w:rPr>
            </w:pPr>
          </w:p>
        </w:tc>
        <w:tc>
          <w:tcPr>
            <w:tcW w:w="9940" w:type="dxa"/>
            <w:vAlign w:val="bottom"/>
            <w:gridSpan w:val="8"/>
          </w:tcPr>
          <w:p>
            <w:pPr>
              <w:ind w:left="220"/>
              <w:spacing w:after="0" w:line="207" w:lineRule="exact"/>
              <w:rPr>
                <w:sz w:val="20"/>
                <w:szCs w:val="20"/>
                <w:color w:val="auto"/>
              </w:rPr>
            </w:pPr>
            <w:r>
              <w:rPr>
                <w:rFonts w:ascii="Arial" w:cs="Arial" w:eastAsia="Arial" w:hAnsi="Arial"/>
                <w:sz w:val="18"/>
                <w:szCs w:val="18"/>
                <w:color w:val="auto"/>
              </w:rPr>
              <w:t>-Dated October 1, 1965 (filed as Exhibit 5(k)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30"/>
        </w:trPr>
        <w:tc>
          <w:tcPr>
            <w:tcW w:w="1380" w:type="dxa"/>
            <w:vAlign w:val="bottom"/>
          </w:tcPr>
          <w:p>
            <w:pPr>
              <w:spacing w:after="0"/>
              <w:rPr>
                <w:sz w:val="20"/>
                <w:szCs w:val="20"/>
                <w:color w:val="auto"/>
              </w:rPr>
            </w:pPr>
          </w:p>
        </w:tc>
        <w:tc>
          <w:tcPr>
            <w:tcW w:w="9940" w:type="dxa"/>
            <w:vAlign w:val="bottom"/>
            <w:gridSpan w:val="8"/>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10(j) to the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526"/>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10.24*</w:t>
            </w:r>
          </w:p>
        </w:tc>
        <w:tc>
          <w:tcPr>
            <w:tcW w:w="9940" w:type="dxa"/>
            <w:vAlign w:val="bottom"/>
            <w:gridSpan w:val="8"/>
          </w:tcPr>
          <w:p>
            <w:pPr>
              <w:spacing w:after="0"/>
              <w:rPr>
                <w:sz w:val="20"/>
                <w:szCs w:val="20"/>
                <w:color w:val="auto"/>
              </w:rPr>
            </w:pPr>
            <w:r>
              <w:rPr>
                <w:rFonts w:ascii="Arial" w:cs="Arial" w:eastAsia="Arial" w:hAnsi="Arial"/>
                <w:sz w:val="18"/>
                <w:szCs w:val="18"/>
                <w:color w:val="auto"/>
                <w:w w:val="91"/>
              </w:rPr>
              <w:t>Assignment of Mining Leases and Related Agreement effective May 27, 1997, between WRDC and Kerr-McGee Coal Corporation (filed</w:t>
            </w:r>
          </w:p>
        </w:tc>
      </w:tr>
      <w:tr>
        <w:trPr>
          <w:trHeight w:val="230"/>
        </w:trPr>
        <w:tc>
          <w:tcPr>
            <w:tcW w:w="138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as Exhibit 10(u) to the Registrant’s Form 10-K for 1997).</w:t>
            </w:r>
          </w:p>
        </w:tc>
      </w:tr>
    </w:tbl>
    <w:p>
      <w:pPr>
        <w:spacing w:after="0" w:line="310" w:lineRule="exact"/>
        <w:rPr>
          <w:sz w:val="20"/>
          <w:szCs w:val="20"/>
          <w:color w:val="auto"/>
        </w:rPr>
      </w:pPr>
    </w:p>
    <w:p>
      <w:pPr>
        <w:ind w:left="1420" w:hanging="1385"/>
        <w:spacing w:after="0"/>
        <w:tabs>
          <w:tab w:leader="none" w:pos="1420" w:val="left"/>
        </w:tabs>
        <w:numPr>
          <w:ilvl w:val="0"/>
          <w:numId w:val="116"/>
        </w:numPr>
        <w:rPr>
          <w:rFonts w:ascii="Arial" w:cs="Arial" w:eastAsia="Arial" w:hAnsi="Arial"/>
          <w:sz w:val="18"/>
          <w:szCs w:val="18"/>
          <w:u w:val="single" w:color="auto"/>
          <w:color w:val="0000FF"/>
        </w:rPr>
      </w:pPr>
      <w:hyperlink w:anchor="page201">
        <w:r>
          <w:rPr>
            <w:rFonts w:ascii="Arial" w:cs="Arial" w:eastAsia="Arial" w:hAnsi="Arial"/>
            <w:sz w:val="18"/>
            <w:szCs w:val="18"/>
            <w:u w:val="single" w:color="auto"/>
            <w:color w:val="0000FF"/>
          </w:rPr>
          <w:t>List of Subsidiaries of Black Hills Corporation.</w:t>
        </w:r>
      </w:hyperlink>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23.1</w:t>
            </w:r>
          </w:p>
        </w:tc>
        <w:tc>
          <w:tcPr>
            <w:tcW w:w="43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202">
              <w:r>
                <w:rPr>
                  <w:rFonts w:ascii="Arial" w:cs="Arial" w:eastAsia="Arial" w:hAnsi="Arial"/>
                  <w:sz w:val="18"/>
                  <w:szCs w:val="18"/>
                  <w:color w:val="0000FF"/>
                  <w:w w:val="90"/>
                </w:rPr>
                <w:t>Consent of Independent Registered Public Accounting Firm.</w:t>
              </w:r>
            </w:hyperlink>
          </w:p>
        </w:tc>
        <w:tc>
          <w:tcPr>
            <w:tcW w:w="5360" w:type="dxa"/>
            <w:vAlign w:val="bottom"/>
            <w:gridSpan w:val="4"/>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23.2</w:t>
            </w:r>
          </w:p>
        </w:tc>
        <w:tc>
          <w:tcPr>
            <w:tcW w:w="33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203">
              <w:r>
                <w:rPr>
                  <w:rFonts w:ascii="Arial" w:cs="Arial" w:eastAsia="Arial" w:hAnsi="Arial"/>
                  <w:sz w:val="18"/>
                  <w:szCs w:val="18"/>
                  <w:color w:val="0000FF"/>
                  <w:w w:val="89"/>
                </w:rPr>
                <w:t>Consent of Petroleum Engineer and Geologist.</w:t>
              </w:r>
            </w:hyperlink>
          </w:p>
        </w:tc>
        <w:tc>
          <w:tcPr>
            <w:tcW w:w="6360" w:type="dxa"/>
            <w:vAlign w:val="bottom"/>
            <w:gridSpan w:val="7"/>
          </w:tcPr>
          <w:p>
            <w:pPr>
              <w:spacing w:after="0"/>
              <w:rPr>
                <w:sz w:val="24"/>
                <w:szCs w:val="24"/>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5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204">
              <w:r>
                <w:rPr>
                  <w:rFonts w:ascii="Arial" w:cs="Arial" w:eastAsia="Arial" w:hAnsi="Arial"/>
                  <w:sz w:val="18"/>
                  <w:szCs w:val="18"/>
                  <w:color w:val="0000FF"/>
                  <w:w w:val="91"/>
                </w:rPr>
                <w:t>Certification of Chief Executive Officer pursuant to Rule 13a - 14(a) of the Securities Exchange Act of 1934, as adopted pursuant to</w:t>
              </w:r>
            </w:hyperlink>
          </w:p>
        </w:tc>
        <w:tc>
          <w:tcPr>
            <w:tcW w:w="2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5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204">
              <w:r>
                <w:rPr>
                  <w:rFonts w:ascii="Arial" w:cs="Arial" w:eastAsia="Arial" w:hAnsi="Arial"/>
                  <w:sz w:val="18"/>
                  <w:szCs w:val="18"/>
                  <w:color w:val="0000FF"/>
                  <w:w w:val="90"/>
                </w:rPr>
                <w:t>Section 302 of the Sarbanes - Oxley Act of 2002.</w:t>
              </w:r>
            </w:hyperlink>
          </w:p>
        </w:tc>
        <w:tc>
          <w:tcPr>
            <w:tcW w:w="6160" w:type="dxa"/>
            <w:vAlign w:val="bottom"/>
            <w:gridSpan w:val="5"/>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720" w:type="dxa"/>
            <w:vAlign w:val="bottom"/>
            <w:gridSpan w:val="9"/>
          </w:tcPr>
          <w:p>
            <w:pPr>
              <w:spacing w:after="0"/>
              <w:rPr>
                <w:rFonts w:ascii="Arial" w:cs="Arial" w:eastAsia="Arial" w:hAnsi="Arial"/>
                <w:sz w:val="18"/>
                <w:szCs w:val="18"/>
                <w:color w:val="0000FF"/>
                <w:w w:val="93"/>
              </w:rPr>
            </w:pPr>
            <w:hyperlink w:anchor="page205">
              <w:r>
                <w:rPr>
                  <w:rFonts w:ascii="Arial" w:cs="Arial" w:eastAsia="Arial" w:hAnsi="Arial"/>
                  <w:sz w:val="18"/>
                  <w:szCs w:val="18"/>
                  <w:color w:val="0000FF"/>
                  <w:w w:val="93"/>
                </w:rPr>
                <w:t>Certification of Chief Financial Officer pursuant to Rule 13a - 14(a) of the Securities Exchange Act of 1934, as adopted pursuant to</w:t>
              </w:r>
            </w:hyperlink>
          </w:p>
        </w:tc>
      </w:tr>
      <w:tr>
        <w:trPr>
          <w:trHeight w:val="196"/>
        </w:trPr>
        <w:tc>
          <w:tcPr>
            <w:tcW w:w="1380" w:type="dxa"/>
            <w:vAlign w:val="bottom"/>
          </w:tcPr>
          <w:p>
            <w:pPr>
              <w:spacing w:after="0"/>
              <w:rPr>
                <w:sz w:val="17"/>
                <w:szCs w:val="17"/>
                <w:color w:val="auto"/>
              </w:rPr>
            </w:pPr>
          </w:p>
        </w:tc>
        <w:tc>
          <w:tcPr>
            <w:tcW w:w="9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205">
              <w:r>
                <w:rPr>
                  <w:rFonts w:ascii="Arial" w:cs="Arial" w:eastAsia="Arial" w:hAnsi="Arial"/>
                  <w:sz w:val="18"/>
                  <w:szCs w:val="18"/>
                  <w:color w:val="0000FF"/>
                </w:rPr>
                <w:t>Section 302 of the Sarbanes - Oxley Act of 2002.</w:t>
              </w:r>
            </w:hyperlink>
          </w:p>
        </w:tc>
        <w:tc>
          <w:tcPr>
            <w:tcW w:w="26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32.1</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206">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206">
              <w:r>
                <w:rPr>
                  <w:rFonts w:ascii="Arial" w:cs="Arial" w:eastAsia="Arial" w:hAnsi="Arial"/>
                  <w:sz w:val="18"/>
                  <w:szCs w:val="18"/>
                  <w:color w:val="0000FF"/>
                  <w:w w:val="91"/>
                </w:rPr>
                <w:t>Act of 2002.</w:t>
              </w:r>
            </w:hyperlink>
          </w:p>
        </w:tc>
        <w:tc>
          <w:tcPr>
            <w:tcW w:w="8820" w:type="dxa"/>
            <w:vAlign w:val="bottom"/>
            <w:gridSpan w:val="8"/>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32.2</w:t>
            </w:r>
          </w:p>
        </w:tc>
        <w:tc>
          <w:tcPr>
            <w:tcW w:w="96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207">
              <w:r>
                <w:rPr>
                  <w:rFonts w:ascii="Arial" w:cs="Arial" w:eastAsia="Arial" w:hAnsi="Arial"/>
                  <w:sz w:val="18"/>
                  <w:szCs w:val="18"/>
                  <w:color w:val="0000FF"/>
                  <w:w w:val="90"/>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207">
              <w:r>
                <w:rPr>
                  <w:rFonts w:ascii="Arial" w:cs="Arial" w:eastAsia="Arial" w:hAnsi="Arial"/>
                  <w:sz w:val="18"/>
                  <w:szCs w:val="18"/>
                  <w:color w:val="0000FF"/>
                  <w:w w:val="91"/>
                </w:rPr>
                <w:t>Act of 2002.</w:t>
              </w:r>
            </w:hyperlink>
          </w:p>
        </w:tc>
        <w:tc>
          <w:tcPr>
            <w:tcW w:w="8820" w:type="dxa"/>
            <w:vAlign w:val="bottom"/>
            <w:gridSpan w:val="8"/>
          </w:tcPr>
          <w:p>
            <w:pPr>
              <w:spacing w:after="0"/>
              <w:rPr>
                <w:sz w:val="17"/>
                <w:szCs w:val="17"/>
                <w:color w:val="auto"/>
              </w:rPr>
            </w:pPr>
          </w:p>
        </w:tc>
      </w:tr>
    </w:tbl>
    <w:p>
      <w:pPr>
        <w:spacing w:after="0" w:line="337" w:lineRule="exact"/>
        <w:rPr>
          <w:sz w:val="20"/>
          <w:szCs w:val="20"/>
          <w:color w:val="auto"/>
        </w:rPr>
      </w:pPr>
    </w:p>
    <w:p>
      <w:pPr>
        <w:ind w:left="1420" w:hanging="1385"/>
        <w:spacing w:after="0"/>
        <w:tabs>
          <w:tab w:leader="none" w:pos="1420" w:val="left"/>
        </w:tabs>
        <w:numPr>
          <w:ilvl w:val="0"/>
          <w:numId w:val="117"/>
        </w:numPr>
        <w:rPr>
          <w:rFonts w:ascii="Arial" w:cs="Arial" w:eastAsia="Arial" w:hAnsi="Arial"/>
          <w:sz w:val="18"/>
          <w:szCs w:val="18"/>
          <w:u w:val="single" w:color="auto"/>
          <w:color w:val="0000FF"/>
        </w:rPr>
      </w:pPr>
      <w:hyperlink w:anchor="page208">
        <w:r>
          <w:rPr>
            <w:rFonts w:ascii="Arial" w:cs="Arial" w:eastAsia="Arial" w:hAnsi="Arial"/>
            <w:sz w:val="18"/>
            <w:szCs w:val="18"/>
            <w:u w:val="single" w:color="auto"/>
            <w:color w:val="0000FF"/>
          </w:rPr>
          <w:t>Mine Safety and Health Administration Safety Data</w:t>
        </w:r>
      </w:hyperlink>
    </w:p>
    <w:p>
      <w:pPr>
        <w:spacing w:after="0" w:line="333" w:lineRule="exact"/>
        <w:rPr>
          <w:sz w:val="20"/>
          <w:szCs w:val="20"/>
          <w:color w:val="auto"/>
        </w:rPr>
      </w:pPr>
    </w:p>
    <w:p>
      <w:pPr>
        <w:ind w:left="1420" w:hanging="1385"/>
        <w:spacing w:after="0"/>
        <w:tabs>
          <w:tab w:leader="none" w:pos="14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Financial Statements in XBRL Format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Previously filed as part of the filing indicated and incorporated by reference herein.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a board of director or management compensatory plan.</w:t>
      </w:r>
    </w:p>
    <w:p>
      <w:pPr>
        <w:spacing w:after="0" w:line="3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60"/>
          </w:cols>
          <w:pgMar w:left="240" w:top="729"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360"/>
          </w:cols>
          <w:pgMar w:left="240" w:top="729" w:right="299" w:bottom="1440" w:gutter="0" w:footer="0" w:header="0"/>
          <w:type w:val="continuous"/>
        </w:sectPr>
      </w:pPr>
    </w:p>
    <w:bookmarkStart w:id="167" w:name="page168"/>
    <w:bookmarkEnd w:id="16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BLACK HILLS CORPORATION</w:t>
      </w:r>
    </w:p>
    <w:p>
      <w:pPr>
        <w:spacing w:after="0" w:line="387"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18"/>
          <w:szCs w:val="18"/>
          <w:color w:val="auto"/>
        </w:rPr>
        <w:t>By:</w:t>
        <w:tab/>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035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Linden R. Evans, President and 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February 19, 2019</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 LINDEN R. EVANS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Linden R. Evans, President</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Executive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RICHARD W. KINZLEY</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Financial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Richard W. Kinzley, Senior Vice President</w:t>
            </w:r>
          </w:p>
        </w:tc>
        <w:tc>
          <w:tcPr>
            <w:tcW w:w="280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DAVID R. EMERY</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David R. Emery, Executive Chairman</w:t>
            </w:r>
          </w:p>
        </w:tc>
        <w:tc>
          <w:tcPr>
            <w:tcW w:w="2800" w:type="dxa"/>
            <w:vAlign w:val="bottom"/>
          </w:tcPr>
          <w:p>
            <w:pPr>
              <w:ind w:left="20"/>
              <w:spacing w:after="0"/>
              <w:rPr>
                <w:sz w:val="20"/>
                <w:szCs w:val="20"/>
                <w:color w:val="auto"/>
              </w:rPr>
            </w:pPr>
            <w:r>
              <w:rPr>
                <w:rFonts w:ascii="Arial" w:cs="Arial" w:eastAsia="Arial" w:hAnsi="Arial"/>
                <w:sz w:val="18"/>
                <w:szCs w:val="18"/>
                <w:color w:val="auto"/>
              </w:rPr>
              <w:t>Executive Chairman</w:t>
            </w: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MICHAEL H. MADISON</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Michael H. Madison</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STEVEN R. MILLS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Steven R. Mills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ROBERT P. OTTO</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Robert P. Otto</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REBECCA B. ROBERTS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Rebecca B. Roberts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MARK A. SCHOBER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Mark A. Schober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TERESA A. TAYLOR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Teresa A. Taylor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JOHN B. VERING</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John B. Vering</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THOMAS J. ZELLER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19, 2019</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Thomas J. Zeller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240" w:top="581"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200"/>
          </w:cols>
          <w:pgMar w:left="240" w:top="581" w:right="459" w:bottom="1440" w:gutter="0" w:footer="0" w:header="0"/>
          <w:type w:val="continuous"/>
        </w:sectPr>
      </w:pPr>
    </w:p>
    <w:bookmarkStart w:id="168" w:name="page169"/>
    <w:bookmarkEnd w:id="168"/>
    <w:p>
      <w:pPr>
        <w:ind w:left="4620"/>
        <w:spacing w:after="0"/>
        <w:rPr>
          <w:sz w:val="20"/>
          <w:szCs w:val="20"/>
          <w:color w:val="auto"/>
        </w:rPr>
      </w:pPr>
      <w:r>
        <w:rPr>
          <w:rFonts w:ascii="Arial" w:cs="Arial" w:eastAsia="Arial" w:hAnsi="Arial"/>
          <w:sz w:val="20"/>
          <w:szCs w:val="20"/>
          <w:b w:val="1"/>
          <w:bCs w:val="1"/>
          <w:color w:val="auto"/>
        </w:rPr>
        <w:t>First Amendment to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Black Hills Corporation</w:t>
      </w:r>
    </w:p>
    <w:p>
      <w:pPr>
        <w:jc w:val="center"/>
        <w:ind w:right="80"/>
        <w:spacing w:after="0"/>
        <w:rPr>
          <w:sz w:val="20"/>
          <w:szCs w:val="20"/>
          <w:color w:val="auto"/>
        </w:rPr>
      </w:pPr>
      <w:r>
        <w:rPr>
          <w:rFonts w:ascii="Arial" w:cs="Arial" w:eastAsia="Arial" w:hAnsi="Arial"/>
          <w:sz w:val="20"/>
          <w:szCs w:val="20"/>
          <w:b w:val="1"/>
          <w:bCs w:val="1"/>
          <w:color w:val="auto"/>
        </w:rPr>
        <w:t>Nonqualified Deferred Compensation Plan</w:t>
      </w:r>
    </w:p>
    <w:p>
      <w:pPr>
        <w:jc w:val="center"/>
        <w:ind w:right="80"/>
        <w:spacing w:after="0"/>
        <w:rPr>
          <w:sz w:val="20"/>
          <w:szCs w:val="20"/>
          <w:color w:val="auto"/>
        </w:rPr>
      </w:pPr>
      <w:r>
        <w:rPr>
          <w:rFonts w:ascii="Arial" w:cs="Arial" w:eastAsia="Arial" w:hAnsi="Arial"/>
          <w:sz w:val="20"/>
          <w:szCs w:val="20"/>
          <w:b w:val="1"/>
          <w:bCs w:val="1"/>
          <w:color w:val="auto"/>
        </w:rPr>
        <w:t>(As Amended and Restated effective January 1, 2011)</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December 31, 2018</w:t>
      </w:r>
    </w:p>
    <w:p>
      <w:pPr>
        <w:spacing w:after="0" w:line="200" w:lineRule="exact"/>
        <w:rPr>
          <w:sz w:val="20"/>
          <w:szCs w:val="20"/>
          <w:color w:val="auto"/>
        </w:rPr>
      </w:pPr>
    </w:p>
    <w:p>
      <w:pPr>
        <w:spacing w:after="0" w:line="265" w:lineRule="exact"/>
        <w:rPr>
          <w:sz w:val="20"/>
          <w:szCs w:val="20"/>
          <w:color w:val="auto"/>
        </w:rPr>
      </w:pPr>
    </w:p>
    <w:p>
      <w:pPr>
        <w:ind w:left="720"/>
        <w:spacing w:after="0"/>
        <w:rPr>
          <w:sz w:val="20"/>
          <w:szCs w:val="20"/>
          <w:color w:val="auto"/>
        </w:rPr>
      </w:pPr>
      <w:r>
        <w:rPr>
          <w:rFonts w:ascii="Arial" w:cs="Arial" w:eastAsia="Arial" w:hAnsi="Arial"/>
          <w:sz w:val="20"/>
          <w:szCs w:val="20"/>
          <w:color w:val="161616"/>
        </w:rPr>
        <w:t>WHEREAS, Black Hills Corporation (the "Company") maintains the Black Hills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161616"/>
        </w:rPr>
        <w:t>Corporation Nonqualified Deferred Compensation Plan (As Amended and Restated effective January 1, 2011) (the "Plan");</w:t>
      </w:r>
    </w:p>
    <w:p>
      <w:pPr>
        <w:spacing w:after="0" w:line="200" w:lineRule="exact"/>
        <w:rPr>
          <w:sz w:val="20"/>
          <w:szCs w:val="20"/>
          <w:color w:val="auto"/>
        </w:rPr>
      </w:pPr>
    </w:p>
    <w:p>
      <w:pPr>
        <w:jc w:val="both"/>
        <w:ind w:left="60" w:firstLine="648"/>
        <w:spacing w:after="0" w:line="260" w:lineRule="auto"/>
        <w:rPr>
          <w:sz w:val="20"/>
          <w:szCs w:val="20"/>
          <w:color w:val="auto"/>
        </w:rPr>
      </w:pPr>
      <w:r>
        <w:rPr>
          <w:rFonts w:ascii="Arial" w:cs="Arial" w:eastAsia="Arial" w:hAnsi="Arial"/>
          <w:sz w:val="20"/>
          <w:szCs w:val="20"/>
          <w:color w:val="161616"/>
        </w:rPr>
        <w:t>WHEREAS, the Company desires to adopt the Black Hills Corporation 2019 Nonqualified Deferred Compensation Plan Post 2018 as the successor to the Plan, effective as of January 1, 2019;</w:t>
      </w:r>
    </w:p>
    <w:p>
      <w:pPr>
        <w:spacing w:after="0" w:line="258" w:lineRule="exact"/>
        <w:rPr>
          <w:sz w:val="20"/>
          <w:szCs w:val="20"/>
          <w:color w:val="auto"/>
        </w:rPr>
      </w:pPr>
    </w:p>
    <w:p>
      <w:pPr>
        <w:jc w:val="both"/>
        <w:ind w:left="40" w:firstLine="702"/>
        <w:spacing w:after="0" w:line="282" w:lineRule="auto"/>
        <w:rPr>
          <w:sz w:val="20"/>
          <w:szCs w:val="20"/>
          <w:color w:val="auto"/>
        </w:rPr>
      </w:pPr>
      <w:r>
        <w:rPr>
          <w:rFonts w:ascii="Arial" w:cs="Arial" w:eastAsia="Arial" w:hAnsi="Arial"/>
          <w:sz w:val="18"/>
          <w:szCs w:val="18"/>
          <w:color w:val="161616"/>
        </w:rPr>
        <w:t>WHEREAS, in connection with the foregoing, the Company desires to amend the Plan, effective as of December 31, 2018, in order to freeze all participation and deferrals under the Plan, such that no new participants will be added to the Plan after December 31, 2018, and no further deferrals will be credited under the Plan for existing participants with respect to any calendar year after 2018, other than earnings credited on existing account balances, and to make certain other clarifying and ministerial revisions to the Plan; and</w:t>
      </w:r>
    </w:p>
    <w:p>
      <w:pPr>
        <w:spacing w:after="0" w:line="162" w:lineRule="exact"/>
        <w:rPr>
          <w:sz w:val="20"/>
          <w:szCs w:val="20"/>
          <w:color w:val="auto"/>
        </w:rPr>
      </w:pPr>
    </w:p>
    <w:p>
      <w:pPr>
        <w:jc w:val="both"/>
        <w:ind w:left="40" w:firstLine="648"/>
        <w:spacing w:after="0" w:line="291" w:lineRule="auto"/>
        <w:rPr>
          <w:sz w:val="20"/>
          <w:szCs w:val="20"/>
          <w:color w:val="auto"/>
        </w:rPr>
      </w:pPr>
      <w:r>
        <w:rPr>
          <w:rFonts w:ascii="Arial" w:cs="Arial" w:eastAsia="Arial" w:hAnsi="Arial"/>
          <w:sz w:val="18"/>
          <w:szCs w:val="18"/>
          <w:color w:val="161616"/>
        </w:rPr>
        <w:t>WHEREAS, the Benefits Committee of Black Hills Corporation (the "Committee") has the right, authority and power to approve, adopt and execute any (a) non-material amendment to the Plan, or (b) any amendment to the Plan that is required to maintain the Plan's compliance with applicable law, regulation or other authoritative guidance, each as determined by the Chairperson of the Committee.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20"/>
          <w:szCs w:val="20"/>
          <w:color w:val="161616"/>
        </w:rPr>
        <w:t>NOW, THEREFORE, the Plan is hereby amended as set forth herein, effective as of December 31, 2018.</w:t>
      </w:r>
    </w:p>
    <w:p>
      <w:pPr>
        <w:spacing w:after="0" w:line="243" w:lineRule="exact"/>
        <w:rPr>
          <w:sz w:val="20"/>
          <w:szCs w:val="20"/>
          <w:color w:val="auto"/>
        </w:rPr>
      </w:pPr>
    </w:p>
    <w:p>
      <w:pPr>
        <w:ind w:left="740" w:hanging="690"/>
        <w:spacing w:after="0"/>
        <w:tabs>
          <w:tab w:leader="none" w:pos="740" w:val="left"/>
        </w:tabs>
        <w:numPr>
          <w:ilvl w:val="0"/>
          <w:numId w:val="119"/>
        </w:numPr>
        <w:rPr>
          <w:rFonts w:ascii="Arial" w:cs="Arial" w:eastAsia="Arial" w:hAnsi="Arial"/>
          <w:sz w:val="18"/>
          <w:szCs w:val="18"/>
          <w:color w:val="auto"/>
        </w:rPr>
      </w:pPr>
      <w:r>
        <w:rPr>
          <w:rFonts w:ascii="Arial" w:cs="Arial" w:eastAsia="Arial" w:hAnsi="Arial"/>
          <w:sz w:val="20"/>
          <w:szCs w:val="20"/>
          <w:color w:val="161616"/>
        </w:rPr>
        <w:t>Section 2(o) of the Plan is amended to read in its entirety as follows:</w:t>
      </w:r>
    </w:p>
    <w:p>
      <w:pPr>
        <w:spacing w:after="0" w:line="229" w:lineRule="exact"/>
        <w:rPr>
          <w:sz w:val="20"/>
          <w:szCs w:val="20"/>
          <w:color w:val="auto"/>
        </w:rPr>
      </w:pPr>
    </w:p>
    <w:p>
      <w:pPr>
        <w:ind w:left="720"/>
        <w:spacing w:after="0" w:line="287" w:lineRule="auto"/>
        <w:rPr>
          <w:sz w:val="20"/>
          <w:szCs w:val="20"/>
          <w:color w:val="auto"/>
        </w:rPr>
      </w:pPr>
      <w:r>
        <w:rPr>
          <w:rFonts w:ascii="Arial" w:cs="Arial" w:eastAsia="Arial" w:hAnsi="Arial"/>
          <w:sz w:val="19"/>
          <w:szCs w:val="19"/>
          <w:color w:val="161616"/>
        </w:rPr>
        <w:t>'"Elective Contributions' shall mean a Participant's Base Salary Contributions, Incentive Contributions, Performance Share Contributions and RSU Contributions, as applicable, with respect to a Plan Year ending on or before December 31, 2018."</w:t>
      </w:r>
    </w:p>
    <w:p>
      <w:pPr>
        <w:spacing w:after="0" w:line="153" w:lineRule="exact"/>
        <w:rPr>
          <w:sz w:val="20"/>
          <w:szCs w:val="20"/>
          <w:color w:val="auto"/>
        </w:rPr>
      </w:pPr>
    </w:p>
    <w:p>
      <w:pPr>
        <w:ind w:left="720" w:hanging="670"/>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20"/>
          <w:szCs w:val="20"/>
          <w:color w:val="161616"/>
        </w:rPr>
        <w:t>Section 2(y) of the Plan is amended to read in its entirety as follows:</w:t>
      </w:r>
    </w:p>
    <w:p>
      <w:pPr>
        <w:spacing w:after="0" w:line="216" w:lineRule="exact"/>
        <w:rPr>
          <w:sz w:val="20"/>
          <w:szCs w:val="20"/>
          <w:color w:val="auto"/>
        </w:rPr>
      </w:pPr>
    </w:p>
    <w:p>
      <w:pPr>
        <w:jc w:val="both"/>
        <w:ind w:left="700" w:hanging="26"/>
        <w:spacing w:after="0" w:line="250" w:lineRule="auto"/>
        <w:rPr>
          <w:sz w:val="20"/>
          <w:szCs w:val="20"/>
          <w:color w:val="auto"/>
        </w:rPr>
      </w:pPr>
      <w:r>
        <w:rPr>
          <w:rFonts w:ascii="Arial" w:cs="Arial" w:eastAsia="Arial" w:hAnsi="Arial"/>
          <w:sz w:val="20"/>
          <w:szCs w:val="20"/>
          <w:color w:val="2B2B2B"/>
        </w:rPr>
        <w:t xml:space="preserve">"'Non-elective </w:t>
      </w:r>
      <w:r>
        <w:rPr>
          <w:rFonts w:ascii="Arial" w:cs="Arial" w:eastAsia="Arial" w:hAnsi="Arial"/>
          <w:sz w:val="20"/>
          <w:szCs w:val="20"/>
          <w:color w:val="161616"/>
        </w:rPr>
        <w:t>Contributions' shall mean RSP Supplemental Contributions, Supplemental Target Contributions, Supplemental</w:t>
      </w:r>
      <w:r>
        <w:rPr>
          <w:rFonts w:ascii="Arial" w:cs="Arial" w:eastAsia="Arial" w:hAnsi="Arial"/>
          <w:sz w:val="20"/>
          <w:szCs w:val="20"/>
          <w:color w:val="2B2B2B"/>
        </w:rPr>
        <w:t xml:space="preserve"> </w:t>
      </w:r>
      <w:r>
        <w:rPr>
          <w:rFonts w:ascii="Arial" w:cs="Arial" w:eastAsia="Arial" w:hAnsi="Arial"/>
          <w:sz w:val="20"/>
          <w:szCs w:val="20"/>
          <w:color w:val="161616"/>
        </w:rPr>
        <w:t>Retirement Contributions, and/or Supplemental Matching Contributions, as applicable, with respect to a Plan Year ending on or before December 31, 2018."</w:t>
      </w:r>
    </w:p>
    <w:p>
      <w:pPr>
        <w:spacing w:after="0" w:line="200" w:lineRule="exact"/>
        <w:rPr>
          <w:sz w:val="20"/>
          <w:szCs w:val="20"/>
          <w:color w:val="auto"/>
        </w:rPr>
      </w:pPr>
    </w:p>
    <w:p>
      <w:pPr>
        <w:ind w:left="700" w:hanging="650"/>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20"/>
          <w:szCs w:val="20"/>
          <w:color w:val="161616"/>
        </w:rPr>
        <w:t>Section 3 of the Plan is amended by adding a new sentence at the end thereof to read as follows:</w:t>
      </w:r>
    </w:p>
    <w:p>
      <w:pPr>
        <w:spacing w:after="0" w:line="67" w:lineRule="exact"/>
        <w:rPr>
          <w:sz w:val="20"/>
          <w:szCs w:val="20"/>
          <w:color w:val="auto"/>
        </w:rPr>
      </w:pPr>
    </w:p>
    <w:p>
      <w:pPr>
        <w:ind w:left="660" w:hanging="26"/>
        <w:spacing w:after="0" w:line="260" w:lineRule="auto"/>
        <w:rPr>
          <w:sz w:val="20"/>
          <w:szCs w:val="20"/>
          <w:color w:val="auto"/>
        </w:rPr>
      </w:pPr>
      <w:r>
        <w:rPr>
          <w:rFonts w:ascii="Arial" w:cs="Arial" w:eastAsia="Arial" w:hAnsi="Arial"/>
          <w:sz w:val="20"/>
          <w:szCs w:val="20"/>
          <w:color w:val="161616"/>
        </w:rPr>
        <w:t>"Notwithstanding any other provision of the Plan to the contrary, in no event will any Employee become newly eligible to be a Participant in the Plan after December 31, 2018."</w:t>
      </w:r>
    </w:p>
    <w:p>
      <w:pPr>
        <w:spacing w:after="0" w:line="190" w:lineRule="exact"/>
        <w:rPr>
          <w:sz w:val="20"/>
          <w:szCs w:val="20"/>
          <w:color w:val="auto"/>
        </w:rPr>
      </w:pPr>
    </w:p>
    <w:p>
      <w:pPr>
        <w:ind w:left="700" w:hanging="691"/>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20"/>
          <w:szCs w:val="20"/>
          <w:color w:val="161616"/>
        </w:rPr>
        <w:t>Section 4 of the Plan is amended by adding a new Section 4.10 at the end thereof to read in its entirety as follows:</w:t>
      </w:r>
    </w:p>
    <w:p>
      <w:pPr>
        <w:spacing w:after="0" w:line="229" w:lineRule="exact"/>
        <w:rPr>
          <w:sz w:val="20"/>
          <w:szCs w:val="20"/>
          <w:color w:val="auto"/>
        </w:rPr>
      </w:pPr>
    </w:p>
    <w:p>
      <w:pPr>
        <w:ind w:left="660" w:hanging="26"/>
        <w:spacing w:after="0" w:line="260" w:lineRule="auto"/>
        <w:rPr>
          <w:sz w:val="20"/>
          <w:szCs w:val="20"/>
          <w:color w:val="auto"/>
        </w:rPr>
      </w:pPr>
      <w:r>
        <w:rPr>
          <w:rFonts w:ascii="Arial" w:cs="Arial" w:eastAsia="Arial" w:hAnsi="Arial"/>
          <w:sz w:val="20"/>
          <w:szCs w:val="20"/>
          <w:color w:val="161616"/>
        </w:rPr>
        <w:t>"4.10 Notwithstanding any other provision of the Plan to the contrary, in no event will any Elective Contributions or Non-elective Contributions be credited to any</w:t>
      </w:r>
    </w:p>
    <w:p>
      <w:pPr>
        <w:sectPr>
          <w:pgSz w:w="11900" w:h="16838" w:orient="portrait"/>
          <w:cols w:equalWidth="0" w:num="1">
            <w:col w:w="11340"/>
          </w:cols>
          <w:pgMar w:left="320" w:top="792" w:right="239" w:bottom="1440" w:gutter="0" w:footer="0" w:header="0"/>
        </w:sectPr>
      </w:pPr>
    </w:p>
    <w:bookmarkStart w:id="169" w:name="page170"/>
    <w:bookmarkEnd w:id="169"/>
    <w:p>
      <w:pPr>
        <w:ind w:left="664"/>
        <w:spacing w:after="0"/>
        <w:rPr>
          <w:sz w:val="20"/>
          <w:szCs w:val="20"/>
          <w:color w:val="auto"/>
        </w:rPr>
      </w:pPr>
      <w:r>
        <w:rPr>
          <w:rFonts w:ascii="Arial" w:cs="Arial" w:eastAsia="Arial" w:hAnsi="Arial"/>
          <w:sz w:val="19"/>
          <w:szCs w:val="19"/>
          <w:color w:val="161616"/>
        </w:rPr>
        <w:t>Participant's Elective Account or Non-elective Account, respectively, for any Plan Year beginning after December 31, 2018"</w:t>
      </w:r>
    </w:p>
    <w:p>
      <w:pPr>
        <w:spacing w:after="0" w:line="241" w:lineRule="exact"/>
        <w:rPr>
          <w:sz w:val="20"/>
          <w:szCs w:val="20"/>
          <w:color w:val="auto"/>
        </w:rPr>
      </w:pPr>
    </w:p>
    <w:p>
      <w:pPr>
        <w:ind w:left="704" w:hanging="691"/>
        <w:spacing w:after="0"/>
        <w:tabs>
          <w:tab w:leader="none" w:pos="704" w:val="left"/>
        </w:tabs>
        <w:numPr>
          <w:ilvl w:val="0"/>
          <w:numId w:val="123"/>
        </w:numPr>
        <w:rPr>
          <w:rFonts w:ascii="Arial" w:cs="Arial" w:eastAsia="Arial" w:hAnsi="Arial"/>
          <w:sz w:val="18"/>
          <w:szCs w:val="18"/>
          <w:color w:val="auto"/>
        </w:rPr>
      </w:pPr>
      <w:r>
        <w:rPr>
          <w:rFonts w:ascii="Arial" w:cs="Arial" w:eastAsia="Arial" w:hAnsi="Arial"/>
          <w:sz w:val="20"/>
          <w:szCs w:val="20"/>
          <w:color w:val="161616"/>
        </w:rPr>
        <w:t>Section 7.3 of the Plan is amended by revising the sixth and final sentence thereof to read in its entirety as follows:</w:t>
      </w:r>
    </w:p>
    <w:p>
      <w:pPr>
        <w:spacing w:after="0" w:line="229" w:lineRule="exact"/>
        <w:rPr>
          <w:sz w:val="20"/>
          <w:szCs w:val="20"/>
          <w:color w:val="auto"/>
        </w:rPr>
      </w:pPr>
    </w:p>
    <w:p>
      <w:pPr>
        <w:ind w:left="664" w:hanging="26"/>
        <w:spacing w:after="0" w:line="287" w:lineRule="auto"/>
        <w:rPr>
          <w:sz w:val="20"/>
          <w:szCs w:val="20"/>
          <w:color w:val="auto"/>
        </w:rPr>
      </w:pPr>
      <w:r>
        <w:rPr>
          <w:rFonts w:ascii="Arial" w:cs="Arial" w:eastAsia="Arial" w:hAnsi="Arial"/>
          <w:sz w:val="19"/>
          <w:szCs w:val="19"/>
          <w:color w:val="161616"/>
        </w:rPr>
        <w:t>"The Participant's election (or deemed election), which may be made on a separate Plan Year basis to the extent permitted by the Employer, shall remain in effect until a subsequent election, if any, is made and becomes effective under Section 7.4."</w:t>
      </w:r>
    </w:p>
    <w:p>
      <w:pPr>
        <w:spacing w:after="0" w:line="153" w:lineRule="exact"/>
        <w:rPr>
          <w:sz w:val="20"/>
          <w:szCs w:val="20"/>
          <w:color w:val="auto"/>
        </w:rPr>
      </w:pPr>
    </w:p>
    <w:p>
      <w:pPr>
        <w:ind w:left="584" w:hanging="584"/>
        <w:spacing w:after="0"/>
        <w:tabs>
          <w:tab w:leader="none" w:pos="584" w:val="left"/>
        </w:tabs>
        <w:numPr>
          <w:ilvl w:val="0"/>
          <w:numId w:val="124"/>
        </w:numPr>
        <w:rPr>
          <w:rFonts w:ascii="Arial" w:cs="Arial" w:eastAsia="Arial" w:hAnsi="Arial"/>
          <w:sz w:val="18"/>
          <w:szCs w:val="18"/>
          <w:color w:val="auto"/>
        </w:rPr>
      </w:pPr>
      <w:r>
        <w:rPr>
          <w:rFonts w:ascii="Arial" w:cs="Arial" w:eastAsia="Arial" w:hAnsi="Arial"/>
          <w:sz w:val="20"/>
          <w:szCs w:val="20"/>
          <w:color w:val="161616"/>
        </w:rPr>
        <w:t>Section 7.4 of the Plan is amended by revising the second and final sentence thereof to read in its entirety as follows:</w:t>
      </w:r>
    </w:p>
    <w:p>
      <w:pPr>
        <w:spacing w:after="0" w:line="216" w:lineRule="exact"/>
        <w:rPr>
          <w:sz w:val="20"/>
          <w:szCs w:val="20"/>
          <w:color w:val="auto"/>
        </w:rPr>
      </w:pPr>
    </w:p>
    <w:p>
      <w:pPr>
        <w:ind w:left="664" w:right="20" w:hanging="26"/>
        <w:spacing w:after="0" w:line="316" w:lineRule="auto"/>
        <w:rPr>
          <w:sz w:val="20"/>
          <w:szCs w:val="20"/>
          <w:color w:val="auto"/>
        </w:rPr>
      </w:pPr>
      <w:r>
        <w:rPr>
          <w:rFonts w:ascii="Arial" w:cs="Arial" w:eastAsia="Arial" w:hAnsi="Arial"/>
          <w:sz w:val="18"/>
          <w:szCs w:val="18"/>
          <w:color w:val="161616"/>
        </w:rPr>
        <w:t>"The Participant's election under this Section 7.4, which may be made on a separate Plan Year basis to the extent permitted by the Employer, shall remain in effect until a new subsequent election, if any, is made and becomes effective under this Section 7.4."</w:t>
      </w:r>
    </w:p>
    <w:p>
      <w:pPr>
        <w:spacing w:after="0" w:line="130" w:lineRule="exact"/>
        <w:rPr>
          <w:sz w:val="20"/>
          <w:szCs w:val="20"/>
          <w:color w:val="auto"/>
        </w:rPr>
      </w:pPr>
    </w:p>
    <w:p>
      <w:pPr>
        <w:ind w:left="664" w:hanging="651"/>
        <w:spacing w:after="0"/>
        <w:tabs>
          <w:tab w:leader="none" w:pos="664" w:val="left"/>
        </w:tabs>
        <w:numPr>
          <w:ilvl w:val="0"/>
          <w:numId w:val="125"/>
        </w:numPr>
        <w:rPr>
          <w:rFonts w:ascii="Arial" w:cs="Arial" w:eastAsia="Arial" w:hAnsi="Arial"/>
          <w:sz w:val="18"/>
          <w:szCs w:val="18"/>
          <w:color w:val="auto"/>
        </w:rPr>
      </w:pPr>
      <w:r>
        <w:rPr>
          <w:rFonts w:ascii="Arial" w:cs="Arial" w:eastAsia="Arial" w:hAnsi="Arial"/>
          <w:sz w:val="20"/>
          <w:szCs w:val="20"/>
          <w:color w:val="161616"/>
        </w:rPr>
        <w:t>Section 20 of the Plan is amended to read in its entirety as follows:</w:t>
      </w:r>
    </w:p>
    <w:p>
      <w:pPr>
        <w:spacing w:after="0" w:line="216" w:lineRule="exact"/>
        <w:rPr>
          <w:sz w:val="20"/>
          <w:szCs w:val="20"/>
          <w:color w:val="auto"/>
        </w:rPr>
      </w:pPr>
    </w:p>
    <w:p>
      <w:pPr>
        <w:jc w:val="both"/>
        <w:ind w:left="664" w:hanging="26"/>
        <w:spacing w:after="0" w:line="244" w:lineRule="auto"/>
        <w:rPr>
          <w:sz w:val="20"/>
          <w:szCs w:val="20"/>
          <w:color w:val="auto"/>
        </w:rPr>
      </w:pPr>
      <w:r>
        <w:rPr>
          <w:rFonts w:ascii="Arial" w:cs="Arial" w:eastAsia="Arial" w:hAnsi="Arial"/>
          <w:sz w:val="20"/>
          <w:szCs w:val="20"/>
          <w:color w:val="161616"/>
        </w:rPr>
        <w:t>"Withholding. The Employer may withhold or cause to be withheld from any amounts payable under the Plan all federal, state, local and other taxes as shall be legally required to be withheld. Further, with respect to any federal, state, local and other taxes that may be required to be withheld at any time as a result of the crediting, vesting or payment of benefits under the Plan, the Employer shall have the right to (a) require a Participant to pay or provide for payment of any such taxes, or (b) withhold any such taxes from any compensation otherwise payable in cash to the Participant.</w:t>
      </w:r>
    </w:p>
    <w:p>
      <w:pPr>
        <w:spacing w:after="0" w:line="208" w:lineRule="exact"/>
        <w:rPr>
          <w:sz w:val="20"/>
          <w:szCs w:val="20"/>
          <w:color w:val="auto"/>
        </w:rPr>
      </w:pPr>
    </w:p>
    <w:p>
      <w:pPr>
        <w:ind w:left="704" w:hanging="691"/>
        <w:spacing w:after="0"/>
        <w:tabs>
          <w:tab w:leader="none" w:pos="704" w:val="left"/>
        </w:tabs>
        <w:numPr>
          <w:ilvl w:val="0"/>
          <w:numId w:val="126"/>
        </w:numPr>
        <w:rPr>
          <w:rFonts w:ascii="Arial" w:cs="Arial" w:eastAsia="Arial" w:hAnsi="Arial"/>
          <w:sz w:val="18"/>
          <w:szCs w:val="18"/>
          <w:color w:val="auto"/>
        </w:rPr>
      </w:pPr>
      <w:r>
        <w:rPr>
          <w:rFonts w:ascii="Arial" w:cs="Arial" w:eastAsia="Arial" w:hAnsi="Arial"/>
          <w:sz w:val="20"/>
          <w:szCs w:val="20"/>
          <w:color w:val="161616"/>
        </w:rPr>
        <w:t>Section 21.1 of the Plan is amended by adding a new sentence at the end thereof to read in its entirety as follows:</w:t>
      </w:r>
    </w:p>
    <w:p>
      <w:pPr>
        <w:spacing w:after="0" w:line="229" w:lineRule="exact"/>
        <w:rPr>
          <w:sz w:val="20"/>
          <w:szCs w:val="20"/>
          <w:color w:val="auto"/>
        </w:rPr>
      </w:pPr>
    </w:p>
    <w:p>
      <w:pPr>
        <w:jc w:val="both"/>
        <w:ind w:left="664" w:hanging="26"/>
        <w:spacing w:after="0" w:line="246" w:lineRule="auto"/>
        <w:rPr>
          <w:sz w:val="20"/>
          <w:szCs w:val="20"/>
          <w:color w:val="auto"/>
        </w:rPr>
      </w:pPr>
      <w:r>
        <w:rPr>
          <w:rFonts w:ascii="Arial" w:cs="Arial" w:eastAsia="Arial" w:hAnsi="Arial"/>
          <w:sz w:val="20"/>
          <w:szCs w:val="20"/>
          <w:color w:val="161616"/>
        </w:rPr>
        <w:t>"Although the Company intends for the Plan to comply with Code Section 409A, the tax treatment of benefits under the Plan is not warranted or guaranteed, and neither the Company, any other Employer, the Committee, nor the Board of Directors (nor any of their delegates) shall be held liable for any taxes, interest, penalties or other monetary amounts that may be owed by any Participant, Beneficiary or other taxpayer claiming benefits hereunder."</w:t>
      </w:r>
    </w:p>
    <w:p>
      <w:pPr>
        <w:spacing w:after="0" w:line="192" w:lineRule="exact"/>
        <w:rPr>
          <w:sz w:val="20"/>
          <w:szCs w:val="20"/>
          <w:color w:val="auto"/>
        </w:rPr>
      </w:pPr>
    </w:p>
    <w:p>
      <w:pPr>
        <w:ind w:left="764" w:hanging="670"/>
        <w:spacing w:after="0"/>
        <w:tabs>
          <w:tab w:leader="none" w:pos="764" w:val="left"/>
        </w:tabs>
        <w:numPr>
          <w:ilvl w:val="0"/>
          <w:numId w:val="127"/>
        </w:numPr>
        <w:rPr>
          <w:rFonts w:ascii="Arial" w:cs="Arial" w:eastAsia="Arial" w:hAnsi="Arial"/>
          <w:sz w:val="18"/>
          <w:szCs w:val="18"/>
          <w:color w:val="auto"/>
        </w:rPr>
      </w:pPr>
      <w:r>
        <w:rPr>
          <w:rFonts w:ascii="Arial" w:cs="Arial" w:eastAsia="Arial" w:hAnsi="Arial"/>
          <w:sz w:val="20"/>
          <w:szCs w:val="20"/>
          <w:color w:val="1A1A1A"/>
        </w:rPr>
        <w:t>Except as explicitly set forth herein, the Plan will remain in full force and effect.</w:t>
      </w:r>
    </w:p>
    <w:p>
      <w:pPr>
        <w:spacing w:after="0" w:line="265" w:lineRule="exact"/>
        <w:rPr>
          <w:sz w:val="20"/>
          <w:szCs w:val="20"/>
          <w:color w:val="auto"/>
        </w:rPr>
      </w:pPr>
    </w:p>
    <w:p>
      <w:pPr>
        <w:ind w:left="104" w:right="240" w:firstLine="621"/>
        <w:spacing w:after="0" w:line="327" w:lineRule="auto"/>
        <w:rPr>
          <w:sz w:val="20"/>
          <w:szCs w:val="20"/>
          <w:color w:val="auto"/>
        </w:rPr>
      </w:pPr>
      <w:r>
        <w:rPr>
          <w:rFonts w:ascii="Arial" w:cs="Arial" w:eastAsia="Arial" w:hAnsi="Arial"/>
          <w:sz w:val="20"/>
          <w:szCs w:val="20"/>
          <w:color w:val="2A2A2A"/>
        </w:rPr>
        <w:t xml:space="preserve">IN WITNESS WHEREOF, </w:t>
      </w:r>
      <w:r>
        <w:rPr>
          <w:rFonts w:ascii="Arial" w:cs="Arial" w:eastAsia="Arial" w:hAnsi="Arial"/>
          <w:sz w:val="20"/>
          <w:szCs w:val="20"/>
          <w:color w:val="1A1A1A"/>
        </w:rPr>
        <w:t>Black</w:t>
      </w:r>
      <w:r>
        <w:rPr>
          <w:rFonts w:ascii="Arial" w:cs="Arial" w:eastAsia="Arial" w:hAnsi="Arial"/>
          <w:sz w:val="20"/>
          <w:szCs w:val="20"/>
          <w:color w:val="2A2A2A"/>
        </w:rPr>
        <w:t xml:space="preserve"> Hills Corporation has caused this amendment to </w:t>
      </w:r>
      <w:r>
        <w:rPr>
          <w:rFonts w:ascii="Arial" w:cs="Arial" w:eastAsia="Arial" w:hAnsi="Arial"/>
          <w:sz w:val="21"/>
          <w:szCs w:val="21"/>
          <w:color w:val="2A2A2A"/>
        </w:rPr>
        <w:t>be</w:t>
      </w:r>
      <w:r>
        <w:rPr>
          <w:rFonts w:ascii="Arial" w:cs="Arial" w:eastAsia="Arial" w:hAnsi="Arial"/>
          <w:sz w:val="20"/>
          <w:szCs w:val="20"/>
          <w:color w:val="2A2A2A"/>
        </w:rPr>
        <w:t xml:space="preserve"> </w:t>
      </w:r>
      <w:r>
        <w:rPr>
          <w:rFonts w:ascii="Arial" w:cs="Arial" w:eastAsia="Arial" w:hAnsi="Arial"/>
          <w:sz w:val="20"/>
          <w:szCs w:val="20"/>
          <w:color w:val="1A1A1A"/>
        </w:rPr>
        <w:t>executed</w:t>
      </w:r>
      <w:r>
        <w:rPr>
          <w:rFonts w:ascii="Arial" w:cs="Arial" w:eastAsia="Arial" w:hAnsi="Arial"/>
          <w:sz w:val="20"/>
          <w:szCs w:val="20"/>
          <w:color w:val="2A2A2A"/>
        </w:rPr>
        <w:t xml:space="preserve"> by the undersigned duly authorized person on this 16</w:t>
      </w:r>
      <w:r>
        <w:rPr>
          <w:rFonts w:ascii="Arial" w:cs="Arial" w:eastAsia="Arial" w:hAnsi="Arial"/>
          <w:sz w:val="25"/>
          <w:szCs w:val="25"/>
          <w:color w:val="2A2A2A"/>
          <w:vertAlign w:val="superscript"/>
        </w:rPr>
        <w:t>th</w:t>
      </w:r>
      <w:r>
        <w:rPr>
          <w:rFonts w:ascii="Arial" w:cs="Arial" w:eastAsia="Arial" w:hAnsi="Arial"/>
          <w:sz w:val="20"/>
          <w:szCs w:val="20"/>
          <w:color w:val="2A2A2A"/>
        </w:rPr>
        <w:t xml:space="preserve"> day of November, 2018.</w:t>
      </w:r>
    </w:p>
    <w:p>
      <w:pPr>
        <w:spacing w:after="0" w:line="148" w:lineRule="exact"/>
        <w:rPr>
          <w:sz w:val="20"/>
          <w:szCs w:val="20"/>
          <w:color w:val="auto"/>
        </w:rPr>
      </w:pPr>
    </w:p>
    <w:p>
      <w:pPr>
        <w:ind w:left="2724"/>
        <w:spacing w:after="0"/>
        <w:rPr>
          <w:sz w:val="20"/>
          <w:szCs w:val="20"/>
          <w:color w:val="auto"/>
        </w:rPr>
      </w:pPr>
      <w:r>
        <w:rPr>
          <w:rFonts w:ascii="Arial" w:cs="Arial" w:eastAsia="Arial" w:hAnsi="Arial"/>
          <w:sz w:val="20"/>
          <w:szCs w:val="20"/>
          <w:color w:val="1A1A1A"/>
        </w:rPr>
        <w:t>BLACK HILLS CORPORATION</w:t>
      </w:r>
    </w:p>
    <w:p>
      <w:pPr>
        <w:spacing w:after="0" w:line="216" w:lineRule="exact"/>
        <w:rPr>
          <w:sz w:val="20"/>
          <w:szCs w:val="20"/>
          <w:color w:val="auto"/>
        </w:rPr>
      </w:pPr>
    </w:p>
    <w:p>
      <w:pPr>
        <w:ind w:left="2724"/>
        <w:spacing w:after="0"/>
        <w:rPr>
          <w:sz w:val="20"/>
          <w:szCs w:val="20"/>
          <w:color w:val="auto"/>
        </w:rPr>
      </w:pPr>
      <w:r>
        <w:rPr>
          <w:rFonts w:ascii="Arial" w:cs="Arial" w:eastAsia="Arial" w:hAnsi="Arial"/>
          <w:sz w:val="20"/>
          <w:szCs w:val="20"/>
          <w:color w:val="1A1A1A"/>
        </w:rPr>
        <w:t>By: /s/ Richard Kinzley</w:t>
      </w:r>
    </w:p>
    <w:p>
      <w:pPr>
        <w:spacing w:after="0" w:line="15" w:lineRule="exact"/>
        <w:rPr>
          <w:sz w:val="20"/>
          <w:szCs w:val="20"/>
          <w:color w:val="auto"/>
        </w:rPr>
      </w:pPr>
    </w:p>
    <w:p>
      <w:pPr>
        <w:ind w:left="2724"/>
        <w:spacing w:after="0"/>
        <w:rPr>
          <w:sz w:val="20"/>
          <w:szCs w:val="20"/>
          <w:color w:val="auto"/>
        </w:rPr>
      </w:pPr>
      <w:r>
        <w:rPr>
          <w:rFonts w:ascii="Arial" w:cs="Arial" w:eastAsia="Arial" w:hAnsi="Arial"/>
          <w:sz w:val="20"/>
          <w:szCs w:val="20"/>
          <w:color w:val="1A1A1A"/>
        </w:rPr>
        <w:t>Name: Richard Kinzley</w:t>
      </w:r>
    </w:p>
    <w:p>
      <w:pPr>
        <w:ind w:left="2724"/>
        <w:spacing w:after="0"/>
        <w:rPr>
          <w:sz w:val="20"/>
          <w:szCs w:val="20"/>
          <w:color w:val="auto"/>
        </w:rPr>
      </w:pPr>
      <w:r>
        <w:rPr>
          <w:rFonts w:ascii="Arial" w:cs="Arial" w:eastAsia="Arial" w:hAnsi="Arial"/>
          <w:sz w:val="20"/>
          <w:szCs w:val="20"/>
          <w:color w:val="1A1A1A"/>
        </w:rPr>
        <w:t>Title: Senior Vice President and Chief Financial Officer</w:t>
      </w:r>
    </w:p>
    <w:p>
      <w:pPr>
        <w:sectPr>
          <w:pgSz w:w="11900" w:h="16838" w:orient="portrait"/>
          <w:cols w:equalWidth="0" w:num="1">
            <w:col w:w="11344"/>
          </w:cols>
          <w:pgMar w:left="316" w:top="582" w:right="2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color w:val="993300"/>
        </w:rPr>
        <w:t>Black Hills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9"/>
          <w:szCs w:val="29"/>
          <w:color w:val="993300"/>
        </w:rPr>
        <w:t>Post-2018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Effective Date</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January 1, 2019</w:t>
      </w:r>
    </w:p>
    <w:p>
      <w:pPr>
        <w:sectPr>
          <w:pgSz w:w="11900" w:h="16838" w:orient="portrait"/>
          <w:cols w:equalWidth="0" w:num="1">
            <w:col w:w="9019"/>
          </w:cols>
          <w:pgMar w:left="1440" w:top="1440" w:right="1440" w:bottom="1440" w:gutter="0" w:footer="0" w:header="0"/>
        </w:sectPr>
      </w:pPr>
    </w:p>
    <w:bookmarkStart w:id="171" w:name="page172"/>
    <w:bookmarkEnd w:id="171"/>
    <w:p>
      <w:pPr>
        <w:spacing w:after="0"/>
        <w:rPr>
          <w:sz w:val="20"/>
          <w:szCs w:val="20"/>
          <w:color w:val="auto"/>
        </w:rPr>
      </w:pPr>
      <w:r>
        <w:rPr>
          <w:rFonts w:ascii="Arial" w:cs="Arial" w:eastAsia="Arial" w:hAnsi="Arial"/>
          <w:sz w:val="29"/>
          <w:szCs w:val="29"/>
          <w:color w:val="auto"/>
        </w:rPr>
        <w:t>Black Hills Corporation Post-2018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700" w:type="dxa"/>
            <w:vAlign w:val="bottom"/>
          </w:tcPr>
          <w:p>
            <w:pPr>
              <w:spacing w:after="0"/>
              <w:rPr>
                <w:sz w:val="20"/>
                <w:szCs w:val="20"/>
                <w:color w:val="auto"/>
              </w:rPr>
            </w:pPr>
            <w:r>
              <w:rPr>
                <w:rFonts w:ascii="Arial" w:cs="Arial" w:eastAsia="Arial" w:hAnsi="Arial"/>
                <w:sz w:val="22"/>
                <w:szCs w:val="22"/>
                <w:color w:val="auto"/>
                <w:w w:val="99"/>
              </w:rPr>
              <w:t>Establishment and Purpose</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w:t>
      </w: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Definitions</w:t>
            </w:r>
          </w:p>
        </w:tc>
        <w:tc>
          <w:tcPr>
            <w:tcW w:w="680" w:type="dxa"/>
            <w:vAlign w:val="bottom"/>
          </w:tcPr>
          <w:p>
            <w:pPr>
              <w:jc w:val="right"/>
              <w:spacing w:after="0"/>
              <w:rPr>
                <w:sz w:val="20"/>
                <w:szCs w:val="20"/>
                <w:color w:val="auto"/>
              </w:rPr>
            </w:pPr>
            <w:r>
              <w:rPr>
                <w:rFonts w:ascii="Arial" w:cs="Arial" w:eastAsia="Arial" w:hAnsi="Arial"/>
                <w:sz w:val="22"/>
                <w:szCs w:val="22"/>
                <w:color w:val="auto"/>
              </w:rPr>
              <w:t>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Eligibility and Participation</w:t>
            </w:r>
          </w:p>
        </w:tc>
        <w:tc>
          <w:tcPr>
            <w:tcW w:w="46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IV</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Deferrals</w:t>
            </w:r>
          </w:p>
        </w:tc>
        <w:tc>
          <w:tcPr>
            <w:tcW w:w="68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Company Contributions</w:t>
            </w:r>
          </w:p>
        </w:tc>
        <w:tc>
          <w:tcPr>
            <w:tcW w:w="580" w:type="dxa"/>
            <w:vAlign w:val="bottom"/>
          </w:tcPr>
          <w:p>
            <w:pPr>
              <w:jc w:val="right"/>
              <w:spacing w:after="0"/>
              <w:rPr>
                <w:sz w:val="20"/>
                <w:szCs w:val="20"/>
                <w:color w:val="auto"/>
              </w:rPr>
            </w:pPr>
            <w:r>
              <w:rPr>
                <w:rFonts w:ascii="Arial" w:cs="Arial" w:eastAsia="Arial" w:hAnsi="Arial"/>
                <w:sz w:val="22"/>
                <w:szCs w:val="22"/>
                <w:color w:val="auto"/>
              </w:rPr>
              <w:t>12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540" w:type="dxa"/>
            <w:vAlign w:val="bottom"/>
          </w:tcPr>
          <w:p>
            <w:pPr>
              <w:spacing w:after="0"/>
              <w:rPr>
                <w:sz w:val="20"/>
                <w:szCs w:val="20"/>
                <w:color w:val="auto"/>
              </w:rPr>
            </w:pPr>
            <w:r>
              <w:rPr>
                <w:rFonts w:ascii="Arial" w:cs="Arial" w:eastAsia="Arial" w:hAnsi="Arial"/>
                <w:sz w:val="22"/>
                <w:szCs w:val="22"/>
                <w:color w:val="auto"/>
              </w:rPr>
              <w:t>Payments from Accounts</w:t>
            </w:r>
          </w:p>
        </w:tc>
        <w:tc>
          <w:tcPr>
            <w:tcW w:w="580" w:type="dxa"/>
            <w:vAlign w:val="bottom"/>
          </w:tcPr>
          <w:p>
            <w:pPr>
              <w:jc w:val="right"/>
              <w:spacing w:after="0"/>
              <w:rPr>
                <w:sz w:val="20"/>
                <w:szCs w:val="20"/>
                <w:color w:val="auto"/>
              </w:rPr>
            </w:pPr>
            <w:r>
              <w:rPr>
                <w:rFonts w:ascii="Arial" w:cs="Arial" w:eastAsia="Arial" w:hAnsi="Arial"/>
                <w:sz w:val="22"/>
                <w:szCs w:val="22"/>
                <w:color w:val="auto"/>
              </w:rPr>
              <w:t>14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020" w:type="dxa"/>
            <w:vAlign w:val="bottom"/>
          </w:tcPr>
          <w:p>
            <w:pPr>
              <w:spacing w:after="0"/>
              <w:rPr>
                <w:sz w:val="20"/>
                <w:szCs w:val="20"/>
                <w:color w:val="auto"/>
              </w:rPr>
            </w:pPr>
            <w:r>
              <w:rPr>
                <w:rFonts w:ascii="Arial" w:cs="Arial" w:eastAsia="Arial" w:hAnsi="Arial"/>
                <w:sz w:val="22"/>
                <w:szCs w:val="22"/>
                <w:color w:val="auto"/>
                <w:w w:val="93"/>
              </w:rPr>
              <w:t>Valuation of Account Balances; Investments</w:t>
            </w:r>
          </w:p>
        </w:tc>
        <w:tc>
          <w:tcPr>
            <w:tcW w:w="40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22"/>
                <w:szCs w:val="22"/>
                <w:color w:val="auto"/>
              </w:rPr>
              <w:t>Administration</w:t>
            </w:r>
          </w:p>
        </w:tc>
        <w:tc>
          <w:tcPr>
            <w:tcW w:w="660" w:type="dxa"/>
            <w:vAlign w:val="bottom"/>
          </w:tcPr>
          <w:p>
            <w:pPr>
              <w:jc w:val="right"/>
              <w:spacing w:after="0"/>
              <w:rPr>
                <w:sz w:val="20"/>
                <w:szCs w:val="20"/>
                <w:color w:val="auto"/>
              </w:rPr>
            </w:pPr>
            <w:r>
              <w:rPr>
                <w:rFonts w:ascii="Arial" w:cs="Arial" w:eastAsia="Arial" w:hAnsi="Arial"/>
                <w:sz w:val="22"/>
                <w:szCs w:val="22"/>
                <w:color w:val="auto"/>
              </w:rPr>
              <w:t>18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IX</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900" w:type="dxa"/>
            <w:vAlign w:val="bottom"/>
          </w:tcPr>
          <w:p>
            <w:pPr>
              <w:spacing w:after="0"/>
              <w:rPr>
                <w:sz w:val="20"/>
                <w:szCs w:val="20"/>
                <w:color w:val="auto"/>
              </w:rPr>
            </w:pPr>
            <w:r>
              <w:rPr>
                <w:rFonts w:ascii="Arial" w:cs="Arial" w:eastAsia="Arial" w:hAnsi="Arial"/>
                <w:sz w:val="22"/>
                <w:szCs w:val="22"/>
                <w:color w:val="auto"/>
              </w:rPr>
              <w:t>Amendment and Termination</w:t>
            </w:r>
          </w:p>
        </w:tc>
        <w:tc>
          <w:tcPr>
            <w:tcW w:w="58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Informal Funding</w:t>
            </w:r>
          </w:p>
        </w:tc>
        <w:tc>
          <w:tcPr>
            <w:tcW w:w="660" w:type="dxa"/>
            <w:vAlign w:val="bottom"/>
          </w:tcPr>
          <w:p>
            <w:pPr>
              <w:jc w:val="right"/>
              <w:spacing w:after="0"/>
              <w:rPr>
                <w:sz w:val="20"/>
                <w:szCs w:val="20"/>
                <w:color w:val="auto"/>
              </w:rPr>
            </w:pPr>
            <w:r>
              <w:rPr>
                <w:rFonts w:ascii="Arial" w:cs="Arial" w:eastAsia="Arial" w:hAnsi="Arial"/>
                <w:sz w:val="22"/>
                <w:szCs w:val="22"/>
                <w:color w:val="auto"/>
              </w:rPr>
              <w:t>20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340" w:type="dxa"/>
            <w:vAlign w:val="bottom"/>
          </w:tcPr>
          <w:p>
            <w:pPr>
              <w:spacing w:after="0"/>
              <w:rPr>
                <w:sz w:val="20"/>
                <w:szCs w:val="20"/>
                <w:color w:val="auto"/>
              </w:rPr>
            </w:pPr>
            <w:r>
              <w:rPr>
                <w:rFonts w:ascii="Arial" w:cs="Arial" w:eastAsia="Arial" w:hAnsi="Arial"/>
                <w:sz w:val="22"/>
                <w:szCs w:val="22"/>
                <w:color w:val="auto"/>
              </w:rPr>
              <w:t>Claims</w:t>
            </w:r>
          </w:p>
        </w:tc>
        <w:tc>
          <w:tcPr>
            <w:tcW w:w="960" w:type="dxa"/>
            <w:vAlign w:val="bottom"/>
          </w:tcPr>
          <w:p>
            <w:pPr>
              <w:jc w:val="right"/>
              <w:spacing w:after="0"/>
              <w:rPr>
                <w:sz w:val="20"/>
                <w:szCs w:val="20"/>
                <w:color w:val="auto"/>
              </w:rPr>
            </w:pPr>
            <w:r>
              <w:rPr>
                <w:rFonts w:ascii="Arial" w:cs="Arial" w:eastAsia="Arial" w:hAnsi="Arial"/>
                <w:sz w:val="22"/>
                <w:szCs w:val="22"/>
                <w:color w:val="auto"/>
              </w:rPr>
              <w:t>20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XII</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General Provisions</w:t>
            </w:r>
          </w:p>
        </w:tc>
        <w:tc>
          <w:tcPr>
            <w:tcW w:w="660" w:type="dxa"/>
            <w:vAlign w:val="bottom"/>
          </w:tcPr>
          <w:p>
            <w:pPr>
              <w:jc w:val="right"/>
              <w:spacing w:after="0"/>
              <w:rPr>
                <w:sz w:val="20"/>
                <w:szCs w:val="20"/>
                <w:color w:val="auto"/>
              </w:rPr>
            </w:pPr>
            <w:r>
              <w:rPr>
                <w:rFonts w:ascii="Arial" w:cs="Arial" w:eastAsia="Arial" w:hAnsi="Arial"/>
                <w:sz w:val="22"/>
                <w:szCs w:val="22"/>
                <w:color w:val="auto"/>
              </w:rPr>
              <w:t>24</w:t>
            </w:r>
          </w:p>
        </w:tc>
      </w:tr>
    </w:tbl>
    <w:p>
      <w:pPr>
        <w:sectPr>
          <w:pgSz w:w="11900" w:h="16838" w:orient="portrait"/>
          <w:cols w:equalWidth="0" w:num="1">
            <w:col w:w="10219"/>
          </w:cols>
          <w:pgMar w:left="240" w:top="579" w:right="1440" w:bottom="1440" w:gutter="0" w:footer="0" w:header="0"/>
        </w:sectPr>
      </w:pPr>
    </w:p>
    <w:bookmarkStart w:id="172" w:name="page173"/>
    <w:bookmarkEnd w:id="172"/>
    <w:p>
      <w:pPr>
        <w:spacing w:after="0"/>
        <w:rPr>
          <w:sz w:val="20"/>
          <w:szCs w:val="20"/>
          <w:color w:val="auto"/>
        </w:rPr>
      </w:pPr>
      <w:r>
        <w:rPr>
          <w:rFonts w:ascii="Arial" w:cs="Arial" w:eastAsia="Arial" w:hAnsi="Arial"/>
          <w:sz w:val="25"/>
          <w:szCs w:val="25"/>
          <w:b w:val="1"/>
          <w:bCs w:val="1"/>
          <w:color w:val="903033"/>
        </w:rPr>
        <w:t>Article 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Establishment and Purpose</w:t>
      </w:r>
    </w:p>
    <w:p>
      <w:pPr>
        <w:spacing w:after="0" w:line="95"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Black Hills Corporation (the “Company”) has adopted this Black Hills Corporation Post-2018 Nonqualified Deferred Compensation Plan, applicable to Compensation deferred under Compensation Deferral Agreements submitted hereunder for Plan Years beginning on and after the Effective Date and Company Contributions credited on or after the Effective Date.</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purpose of the Plan is to attract and retain key employees by providing them with an opportunity to defer receipt of a portion of their salary, bonus,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The Plan constitutes an unsecured promise by a Participating Employer to pay benefits in the future. Participants in the Plan shall have the status of general unsecured creditors of the Company or the Participating Employer, as applicable. Each Participating Employer shall be solely responsible for payment of the benefits attributable to services performed for it. The Plan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Company or a Participating Employer will remain the general assets of the Company or the Participating Employer and shall remain subject to the claims of the Company’s or the Participating Employer's creditors until such amounts are distributed to the Participants.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Definitions</w:t>
      </w:r>
    </w:p>
    <w:p>
      <w:pPr>
        <w:spacing w:after="0" w:line="95" w:lineRule="exact"/>
        <w:rPr>
          <w:sz w:val="20"/>
          <w:szCs w:val="20"/>
          <w:color w:val="auto"/>
        </w:rPr>
      </w:pPr>
    </w:p>
    <w:p>
      <w:pPr>
        <w:ind w:left="660" w:hanging="647"/>
        <w:spacing w:after="0" w:line="285"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 xml:space="preserve">Account. </w:t>
      </w:r>
      <w:r>
        <w:rPr>
          <w:rFonts w:ascii="Arial" w:cs="Arial" w:eastAsia="Arial" w:hAnsi="Arial"/>
          <w:sz w:val="19"/>
          <w:szCs w:val="19"/>
          <w:color w:val="auto"/>
        </w:rPr>
        <w:t>Account means a bookkeeping account maintained by the Committee to record the payment obligation of a</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Participating Employer to a Participant as determined under the terms of the Plan. The Committee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301(a)(3) and 401(a)(1) of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ERISA.</w:t>
      </w:r>
    </w:p>
    <w:p>
      <w:pPr>
        <w:spacing w:after="0" w:line="202"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 xml:space="preserve">Account Balance. </w:t>
      </w:r>
      <w:r>
        <w:rPr>
          <w:rFonts w:ascii="Arial" w:cs="Arial" w:eastAsia="Arial" w:hAnsi="Arial"/>
          <w:sz w:val="22"/>
          <w:szCs w:val="22"/>
          <w:color w:val="auto"/>
        </w:rPr>
        <w:t>Account Balance means, with respect to any Account, the total payment obligation owed to a Participant</w:t>
      </w:r>
      <w:r>
        <w:rPr>
          <w:rFonts w:ascii="Arial" w:cs="Arial" w:eastAsia="Arial" w:hAnsi="Arial"/>
          <w:sz w:val="22"/>
          <w:szCs w:val="22"/>
          <w:u w:val="single" w:color="auto"/>
          <w:color w:val="auto"/>
        </w:rPr>
        <w:t xml:space="preserve"> </w:t>
      </w:r>
      <w:r>
        <w:rPr>
          <w:rFonts w:ascii="Arial" w:cs="Arial" w:eastAsia="Arial" w:hAnsi="Arial"/>
          <w:sz w:val="22"/>
          <w:szCs w:val="22"/>
          <w:color w:val="auto"/>
        </w:rPr>
        <w:t>from such Account as of the most recent Valuation Date.</w:t>
      </w:r>
    </w:p>
    <w:p>
      <w:pPr>
        <w:spacing w:after="0" w:line="175" w:lineRule="exact"/>
        <w:rPr>
          <w:sz w:val="20"/>
          <w:szCs w:val="20"/>
          <w:color w:val="auto"/>
        </w:rPr>
      </w:pPr>
    </w:p>
    <w:p>
      <w:pPr>
        <w:ind w:left="660" w:right="280" w:hanging="647"/>
        <w:spacing w:after="0" w:line="263"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 xml:space="preserve">Affiliate. </w:t>
      </w:r>
      <w:r>
        <w:rPr>
          <w:rFonts w:ascii="Arial" w:cs="Arial" w:eastAsia="Arial" w:hAnsi="Arial"/>
          <w:sz w:val="22"/>
          <w:szCs w:val="22"/>
          <w:color w:val="auto"/>
        </w:rPr>
        <w:t>Affiliate means a corporation, trade or business that, together with the Company, is treated as a single employer</w:t>
      </w:r>
      <w:r>
        <w:rPr>
          <w:rFonts w:ascii="Arial" w:cs="Arial" w:eastAsia="Arial" w:hAnsi="Arial"/>
          <w:sz w:val="22"/>
          <w:szCs w:val="22"/>
          <w:u w:val="single" w:color="auto"/>
          <w:color w:val="auto"/>
        </w:rPr>
        <w:t xml:space="preserve"> </w:t>
      </w:r>
      <w:r>
        <w:rPr>
          <w:rFonts w:ascii="Arial" w:cs="Arial" w:eastAsia="Arial" w:hAnsi="Arial"/>
          <w:sz w:val="22"/>
          <w:szCs w:val="22"/>
          <w:color w:val="auto"/>
        </w:rPr>
        <w:t>under Code Section 414(b) or (c).</w:t>
      </w:r>
    </w:p>
    <w:p>
      <w:pPr>
        <w:spacing w:after="0" w:line="175" w:lineRule="exact"/>
        <w:rPr>
          <w:sz w:val="20"/>
          <w:szCs w:val="20"/>
          <w:color w:val="auto"/>
        </w:rPr>
      </w:pPr>
    </w:p>
    <w:p>
      <w:pPr>
        <w:ind w:left="660" w:right="180" w:hanging="647"/>
        <w:spacing w:after="0" w:line="343"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 xml:space="preserve">Beneficiary. </w:t>
      </w:r>
      <w:r>
        <w:rPr>
          <w:rFonts w:ascii="Arial" w:cs="Arial" w:eastAsia="Arial" w:hAnsi="Arial"/>
          <w:sz w:val="19"/>
          <w:szCs w:val="19"/>
          <w:color w:val="auto"/>
        </w:rPr>
        <w:t>Beneficiary means a natural person, estate, or trust designated by a Participant in accordance with Section 6.4</w:t>
      </w:r>
      <w:r>
        <w:rPr>
          <w:rFonts w:ascii="Arial" w:cs="Arial" w:eastAsia="Arial" w:hAnsi="Arial"/>
          <w:sz w:val="19"/>
          <w:szCs w:val="19"/>
          <w:u w:val="single" w:color="auto"/>
          <w:color w:val="auto"/>
        </w:rPr>
        <w:t xml:space="preserve"> </w:t>
      </w:r>
      <w:r>
        <w:rPr>
          <w:rFonts w:ascii="Arial" w:cs="Arial" w:eastAsia="Arial" w:hAnsi="Arial"/>
          <w:sz w:val="19"/>
          <w:szCs w:val="19"/>
          <w:color w:val="auto"/>
        </w:rPr>
        <w:t>hereof to receive payments to which a Beneficiary is entitled in accordance with provisions of the Plan.</w:t>
      </w:r>
    </w:p>
    <w:p>
      <w:pPr>
        <w:spacing w:after="0" w:line="105" w:lineRule="exact"/>
        <w:rPr>
          <w:sz w:val="20"/>
          <w:szCs w:val="20"/>
          <w:color w:val="auto"/>
        </w:rPr>
      </w:pPr>
    </w:p>
    <w:p>
      <w:pPr>
        <w:ind w:left="660" w:right="360" w:hanging="647"/>
        <w:spacing w:after="0" w:line="343"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Board of Directors</w:t>
      </w:r>
      <w:r>
        <w:rPr>
          <w:rFonts w:ascii="Arial" w:cs="Arial" w:eastAsia="Arial" w:hAnsi="Arial"/>
          <w:sz w:val="19"/>
          <w:szCs w:val="19"/>
          <w:color w:val="auto"/>
        </w:rPr>
        <w:t>. Board of Directors (“the Board”) means, for a Participating Employer organized as a corporation, 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board of directors and for a Participating Employer organized as a limited liability company, its board of managers.</w:t>
      </w:r>
    </w:p>
    <w:p>
      <w:pPr>
        <w:sectPr>
          <w:pgSz w:w="11900" w:h="16838" w:orient="portrait"/>
          <w:cols w:equalWidth="0" w:num="1">
            <w:col w:w="11420"/>
          </w:cols>
          <w:pgMar w:left="240" w:top="833" w:right="239" w:bottom="1440" w:gutter="0" w:footer="0" w:header="0"/>
        </w:sectPr>
      </w:pPr>
    </w:p>
    <w:bookmarkStart w:id="173" w:name="page174"/>
    <w:bookmarkEnd w:id="173"/>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Business Day</w:t>
      </w:r>
      <w:r>
        <w:rPr>
          <w:rFonts w:ascii="Arial" w:cs="Arial" w:eastAsia="Arial" w:hAnsi="Arial"/>
          <w:sz w:val="19"/>
          <w:szCs w:val="19"/>
          <w:color w:val="auto"/>
        </w:rPr>
        <w:t>. Business Day means each day on which the New York Stock Exchange is open for business.</w:t>
      </w:r>
    </w:p>
    <w:p>
      <w:pPr>
        <w:spacing w:after="0" w:line="220" w:lineRule="exact"/>
        <w:rPr>
          <w:sz w:val="20"/>
          <w:szCs w:val="20"/>
          <w:color w:val="auto"/>
        </w:rPr>
      </w:pPr>
    </w:p>
    <w:p>
      <w:pPr>
        <w:ind w:left="660" w:right="160" w:hanging="647"/>
        <w:spacing w:after="0" w:line="312" w:lineRule="auto"/>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Change in Control means, with respect to a Participating Employer, any of the following events: (i) a</w:t>
      </w:r>
      <w:r>
        <w:rPr>
          <w:rFonts w:ascii="Arial" w:cs="Arial" w:eastAsia="Arial" w:hAnsi="Arial"/>
          <w:sz w:val="19"/>
          <w:szCs w:val="19"/>
          <w:u w:val="single" w:color="auto"/>
          <w:color w:val="auto"/>
        </w:rPr>
        <w:t xml:space="preserve"> </w:t>
      </w:r>
      <w:r>
        <w:rPr>
          <w:rFonts w:ascii="Arial" w:cs="Arial" w:eastAsia="Arial" w:hAnsi="Arial"/>
          <w:sz w:val="19"/>
          <w:szCs w:val="19"/>
          <w:color w:val="auto"/>
        </w:rPr>
        <w:t>change in the ownership of the Participating Employer, (ii) a change in the effective control of the Participating Employer, or (iii) a change in the ownership of a substantial portion of the assets of the Participating Employer.</w:t>
      </w:r>
    </w:p>
    <w:p>
      <w:pPr>
        <w:spacing w:after="0" w:line="134" w:lineRule="exact"/>
        <w:rPr>
          <w:sz w:val="20"/>
          <w:szCs w:val="20"/>
          <w:color w:val="auto"/>
        </w:rPr>
      </w:pPr>
    </w:p>
    <w:p>
      <w:pPr>
        <w:ind w:left="660" w:right="80"/>
        <w:spacing w:after="0" w:line="294" w:lineRule="auto"/>
        <w:rPr>
          <w:sz w:val="20"/>
          <w:szCs w:val="20"/>
          <w:color w:val="auto"/>
        </w:rPr>
      </w:pPr>
      <w:r>
        <w:rPr>
          <w:rFonts w:ascii="Arial" w:cs="Arial" w:eastAsia="Arial" w:hAnsi="Arial"/>
          <w:sz w:val="19"/>
          <w:szCs w:val="19"/>
          <w:i w:val="1"/>
          <w:iCs w:val="1"/>
          <w:color w:val="auto"/>
        </w:rPr>
        <w:t xml:space="preserve">Change in Ownership. </w:t>
      </w:r>
      <w:r>
        <w:rPr>
          <w:rFonts w:ascii="Arial" w:cs="Arial" w:eastAsia="Arial" w:hAnsi="Arial"/>
          <w:sz w:val="19"/>
          <w:szCs w:val="19"/>
          <w:color w:val="auto"/>
        </w:rPr>
        <w:t>For purposes of this Section, a change in the ownership of the Participating Employer occurs on the</w:t>
      </w:r>
      <w:r>
        <w:rPr>
          <w:rFonts w:ascii="Arial" w:cs="Arial" w:eastAsia="Arial" w:hAnsi="Arial"/>
          <w:sz w:val="19"/>
          <w:szCs w:val="19"/>
          <w:i w:val="1"/>
          <w:iCs w:val="1"/>
          <w:color w:val="auto"/>
        </w:rPr>
        <w:t xml:space="preserve"> </w:t>
      </w:r>
      <w:r>
        <w:rPr>
          <w:rFonts w:ascii="Arial" w:cs="Arial" w:eastAsia="Arial" w:hAnsi="Arial"/>
          <w:sz w:val="19"/>
          <w:szCs w:val="19"/>
          <w:color w:val="auto"/>
        </w:rPr>
        <w:t>date on which any one person, or more than one person acting as a group, acquires ownership of stock of the Participating Employer that, together with stock held by such person or group constitutes more than 50% of the total fair market value or total voting power of the stock of the Participating Employer. The acquisition by a person or group owning more than 50% of the total fair market value or total voting power of the stock of such Participating Employer of additional shares of such Participating Employer shall not constitute a “change of the ownership” of such Participating Employer.</w:t>
      </w:r>
    </w:p>
    <w:p>
      <w:pPr>
        <w:spacing w:after="0" w:line="150" w:lineRule="exact"/>
        <w:rPr>
          <w:sz w:val="20"/>
          <w:szCs w:val="20"/>
          <w:color w:val="auto"/>
        </w:rPr>
      </w:pPr>
    </w:p>
    <w:p>
      <w:pPr>
        <w:ind w:left="660" w:right="100"/>
        <w:spacing w:after="0" w:line="288" w:lineRule="auto"/>
        <w:rPr>
          <w:sz w:val="20"/>
          <w:szCs w:val="20"/>
          <w:color w:val="auto"/>
        </w:rPr>
      </w:pPr>
      <w:r>
        <w:rPr>
          <w:rFonts w:ascii="Arial" w:cs="Arial" w:eastAsia="Arial" w:hAnsi="Arial"/>
          <w:sz w:val="19"/>
          <w:szCs w:val="19"/>
          <w:i w:val="1"/>
          <w:iCs w:val="1"/>
          <w:color w:val="auto"/>
        </w:rPr>
        <w:t xml:space="preserve">Change in Effective Control. </w:t>
      </w:r>
      <w:r>
        <w:rPr>
          <w:rFonts w:ascii="Arial" w:cs="Arial" w:eastAsia="Arial" w:hAnsi="Arial"/>
          <w:sz w:val="19"/>
          <w:szCs w:val="19"/>
          <w:color w:val="auto"/>
        </w:rPr>
        <w:t>A change in the effective control of the Participating Employer occurs on the date on which</w:t>
      </w:r>
      <w:r>
        <w:rPr>
          <w:rFonts w:ascii="Arial" w:cs="Arial" w:eastAsia="Arial" w:hAnsi="Arial"/>
          <w:sz w:val="19"/>
          <w:szCs w:val="19"/>
          <w:i w:val="1"/>
          <w:iCs w:val="1"/>
          <w:color w:val="auto"/>
        </w:rPr>
        <w:t xml:space="preserve"> </w:t>
      </w:r>
      <w:r>
        <w:rPr>
          <w:rFonts w:ascii="Arial" w:cs="Arial" w:eastAsia="Arial" w:hAnsi="Arial"/>
          <w:sz w:val="19"/>
          <w:szCs w:val="19"/>
          <w:color w:val="auto"/>
        </w:rPr>
        <w:t>either: (i) a person, or more than one person acting as a group, acquires ownership of stock of the Participating Employer possessing 30% or more of the total voting power of the stock of the Participating Employer, taking into account all such stock acquired during the 12-month period ending on the date of the most recent acquisition, provided that the acquisition by a person or group owning more than 30% of the total fair market value or total voting power of the stock of such Participating Employer of additional shares of such Participating Employer shall not constitute a “change of effective control” of such Participating Employer, or (ii) a majority of the members of the Participating Employer’s Board of Directors is replaced during any 12-month period by directors whose appointment or election is not endorsed by a majority of the members of such Board of Directors prior to the date of the appointment or election, but only if no other corporation is a majority shareholder of the Participating Employer.</w:t>
      </w:r>
    </w:p>
    <w:p>
      <w:pPr>
        <w:spacing w:after="0" w:line="160"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i w:val="1"/>
          <w:iCs w:val="1"/>
          <w:color w:val="auto"/>
        </w:rPr>
        <w:t xml:space="preserve">Change in Ownership of Substantial Portion of Assets. </w:t>
      </w:r>
      <w:r>
        <w:rPr>
          <w:rFonts w:ascii="Arial" w:cs="Arial" w:eastAsia="Arial" w:hAnsi="Arial"/>
          <w:sz w:val="19"/>
          <w:szCs w:val="19"/>
          <w:color w:val="auto"/>
        </w:rPr>
        <w:t>A change in the ownership of a substantial portion of assets occurs</w:t>
      </w:r>
      <w:r>
        <w:rPr>
          <w:rFonts w:ascii="Arial" w:cs="Arial" w:eastAsia="Arial" w:hAnsi="Arial"/>
          <w:sz w:val="19"/>
          <w:szCs w:val="19"/>
          <w:i w:val="1"/>
          <w:iCs w:val="1"/>
          <w:color w:val="auto"/>
        </w:rPr>
        <w:t xml:space="preserve"> </w:t>
      </w:r>
      <w:r>
        <w:rPr>
          <w:rFonts w:ascii="Arial" w:cs="Arial" w:eastAsia="Arial" w:hAnsi="Arial"/>
          <w:sz w:val="19"/>
          <w:szCs w:val="19"/>
          <w:color w:val="auto"/>
        </w:rPr>
        <w:t>on the date on which any one person, or more than one person acting as a group, other than a person or group of persons that is related to the Participating Employer, acquires assets from the Participating Employer that have a total gross fair market value equal to or more than 40% of the total gross fair market value of all of the assets of the Participating Employer immediately prior to such acquisition or acquisitions, taking into account all such assets acquired during the 12-month period ending on the date of the most recent acquisition. A transfer of assets shall not be treated as a “change in the ownership of a substantial portion of the assets” when such transfer is made to an entity that is controlled by the shareholders of the transferor corporation as determined under Treas. Reg. section 1.409A-3(i)(5)(vii)(B).</w:t>
      </w:r>
    </w:p>
    <w:p>
      <w:pPr>
        <w:spacing w:after="0" w:line="157" w:lineRule="exact"/>
        <w:rPr>
          <w:sz w:val="20"/>
          <w:szCs w:val="20"/>
          <w:color w:val="auto"/>
        </w:rPr>
      </w:pPr>
    </w:p>
    <w:p>
      <w:pPr>
        <w:ind w:left="660" w:right="580"/>
        <w:spacing w:after="0" w:line="312" w:lineRule="auto"/>
        <w:rPr>
          <w:sz w:val="20"/>
          <w:szCs w:val="20"/>
          <w:color w:val="auto"/>
        </w:rPr>
      </w:pPr>
      <w:r>
        <w:rPr>
          <w:rFonts w:ascii="Arial" w:cs="Arial" w:eastAsia="Arial" w:hAnsi="Arial"/>
          <w:sz w:val="19"/>
          <w:szCs w:val="19"/>
          <w:color w:val="auto"/>
        </w:rPr>
        <w:t>An event constitutes a Change in Control with respect to a Participant only if the Participant performs services for the Participating Employer that has experienced the Change in Control, or the Participant’s relationship to the affected Participating Employer otherwise satisfies the requirements of Treasury Regulation Section 1.409A-3(i)(5)(ii).</w:t>
      </w:r>
    </w:p>
    <w:p>
      <w:pPr>
        <w:spacing w:after="0" w:line="134" w:lineRule="exact"/>
        <w:rPr>
          <w:sz w:val="20"/>
          <w:szCs w:val="20"/>
          <w:color w:val="auto"/>
        </w:rPr>
      </w:pPr>
    </w:p>
    <w:p>
      <w:pPr>
        <w:ind w:left="660" w:right="60"/>
        <w:spacing w:after="0" w:line="250" w:lineRule="auto"/>
        <w:rPr>
          <w:sz w:val="20"/>
          <w:szCs w:val="20"/>
          <w:color w:val="auto"/>
        </w:rPr>
      </w:pPr>
      <w:r>
        <w:rPr>
          <w:rFonts w:ascii="Arial" w:cs="Arial" w:eastAsia="Arial" w:hAnsi="Arial"/>
          <w:sz w:val="22"/>
          <w:szCs w:val="22"/>
          <w:color w:val="auto"/>
        </w:rPr>
        <w:t>Notwithstanding anything to the contrary herein, with respect to a Participating Employer that is treated as a partnership for U.S. federal income tax purposes, the provisions set forth above respecting a Change in Control relative to a corporation shall be applied by analogy, and any reference to a “majority shareholder” shall be treated as referring to a partner or member that (a)</w:t>
      </w:r>
    </w:p>
    <w:p>
      <w:pPr>
        <w:sectPr>
          <w:pgSz w:w="11900" w:h="16838" w:orient="portrait"/>
          <w:cols w:equalWidth="0" w:num="1">
            <w:col w:w="11400"/>
          </w:cols>
          <w:pgMar w:left="240" w:top="591" w:right="259" w:bottom="1440" w:gutter="0" w:footer="0" w:header="0"/>
        </w:sectPr>
      </w:pPr>
    </w:p>
    <w:bookmarkStart w:id="174" w:name="page175"/>
    <w:bookmarkEnd w:id="174"/>
    <w:p>
      <w:pPr>
        <w:ind w:left="660" w:right="20"/>
        <w:spacing w:after="0" w:line="253" w:lineRule="auto"/>
        <w:rPr>
          <w:sz w:val="20"/>
          <w:szCs w:val="20"/>
          <w:color w:val="auto"/>
        </w:rPr>
      </w:pPr>
      <w:r>
        <w:rPr>
          <w:rFonts w:ascii="Arial" w:cs="Arial" w:eastAsia="Arial" w:hAnsi="Arial"/>
          <w:sz w:val="22"/>
          <w:szCs w:val="22"/>
          <w:color w:val="auto"/>
        </w:rPr>
        <w:t>owns more than 50% of the capital and profits interest of such entity, and (b) alone or together with others is vested with the continuing exclusive authority to make management decisions necessary to conduct the business for which the entity was formed.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 xml:space="preserve">Claimant. </w:t>
      </w:r>
      <w:r>
        <w:rPr>
          <w:rFonts w:ascii="Arial" w:cs="Arial" w:eastAsia="Arial" w:hAnsi="Arial"/>
          <w:sz w:val="19"/>
          <w:szCs w:val="19"/>
          <w:color w:val="auto"/>
        </w:rPr>
        <w:t>Claimant means a Participant or Beneficiary filing a claim under Article XI of this Plan.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Code means the Internal Revenue Code of 1986, as amended from time to time.</w:t>
      </w:r>
    </w:p>
    <w:p>
      <w:pPr>
        <w:spacing w:after="0" w:line="220"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u w:val="single" w:color="auto"/>
          <w:color w:val="auto"/>
        </w:rPr>
        <w:t xml:space="preserve">Code Section 409A. </w:t>
      </w:r>
      <w:r>
        <w:rPr>
          <w:rFonts w:ascii="Arial" w:cs="Arial" w:eastAsia="Arial" w:hAnsi="Arial"/>
          <w:sz w:val="22"/>
          <w:szCs w:val="22"/>
          <w:color w:val="auto"/>
        </w:rPr>
        <w:t>Code Section 409A means section 409A of the Code, and regulations and other guidance issued by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Treasury Department and Internal Revenue Service thereunder.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 xml:space="preserve">Committee. </w:t>
      </w:r>
      <w:r>
        <w:rPr>
          <w:rFonts w:ascii="Arial" w:cs="Arial" w:eastAsia="Arial" w:hAnsi="Arial"/>
          <w:sz w:val="19"/>
          <w:szCs w:val="19"/>
          <w:color w:val="auto"/>
        </w:rPr>
        <w:t>Committee means the committee appointed by the Company’s Board of Directors to administer the Plan.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Company means Black Hills Corporation.</w:t>
      </w:r>
    </w:p>
    <w:p>
      <w:pPr>
        <w:spacing w:after="0" w:line="220" w:lineRule="exact"/>
        <w:rPr>
          <w:sz w:val="20"/>
          <w:szCs w:val="20"/>
          <w:color w:val="auto"/>
        </w:rPr>
      </w:pPr>
    </w:p>
    <w:p>
      <w:pPr>
        <w:ind w:left="660" w:right="100" w:hanging="647"/>
        <w:spacing w:after="0" w:line="248" w:lineRule="auto"/>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 xml:space="preserve">Company Contribution. </w:t>
      </w:r>
      <w:r>
        <w:rPr>
          <w:rFonts w:ascii="Arial" w:cs="Arial" w:eastAsia="Arial" w:hAnsi="Arial"/>
          <w:sz w:val="22"/>
          <w:szCs w:val="22"/>
          <w:color w:val="auto"/>
        </w:rPr>
        <w:t>Company Contribution means a credit by a Participating Employer to a Participant’s Retirement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 as an RSP Supplemental Contribution, Supplemental Target Contribution, Supplemental Retirement Contribution, or Supplemental Matching Contribution, as applicable, in accordance with the provisions of Article V of the Plan. Unless the context clearly indicates otherwise, a reference to a Company Contribution shall include Earnings attributable to such contribution.</w:t>
      </w:r>
    </w:p>
    <w:p>
      <w:pPr>
        <w:spacing w:after="0" w:line="192" w:lineRule="exact"/>
        <w:rPr>
          <w:sz w:val="20"/>
          <w:szCs w:val="20"/>
          <w:color w:val="auto"/>
        </w:rPr>
      </w:pPr>
    </w:p>
    <w:p>
      <w:pPr>
        <w:ind w:left="660" w:hanging="647"/>
        <w:spacing w:after="0" w:line="290" w:lineRule="auto"/>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 xml:space="preserve">Compensation. </w:t>
      </w:r>
      <w:r>
        <w:rPr>
          <w:rFonts w:ascii="Arial" w:cs="Arial" w:eastAsia="Arial" w:hAnsi="Arial"/>
          <w:sz w:val="19"/>
          <w:szCs w:val="19"/>
          <w:color w:val="auto"/>
        </w:rPr>
        <w:t>Compensation means a Participant’s base salary, the portion of a Participant’s incentive award under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Company’s Short Term Annual Incentive Plan (“STIP”) that is payable in cash, the portion of a Participant’s Performance Share Award that is payable in cash, and such other cash compensation as may be approved by the Committee as Compensation that may be deferred under Section 4.2 of this Plan, excluding any compensation that has been previously deferred under this Plan or any other arrangement subject to Code Section 409A and excluding any compensation that is not U.S. source income. For purposes of Participant deferral elections under Article IV of this Plan, any base salary payable after the last day of a calendar year solely for services performed during the final payroll period described in Section 3401(b) of the Code containing December 31 of such year shall be treated as earned during the subsequent calendar year.</w:t>
      </w:r>
    </w:p>
    <w:p>
      <w:pPr>
        <w:spacing w:after="0" w:line="157"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u w:val="single" w:color="auto"/>
          <w:color w:val="auto"/>
        </w:rPr>
        <w:t xml:space="preserve">Compensation Deferral Agreement. </w:t>
      </w:r>
      <w:r>
        <w:rPr>
          <w:rFonts w:ascii="Arial" w:cs="Arial" w:eastAsia="Arial" w:hAnsi="Arial"/>
          <w:sz w:val="22"/>
          <w:szCs w:val="22"/>
          <w:color w:val="auto"/>
        </w:rPr>
        <w:t>Compensation Deferral Agreement means an agreement between a Participant and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Participating Employer that specifies: (i) the amount of each component of Compensation that the Participant has elected to defer to the Plan in accordance with the provisions of Article IV, and/or (ii) the Payment Schedule applicable to one or more Accounts.</w:t>
      </w:r>
    </w:p>
    <w:p>
      <w:pPr>
        <w:spacing w:after="0" w:line="188" w:lineRule="exact"/>
        <w:rPr>
          <w:sz w:val="20"/>
          <w:szCs w:val="20"/>
          <w:color w:val="auto"/>
        </w:rPr>
      </w:pPr>
    </w:p>
    <w:p>
      <w:pPr>
        <w:ind w:left="660" w:right="40" w:hanging="647"/>
        <w:spacing w:after="0" w:line="312" w:lineRule="auto"/>
        <w:tabs>
          <w:tab w:leader="none" w:pos="6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 xml:space="preserve">Deferral. </w:t>
      </w:r>
      <w:r>
        <w:rPr>
          <w:rFonts w:ascii="Arial" w:cs="Arial" w:eastAsia="Arial" w:hAnsi="Arial"/>
          <w:sz w:val="19"/>
          <w:szCs w:val="19"/>
          <w:color w:val="auto"/>
        </w:rPr>
        <w:t>Deferral means a credit to a Participant’s Account(s) that records that portion of the Participant’s Compensation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that the Participant has elected to defer to the Plan in accordance with the provisions of Article IV. Unless the context of the Plan clearly indicates otherwise, a reference to Deferrals includes Earnings attributable to such Deferrals.</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 xml:space="preserve">Earnings. </w:t>
      </w:r>
      <w:r>
        <w:rPr>
          <w:rFonts w:ascii="Arial" w:cs="Arial" w:eastAsia="Arial" w:hAnsi="Arial"/>
          <w:sz w:val="19"/>
          <w:szCs w:val="19"/>
          <w:color w:val="auto"/>
        </w:rPr>
        <w:t>Earnings means an adjustment to the value of an Account in accordance with Article VII.</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 xml:space="preserve">Effective Date. </w:t>
      </w:r>
      <w:r>
        <w:rPr>
          <w:rFonts w:ascii="Arial" w:cs="Arial" w:eastAsia="Arial" w:hAnsi="Arial"/>
          <w:sz w:val="19"/>
          <w:szCs w:val="19"/>
          <w:color w:val="auto"/>
        </w:rPr>
        <w:t>Effective Date means January 1, 2019.</w:t>
      </w:r>
    </w:p>
    <w:p>
      <w:pPr>
        <w:sectPr>
          <w:pgSz w:w="11900" w:h="16838" w:orient="portrait"/>
          <w:cols w:equalWidth="0" w:num="1">
            <w:col w:w="11400"/>
          </w:cols>
          <w:pgMar w:left="240" w:top="591" w:right="259" w:bottom="1440" w:gutter="0" w:footer="0" w:header="0"/>
        </w:sectPr>
      </w:pPr>
    </w:p>
    <w:bookmarkStart w:id="175" w:name="page176"/>
    <w:bookmarkEnd w:id="175"/>
    <w:p>
      <w:pPr>
        <w:ind w:left="660" w:right="280" w:hanging="647"/>
        <w:spacing w:after="0" w:line="263" w:lineRule="auto"/>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u w:val="single" w:color="auto"/>
          <w:color w:val="auto"/>
        </w:rPr>
        <w:t>Eligible Employee</w:t>
      </w:r>
      <w:r>
        <w:rPr>
          <w:rFonts w:ascii="Arial" w:cs="Arial" w:eastAsia="Arial" w:hAnsi="Arial"/>
          <w:sz w:val="22"/>
          <w:szCs w:val="22"/>
          <w:color w:val="auto"/>
        </w:rPr>
        <w:t>. Eligible Employee means an Employee who is selected as such by the Board of Directors pursuant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Section 3.1.</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u w:val="single" w:color="auto"/>
          <w:color w:val="auto"/>
        </w:rPr>
        <w:t xml:space="preserve">Employee. </w:t>
      </w:r>
      <w:r>
        <w:rPr>
          <w:rFonts w:ascii="Arial" w:cs="Arial" w:eastAsia="Arial" w:hAnsi="Arial"/>
          <w:sz w:val="19"/>
          <w:szCs w:val="19"/>
          <w:color w:val="auto"/>
        </w:rPr>
        <w:t>Employee means a common-law employee of an Employer.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u w:val="single" w:color="auto"/>
          <w:color w:val="auto"/>
        </w:rPr>
        <w:t xml:space="preserve">Employer. </w:t>
      </w:r>
      <w:r>
        <w:rPr>
          <w:rFonts w:ascii="Arial" w:cs="Arial" w:eastAsia="Arial" w:hAnsi="Arial"/>
          <w:sz w:val="19"/>
          <w:szCs w:val="19"/>
          <w:color w:val="auto"/>
        </w:rPr>
        <w:t>Employer means the Company and each Affiliate.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 xml:space="preserve">ERISA. </w:t>
      </w:r>
      <w:r>
        <w:rPr>
          <w:rFonts w:ascii="Arial" w:cs="Arial" w:eastAsia="Arial" w:hAnsi="Arial"/>
          <w:sz w:val="19"/>
          <w:szCs w:val="19"/>
          <w:color w:val="auto"/>
        </w:rPr>
        <w:t>ERISA means the Employee Retirement Income Security Act of 1974, as amended from time to time.</w:t>
      </w:r>
    </w:p>
    <w:p>
      <w:pPr>
        <w:spacing w:after="0" w:line="220"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u w:val="single" w:color="auto"/>
          <w:color w:val="auto"/>
        </w:rPr>
        <w:t>Excess Compensation</w:t>
      </w:r>
      <w:r>
        <w:rPr>
          <w:rFonts w:ascii="Arial" w:cs="Arial" w:eastAsia="Arial" w:hAnsi="Arial"/>
          <w:sz w:val="22"/>
          <w:szCs w:val="22"/>
          <w:color w:val="auto"/>
        </w:rPr>
        <w:t>. Excess Compensation means the amount by which a Participant’s Total Compensation exceeds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“Compensation” (as defined in Article I of the RSP).</w:t>
      </w:r>
    </w:p>
    <w:p>
      <w:pPr>
        <w:spacing w:after="0" w:line="175" w:lineRule="exact"/>
        <w:rPr>
          <w:sz w:val="20"/>
          <w:szCs w:val="20"/>
          <w:color w:val="auto"/>
        </w:rPr>
      </w:pPr>
    </w:p>
    <w:p>
      <w:pPr>
        <w:ind w:left="660" w:right="240" w:hanging="647"/>
        <w:spacing w:after="0" w:line="312" w:lineRule="auto"/>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Flex Account</w:t>
      </w:r>
      <w:r>
        <w:rPr>
          <w:rFonts w:ascii="Arial" w:cs="Arial" w:eastAsia="Arial" w:hAnsi="Arial"/>
          <w:sz w:val="19"/>
          <w:szCs w:val="19"/>
          <w:color w:val="auto"/>
        </w:rPr>
        <w:t>. Flex Account means a Separation Account or Specified Date Account established to record Deferrals</w:t>
      </w:r>
      <w:r>
        <w:rPr>
          <w:rFonts w:ascii="Arial" w:cs="Arial" w:eastAsia="Arial" w:hAnsi="Arial"/>
          <w:sz w:val="19"/>
          <w:szCs w:val="19"/>
          <w:u w:val="single" w:color="auto"/>
          <w:color w:val="auto"/>
        </w:rPr>
        <w:t xml:space="preserve"> </w:t>
      </w:r>
      <w:r>
        <w:rPr>
          <w:rFonts w:ascii="Arial" w:cs="Arial" w:eastAsia="Arial" w:hAnsi="Arial"/>
          <w:sz w:val="19"/>
          <w:szCs w:val="19"/>
          <w:color w:val="auto"/>
        </w:rPr>
        <w:t>credited to the Flex Account under the terms of a Participant’s Compensation Deferral Agreement. Unless the Committee specifies otherwise, a Participant may maintain no more than five (5) Flex Accounts at any one time.</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u w:val="single" w:color="auto"/>
          <w:color w:val="auto"/>
        </w:rPr>
        <w:t>Group 1 Participant</w:t>
      </w:r>
      <w:r>
        <w:rPr>
          <w:rFonts w:ascii="Arial" w:cs="Arial" w:eastAsia="Arial" w:hAnsi="Arial"/>
          <w:sz w:val="19"/>
          <w:szCs w:val="19"/>
          <w:color w:val="auto"/>
        </w:rPr>
        <w:t>. Group 1 Participant means a Participant who is listed on Schedule 1.</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auto"/>
        </w:rPr>
        <w:t>Group 2 Participant</w:t>
      </w:r>
      <w:r>
        <w:rPr>
          <w:rFonts w:ascii="Arial" w:cs="Arial" w:eastAsia="Arial" w:hAnsi="Arial"/>
          <w:sz w:val="19"/>
          <w:szCs w:val="19"/>
          <w:color w:val="auto"/>
        </w:rPr>
        <w:t>. Group 2 Participant means a Participant who is listed on Schedule 2.</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u w:val="single" w:color="auto"/>
          <w:color w:val="auto"/>
        </w:rPr>
        <w:t>Group 3 Participant</w:t>
      </w:r>
      <w:r>
        <w:rPr>
          <w:rFonts w:ascii="Arial" w:cs="Arial" w:eastAsia="Arial" w:hAnsi="Arial"/>
          <w:sz w:val="19"/>
          <w:szCs w:val="19"/>
          <w:color w:val="auto"/>
        </w:rPr>
        <w:t>. Group 3 Participant means a Participant who is listed on Schedule 3.</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u w:val="single" w:color="auto"/>
          <w:color w:val="auto"/>
        </w:rPr>
        <w:t xml:space="preserve">Participant. </w:t>
      </w:r>
      <w:r>
        <w:rPr>
          <w:rFonts w:ascii="Arial" w:cs="Arial" w:eastAsia="Arial" w:hAnsi="Arial"/>
          <w:sz w:val="19"/>
          <w:szCs w:val="19"/>
          <w:color w:val="auto"/>
        </w:rPr>
        <w:t>Participant means an individual described in Article III.</w:t>
      </w:r>
    </w:p>
    <w:p>
      <w:pPr>
        <w:spacing w:after="0" w:line="220" w:lineRule="exact"/>
        <w:rPr>
          <w:sz w:val="20"/>
          <w:szCs w:val="20"/>
          <w:color w:val="auto"/>
        </w:rPr>
      </w:pPr>
    </w:p>
    <w:p>
      <w:pPr>
        <w:ind w:left="660" w:right="200" w:hanging="647"/>
        <w:spacing w:after="0" w:line="287" w:lineRule="auto"/>
        <w:tabs>
          <w:tab w:leader="none" w:pos="64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21"/>
          <w:szCs w:val="21"/>
          <w:u w:val="single" w:color="auto"/>
          <w:color w:val="auto"/>
        </w:rPr>
        <w:t xml:space="preserve">Participating Employer. </w:t>
      </w:r>
      <w:r>
        <w:rPr>
          <w:rFonts w:ascii="Arial" w:cs="Arial" w:eastAsia="Arial" w:hAnsi="Arial"/>
          <w:sz w:val="21"/>
          <w:szCs w:val="21"/>
          <w:color w:val="auto"/>
        </w:rPr>
        <w:t>Participating Employer means the Company and each Affiliate who has adopted the Plan with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consent of the Company. Each Participating Employer shall be identified on Schedule A attached hereto.</w:t>
      </w:r>
    </w:p>
    <w:p>
      <w:pPr>
        <w:spacing w:after="0" w:line="152" w:lineRule="exact"/>
        <w:rPr>
          <w:sz w:val="20"/>
          <w:szCs w:val="20"/>
          <w:color w:val="auto"/>
        </w:rPr>
      </w:pPr>
    </w:p>
    <w:p>
      <w:pPr>
        <w:ind w:left="660" w:right="280" w:hanging="647"/>
        <w:spacing w:after="0" w:line="263" w:lineRule="auto"/>
        <w:tabs>
          <w:tab w:leader="none" w:pos="64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22"/>
          <w:szCs w:val="22"/>
          <w:u w:val="single" w:color="auto"/>
          <w:color w:val="auto"/>
        </w:rPr>
        <w:t xml:space="preserve">Payment Schedule. </w:t>
      </w:r>
      <w:r>
        <w:rPr>
          <w:rFonts w:ascii="Arial" w:cs="Arial" w:eastAsia="Arial" w:hAnsi="Arial"/>
          <w:sz w:val="22"/>
          <w:szCs w:val="22"/>
          <w:color w:val="auto"/>
        </w:rPr>
        <w:t>Payment Schedule means the date as of which payment of an Account under the Plan will commence</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the form in which payment of such Account will be made.</w:t>
      </w:r>
    </w:p>
    <w:p>
      <w:pPr>
        <w:spacing w:after="0" w:line="175" w:lineRule="exact"/>
        <w:rPr>
          <w:sz w:val="20"/>
          <w:szCs w:val="20"/>
          <w:color w:val="auto"/>
        </w:rPr>
      </w:pPr>
    </w:p>
    <w:p>
      <w:pPr>
        <w:ind w:left="660" w:right="220" w:hanging="647"/>
        <w:spacing w:after="0" w:line="246" w:lineRule="auto"/>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2"/>
          <w:szCs w:val="22"/>
          <w:u w:val="single" w:color="auto"/>
          <w:color w:val="auto"/>
        </w:rPr>
        <w:t xml:space="preserve">Performance-Based Compensation. </w:t>
      </w:r>
      <w:r>
        <w:rPr>
          <w:rFonts w:ascii="Arial" w:cs="Arial" w:eastAsia="Arial" w:hAnsi="Arial"/>
          <w:sz w:val="22"/>
          <w:szCs w:val="22"/>
          <w:color w:val="auto"/>
        </w:rPr>
        <w:t>Performance-Based Compensation means Compensation where the amount of,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entitlement to, the Compensation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Performance-Based Compensation shall not include any Compensation payable upon the Participant’s death or disability (as defined in Treas. Section 1.409A-1(e)) without regard to the satisfaction of the performance criteria.</w:t>
      </w:r>
    </w:p>
    <w:p>
      <w:pPr>
        <w:spacing w:after="0" w:line="195" w:lineRule="exact"/>
        <w:rPr>
          <w:sz w:val="20"/>
          <w:szCs w:val="20"/>
          <w:color w:val="auto"/>
        </w:rPr>
      </w:pPr>
    </w:p>
    <w:p>
      <w:pPr>
        <w:ind w:left="660" w:right="160" w:hanging="647"/>
        <w:spacing w:after="0" w:line="343" w:lineRule="auto"/>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u w:val="single" w:color="auto"/>
          <w:color w:val="auto"/>
        </w:rPr>
        <w:t>Performance Share Award</w:t>
      </w:r>
      <w:r>
        <w:rPr>
          <w:rFonts w:ascii="Arial" w:cs="Arial" w:eastAsia="Arial" w:hAnsi="Arial"/>
          <w:sz w:val="19"/>
          <w:szCs w:val="19"/>
          <w:color w:val="auto"/>
        </w:rPr>
        <w:t>. Performance Share Award means a performance share award granted to a Participant under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Company’s Omnibus Incentive Plan (or any successor shareholder-approved incentive plan of the Company).</w:t>
      </w:r>
    </w:p>
    <w:p>
      <w:pPr>
        <w:spacing w:after="0" w:line="105"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u w:val="single" w:color="auto"/>
          <w:color w:val="auto"/>
        </w:rPr>
        <w:t>Plan</w:t>
      </w:r>
      <w:r>
        <w:rPr>
          <w:rFonts w:ascii="Arial" w:cs="Arial" w:eastAsia="Arial" w:hAnsi="Arial"/>
          <w:sz w:val="22"/>
          <w:szCs w:val="22"/>
          <w:color w:val="auto"/>
        </w:rPr>
        <w:t>. Plan means “Black Hills Corporation Post-2018 Nonqualified Deferred Compensation Plan” as documented herein</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as may be amended from time to time hereafter. However, to the extent permitted or required under Code Section 409A, the term Plan may in the appropriate context also means a portion of the Plan that is treated as a single plan under Treas. Reg. Section 1.409A-1(c),</w:t>
      </w:r>
    </w:p>
    <w:p>
      <w:pPr>
        <w:sectPr>
          <w:pgSz w:w="11900" w:h="16838" w:orient="portrait"/>
          <w:cols w:equalWidth="0" w:num="1">
            <w:col w:w="11400"/>
          </w:cols>
          <w:pgMar w:left="240" w:top="591" w:right="259" w:bottom="1440" w:gutter="0" w:footer="0" w:header="0"/>
        </w:sectPr>
      </w:pPr>
    </w:p>
    <w:bookmarkStart w:id="176" w:name="page177"/>
    <w:bookmarkEnd w:id="176"/>
    <w:p>
      <w:pPr>
        <w:ind w:left="660"/>
        <w:spacing w:after="0" w:line="263" w:lineRule="auto"/>
        <w:rPr>
          <w:sz w:val="20"/>
          <w:szCs w:val="20"/>
          <w:color w:val="auto"/>
        </w:rPr>
      </w:pPr>
      <w:r>
        <w:rPr>
          <w:rFonts w:ascii="Arial" w:cs="Arial" w:eastAsia="Arial" w:hAnsi="Arial"/>
          <w:sz w:val="22"/>
          <w:szCs w:val="22"/>
          <w:color w:val="auto"/>
        </w:rPr>
        <w:t>or the Plan or portion of the Plan and any other nonqualified deferred compensation plan or portion thereof that is treated as a single plan under such section.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u w:val="single" w:color="auto"/>
          <w:color w:val="auto"/>
        </w:rPr>
        <w:t xml:space="preserve">Plan Year. </w:t>
      </w:r>
      <w:r>
        <w:rPr>
          <w:rFonts w:ascii="Arial" w:cs="Arial" w:eastAsia="Arial" w:hAnsi="Arial"/>
          <w:sz w:val="19"/>
          <w:szCs w:val="19"/>
          <w:color w:val="auto"/>
        </w:rPr>
        <w:t>Plan Year means January 1 through December 31.</w:t>
      </w:r>
    </w:p>
    <w:p>
      <w:pPr>
        <w:spacing w:after="0" w:line="220" w:lineRule="exact"/>
        <w:rPr>
          <w:sz w:val="20"/>
          <w:szCs w:val="20"/>
          <w:color w:val="auto"/>
        </w:rPr>
      </w:pPr>
    </w:p>
    <w:p>
      <w:pPr>
        <w:ind w:left="660" w:right="920" w:hanging="647"/>
        <w:spacing w:after="0" w:line="253" w:lineRule="auto"/>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22"/>
          <w:szCs w:val="22"/>
          <w:u w:val="single" w:color="auto"/>
          <w:color w:val="auto"/>
        </w:rPr>
        <w:t>Retirement Account</w:t>
      </w:r>
      <w:r>
        <w:rPr>
          <w:rFonts w:ascii="Arial" w:cs="Arial" w:eastAsia="Arial" w:hAnsi="Arial"/>
          <w:sz w:val="22"/>
          <w:szCs w:val="22"/>
          <w:color w:val="auto"/>
        </w:rPr>
        <w:t>. Retirement Account means an Account established by the Committee to record Company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Contributions allocated to the Retirement Account, payable to a Participant following Separation from Service in accordance with Section 6.3.</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u w:val="single" w:color="auto"/>
          <w:color w:val="auto"/>
        </w:rPr>
        <w:t>RSP</w:t>
      </w:r>
      <w:r>
        <w:rPr>
          <w:rFonts w:ascii="Arial" w:cs="Arial" w:eastAsia="Arial" w:hAnsi="Arial"/>
          <w:sz w:val="19"/>
          <w:szCs w:val="19"/>
          <w:color w:val="auto"/>
        </w:rPr>
        <w:t>. RSP means the Black Hills Corporation 401(k) Retirement Savings Plan, as amended from time to time.</w:t>
      </w:r>
    </w:p>
    <w:p>
      <w:pPr>
        <w:spacing w:after="0" w:line="220" w:lineRule="exact"/>
        <w:rPr>
          <w:sz w:val="20"/>
          <w:szCs w:val="20"/>
          <w:color w:val="auto"/>
        </w:rPr>
      </w:pPr>
    </w:p>
    <w:p>
      <w:pPr>
        <w:ind w:left="660" w:right="100" w:hanging="647"/>
        <w:spacing w:after="0" w:line="271" w:lineRule="auto"/>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21"/>
          <w:szCs w:val="21"/>
          <w:u w:val="single" w:color="auto"/>
          <w:color w:val="auto"/>
        </w:rPr>
        <w:t>RSP Supplemental Contributions</w:t>
      </w:r>
      <w:r>
        <w:rPr>
          <w:rFonts w:ascii="Arial" w:cs="Arial" w:eastAsia="Arial" w:hAnsi="Arial"/>
          <w:sz w:val="21"/>
          <w:szCs w:val="21"/>
          <w:color w:val="auto"/>
        </w:rPr>
        <w:t>. RSP Supplemental Contributions means Company Contributions equal to the amount, if</w:t>
      </w:r>
      <w:r>
        <w:rPr>
          <w:rFonts w:ascii="Arial" w:cs="Arial" w:eastAsia="Arial" w:hAnsi="Arial"/>
          <w:sz w:val="21"/>
          <w:szCs w:val="21"/>
          <w:u w:val="single" w:color="auto"/>
          <w:color w:val="auto"/>
        </w:rPr>
        <w:t xml:space="preserve"> </w:t>
      </w:r>
      <w:r>
        <w:rPr>
          <w:rFonts w:ascii="Arial" w:cs="Arial" w:eastAsia="Arial" w:hAnsi="Arial"/>
          <w:sz w:val="21"/>
          <w:szCs w:val="21"/>
          <w:color w:val="auto"/>
        </w:rPr>
        <w:t>any, of matching contributions that could not be allocated on behalf of a Group 2 Participant under the RSP due to the results of ADP/ACP testing for a calendar year. Group 2 Participants are listed on Schedule 2.</w:t>
      </w:r>
    </w:p>
    <w:p>
      <w:pPr>
        <w:spacing w:after="0" w:line="168" w:lineRule="exact"/>
        <w:rPr>
          <w:sz w:val="20"/>
          <w:szCs w:val="20"/>
          <w:color w:val="auto"/>
        </w:rPr>
      </w:pPr>
    </w:p>
    <w:p>
      <w:pPr>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2"/>
          <w:szCs w:val="22"/>
          <w:u w:val="single" w:color="auto"/>
          <w:color w:val="auto"/>
        </w:rPr>
        <w:t>Separation Account</w:t>
      </w:r>
      <w:r>
        <w:rPr>
          <w:rFonts w:ascii="Arial" w:cs="Arial" w:eastAsia="Arial" w:hAnsi="Arial"/>
          <w:sz w:val="22"/>
          <w:szCs w:val="22"/>
          <w:color w:val="auto"/>
        </w:rPr>
        <w:t>. Separation Account means an Account established by the Committee in accordance with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Compensation Deferral Agreement to record Deferrals allocated to such Account by the Participant and which are payable upon the Participant’s Separation from Service as set forth in Section 6.3. The Committee may limit the number of Separation Accounts that may be maintained at any one time by a Participant, as set forth in the Plan’s enrollment materials.</w:t>
      </w:r>
    </w:p>
    <w:p>
      <w:pPr>
        <w:spacing w:after="0" w:line="192"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u w:val="single" w:color="auto"/>
          <w:color w:val="auto"/>
        </w:rPr>
        <w:t xml:space="preserve">Separation from Service. </w:t>
      </w:r>
      <w:r>
        <w:rPr>
          <w:rFonts w:ascii="Arial" w:cs="Arial" w:eastAsia="Arial" w:hAnsi="Arial"/>
          <w:sz w:val="19"/>
          <w:szCs w:val="19"/>
          <w:color w:val="auto"/>
        </w:rPr>
        <w:t>Separation from Service means an Employee’s termination of employment with the Employer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all Affiliates, in such manner as to constitute a “separation from service” for purposes of Code Section 409A.</w:t>
      </w:r>
    </w:p>
    <w:p>
      <w:pPr>
        <w:spacing w:after="0" w:line="105" w:lineRule="exact"/>
        <w:rPr>
          <w:sz w:val="20"/>
          <w:szCs w:val="20"/>
          <w:color w:val="auto"/>
        </w:rPr>
      </w:pPr>
    </w:p>
    <w:p>
      <w:pPr>
        <w:ind w:left="660" w:right="80"/>
        <w:spacing w:after="0" w:line="250" w:lineRule="auto"/>
        <w:rPr>
          <w:sz w:val="20"/>
          <w:szCs w:val="20"/>
          <w:color w:val="auto"/>
        </w:rPr>
      </w:pPr>
      <w:r>
        <w:rPr>
          <w:rFonts w:ascii="Arial" w:cs="Arial" w:eastAsia="Arial" w:hAnsi="Arial"/>
          <w:sz w:val="22"/>
          <w:szCs w:val="22"/>
          <w:color w:val="auto"/>
        </w:rPr>
        <w:t>An Employee who is absent from work due to military leave, sick leave, or other bona fide leave of absence shall incur a Separation from Service on the first date immediately following the later of: (i) the six month anniversary of the commencement of the leave, or (ii) the expiration of the Employee’s right, if any, to reemployment under statute, policy, or contract.</w:t>
      </w:r>
    </w:p>
    <w:p>
      <w:pPr>
        <w:spacing w:after="0" w:line="188" w:lineRule="exact"/>
        <w:rPr>
          <w:sz w:val="20"/>
          <w:szCs w:val="20"/>
          <w:color w:val="auto"/>
        </w:rPr>
      </w:pPr>
    </w:p>
    <w:p>
      <w:pPr>
        <w:ind w:left="660"/>
        <w:spacing w:after="0" w:line="247" w:lineRule="auto"/>
        <w:rPr>
          <w:sz w:val="20"/>
          <w:szCs w:val="20"/>
          <w:color w:val="auto"/>
        </w:rPr>
      </w:pPr>
      <w:r>
        <w:rPr>
          <w:rFonts w:ascii="Arial" w:cs="Arial" w:eastAsia="Arial" w:hAnsi="Arial"/>
          <w:sz w:val="22"/>
          <w:szCs w:val="22"/>
          <w:color w:val="auto"/>
        </w:rPr>
        <w:t>For purposes of determining whether a Separation from Service has occurred, the Employer means the Employer as defined in Section 2.21 of the Plan, except that in applying Code sections 1563(a)(1), (2) and (3) for purposes of determining whether another organization is an Affiliate of the Company under Code Section 414(b), and in applying Treasury Regulation Section 1.414(c)-2 for purposes of determining whether another organization is an Affiliate of the Company under Code Section 414(c), “at least 50 percent” shall be used instead of “at least 80 percent” each place it appears in those sections.</w:t>
      </w:r>
    </w:p>
    <w:p>
      <w:pPr>
        <w:spacing w:after="0" w:line="194" w:lineRule="exact"/>
        <w:rPr>
          <w:sz w:val="20"/>
          <w:szCs w:val="20"/>
          <w:color w:val="auto"/>
        </w:rPr>
      </w:pPr>
    </w:p>
    <w:p>
      <w:pPr>
        <w:ind w:left="660" w:right="340"/>
        <w:spacing w:after="0" w:line="312" w:lineRule="auto"/>
        <w:rPr>
          <w:sz w:val="20"/>
          <w:szCs w:val="20"/>
          <w:color w:val="auto"/>
        </w:rPr>
      </w:pPr>
      <w:r>
        <w:rPr>
          <w:rFonts w:ascii="Arial" w:cs="Arial" w:eastAsia="Arial" w:hAnsi="Arial"/>
          <w:sz w:val="19"/>
          <w:szCs w:val="19"/>
          <w:color w:val="auto"/>
        </w:rPr>
        <w:t>The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w:t>
      </w:r>
    </w:p>
    <w:p>
      <w:pPr>
        <w:spacing w:after="0" w:line="134" w:lineRule="exact"/>
        <w:rPr>
          <w:sz w:val="20"/>
          <w:szCs w:val="20"/>
          <w:color w:val="auto"/>
        </w:rPr>
      </w:pPr>
    </w:p>
    <w:p>
      <w:pPr>
        <w:ind w:left="660" w:right="160" w:hanging="647"/>
        <w:spacing w:after="0" w:line="250" w:lineRule="auto"/>
        <w:tabs>
          <w:tab w:leader="none" w:pos="64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22"/>
          <w:szCs w:val="22"/>
          <w:u w:val="single" w:color="auto"/>
          <w:color w:val="auto"/>
        </w:rPr>
        <w:t xml:space="preserve">Specified Date Account. </w:t>
      </w:r>
      <w:r>
        <w:rPr>
          <w:rFonts w:ascii="Arial" w:cs="Arial" w:eastAsia="Arial" w:hAnsi="Arial"/>
          <w:sz w:val="22"/>
          <w:szCs w:val="22"/>
          <w:color w:val="auto"/>
        </w:rPr>
        <w:t>Specified Date Account means an Account established by the Committee to record the amounts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payable in a future year as specified in the Participant’s Compensation Deferral Agreement. The Committee may limit the number of Specified Date Accounts that may be maintained at any one time by a Participant, as set forth in the Plan’s enrollment materials.</w:t>
      </w:r>
    </w:p>
    <w:p>
      <w:pPr>
        <w:sectPr>
          <w:pgSz w:w="11900" w:h="16838" w:orient="portrait"/>
          <w:cols w:equalWidth="0" w:num="1">
            <w:col w:w="11360"/>
          </w:cols>
          <w:pgMar w:left="240" w:top="591" w:right="299" w:bottom="1440" w:gutter="0" w:footer="0" w:header="0"/>
        </w:sectPr>
      </w:pPr>
    </w:p>
    <w:bookmarkStart w:id="177" w:name="page178"/>
    <w:bookmarkEnd w:id="177"/>
    <w:p>
      <w:pPr>
        <w:spacing w:after="0"/>
        <w:tabs>
          <w:tab w:leader="none" w:pos="6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u w:val="single" w:color="auto"/>
          <w:color w:val="auto"/>
        </w:rPr>
        <w:t xml:space="preserve">Substantial Risk of Forfeiture. </w:t>
      </w:r>
      <w:r>
        <w:rPr>
          <w:rFonts w:ascii="Arial" w:cs="Arial" w:eastAsia="Arial" w:hAnsi="Arial"/>
          <w:sz w:val="19"/>
          <w:szCs w:val="19"/>
          <w:color w:val="auto"/>
        </w:rPr>
        <w:t>Substantial Risk of Forfeiture has the meaning specified in Treas. Reg. Section 1.409A-1(d).</w:t>
      </w:r>
    </w:p>
    <w:p>
      <w:pPr>
        <w:spacing w:after="0" w:line="220" w:lineRule="exact"/>
        <w:rPr>
          <w:sz w:val="20"/>
          <w:szCs w:val="20"/>
          <w:color w:val="auto"/>
        </w:rPr>
      </w:pPr>
    </w:p>
    <w:p>
      <w:pPr>
        <w:ind w:left="660" w:right="200" w:hanging="647"/>
        <w:spacing w:after="0" w:line="302" w:lineRule="auto"/>
        <w:tabs>
          <w:tab w:leader="none" w:pos="64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u w:val="single" w:color="auto"/>
          <w:color w:val="auto"/>
        </w:rPr>
        <w:t>Supplemental Matching Contributions</w:t>
      </w:r>
      <w:r>
        <w:rPr>
          <w:rFonts w:ascii="Arial" w:cs="Arial" w:eastAsia="Arial" w:hAnsi="Arial"/>
          <w:sz w:val="19"/>
          <w:szCs w:val="19"/>
          <w:color w:val="auto"/>
        </w:rPr>
        <w:t>. Supplemental Matching Contributions means an amount equal to a percentage of a</w:t>
      </w:r>
      <w:r>
        <w:rPr>
          <w:rFonts w:ascii="Arial" w:cs="Arial" w:eastAsia="Arial" w:hAnsi="Arial"/>
          <w:sz w:val="19"/>
          <w:szCs w:val="19"/>
          <w:u w:val="single" w:color="auto"/>
          <w:color w:val="auto"/>
        </w:rPr>
        <w:t xml:space="preserve"> </w:t>
      </w:r>
      <w:r>
        <w:rPr>
          <w:rFonts w:ascii="Arial" w:cs="Arial" w:eastAsia="Arial" w:hAnsi="Arial"/>
          <w:sz w:val="19"/>
          <w:szCs w:val="19"/>
          <w:color w:val="auto"/>
        </w:rPr>
        <w:t>Group 2 Participant’s Excess Compensation for a Plan Year. Group 2 Participants and the applicable specified percentage for each Group 2 Participant are listed on Schedule 2. Supplemental Matching Contributions are not conditioned upon a Participant’s election to make deferrals under this Plan or under the RSP.</w:t>
      </w:r>
    </w:p>
    <w:p>
      <w:pPr>
        <w:spacing w:after="0" w:line="143" w:lineRule="exact"/>
        <w:rPr>
          <w:sz w:val="20"/>
          <w:szCs w:val="20"/>
          <w:color w:val="auto"/>
        </w:rPr>
      </w:pPr>
    </w:p>
    <w:p>
      <w:pPr>
        <w:ind w:left="660" w:right="260" w:hanging="647"/>
        <w:spacing w:after="0" w:line="263" w:lineRule="auto"/>
        <w:tabs>
          <w:tab w:leader="none" w:pos="64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u w:val="single" w:color="auto"/>
          <w:color w:val="auto"/>
        </w:rPr>
        <w:t>Supplemental Retirement Contributions</w:t>
      </w:r>
      <w:r>
        <w:rPr>
          <w:rFonts w:ascii="Arial" w:cs="Arial" w:eastAsia="Arial" w:hAnsi="Arial"/>
          <w:sz w:val="22"/>
          <w:szCs w:val="22"/>
          <w:color w:val="auto"/>
        </w:rPr>
        <w:t>. Supplemental Retirement Contributions means the amount by which (a) exceeds</w:t>
      </w:r>
      <w:r>
        <w:rPr>
          <w:rFonts w:ascii="Arial" w:cs="Arial" w:eastAsia="Arial" w:hAnsi="Arial"/>
          <w:sz w:val="22"/>
          <w:szCs w:val="22"/>
          <w:u w:val="single" w:color="auto"/>
          <w:color w:val="auto"/>
        </w:rPr>
        <w:t xml:space="preserve"> </w:t>
      </w:r>
      <w:r>
        <w:rPr>
          <w:rFonts w:ascii="Arial" w:cs="Arial" w:eastAsia="Arial" w:hAnsi="Arial"/>
          <w:sz w:val="22"/>
          <w:szCs w:val="22"/>
          <w:color w:val="auto"/>
        </w:rPr>
        <w:t>(b), where</w:t>
      </w:r>
    </w:p>
    <w:p>
      <w:pPr>
        <w:spacing w:after="0" w:line="175" w:lineRule="exact"/>
        <w:rPr>
          <w:sz w:val="20"/>
          <w:szCs w:val="20"/>
          <w:color w:val="auto"/>
        </w:rPr>
      </w:pPr>
    </w:p>
    <w:p>
      <w:pPr>
        <w:ind w:left="1300" w:right="240" w:hanging="644"/>
        <w:spacing w:after="0" w:line="271" w:lineRule="auto"/>
        <w:tabs>
          <w:tab w:leader="none" w:pos="130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is the amount that would have been contributed to the RSP on behalf of a Group 3 Participant as a non-safe harbor non-elective employer contribution described in Section 7 of the RSP if such contribution were determined as a percentage of the Group 3 Participant’s Total Compensation for a Plan Year, and</w:t>
      </w:r>
    </w:p>
    <w:p>
      <w:pPr>
        <w:spacing w:after="0" w:line="167" w:lineRule="exact"/>
        <w:rPr>
          <w:rFonts w:ascii="Arial" w:cs="Arial" w:eastAsia="Arial" w:hAnsi="Arial"/>
          <w:sz w:val="21"/>
          <w:szCs w:val="21"/>
          <w:color w:val="auto"/>
        </w:rPr>
      </w:pPr>
    </w:p>
    <w:p>
      <w:pPr>
        <w:ind w:left="1300" w:right="180" w:hanging="644"/>
        <w:spacing w:after="0" w:line="253" w:lineRule="auto"/>
        <w:tabs>
          <w:tab w:leader="none" w:pos="13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is the amount actually contributed to the RSP as a non-safe harbor non-elective employer contribution described in Section 7 of the RSP on behalf of the Group 3 Participant for the Plan Year. Group 3 Participants are listed on Schedule 3.</w:t>
      </w:r>
    </w:p>
    <w:p>
      <w:pPr>
        <w:spacing w:after="0" w:line="186" w:lineRule="exact"/>
        <w:rPr>
          <w:sz w:val="20"/>
          <w:szCs w:val="20"/>
          <w:color w:val="auto"/>
        </w:rPr>
      </w:pPr>
    </w:p>
    <w:p>
      <w:pPr>
        <w:jc w:val="both"/>
        <w:ind w:left="660" w:right="140" w:hanging="647"/>
        <w:spacing w:after="0" w:line="253" w:lineRule="auto"/>
        <w:tabs>
          <w:tab w:leader="none" w:pos="6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u w:val="single" w:color="auto"/>
          <w:color w:val="auto"/>
        </w:rPr>
        <w:t>Supplemental Target Contributions</w:t>
      </w:r>
      <w:r>
        <w:rPr>
          <w:rFonts w:ascii="Arial" w:cs="Arial" w:eastAsia="Arial" w:hAnsi="Arial"/>
          <w:sz w:val="22"/>
          <w:szCs w:val="22"/>
          <w:color w:val="auto"/>
        </w:rPr>
        <w:t>. Supplemental Target Contributions means an amount equal to the specified percentage</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a Group 1 Participant’s Total Compensation for a Plan Year. Group 1 Participants and the specified percentage for each such Participant are listed on Schedule 1.</w:t>
      </w:r>
    </w:p>
    <w:p>
      <w:pPr>
        <w:spacing w:after="0" w:line="186"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u w:val="single" w:color="auto"/>
          <w:color w:val="auto"/>
        </w:rPr>
        <w:t>Total Compensation</w:t>
      </w:r>
      <w:r>
        <w:rPr>
          <w:rFonts w:ascii="Arial" w:cs="Arial" w:eastAsia="Arial" w:hAnsi="Arial"/>
          <w:sz w:val="22"/>
          <w:szCs w:val="22"/>
          <w:color w:val="auto"/>
        </w:rPr>
        <w:t>. Total Compensation means ”Compensation” as defined in Article I of the RSP, but determined without</w:t>
      </w:r>
      <w:r>
        <w:rPr>
          <w:rFonts w:ascii="Arial" w:cs="Arial" w:eastAsia="Arial" w:hAnsi="Arial"/>
          <w:sz w:val="22"/>
          <w:szCs w:val="22"/>
          <w:u w:val="single" w:color="auto"/>
          <w:color w:val="auto"/>
        </w:rPr>
        <w:t xml:space="preserve"> </w:t>
      </w:r>
      <w:r>
        <w:rPr>
          <w:rFonts w:ascii="Arial" w:cs="Arial" w:eastAsia="Arial" w:hAnsi="Arial"/>
          <w:sz w:val="22"/>
          <w:szCs w:val="22"/>
          <w:color w:val="auto"/>
        </w:rPr>
        <w:t>regard to the Code Section 401(a)(17) limitation.</w:t>
      </w:r>
    </w:p>
    <w:p>
      <w:pPr>
        <w:spacing w:after="0" w:line="17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21"/>
          <w:szCs w:val="21"/>
          <w:u w:val="single" w:color="auto"/>
          <w:color w:val="auto"/>
        </w:rPr>
        <w:t xml:space="preserve">Unforeseeable Emergency. </w:t>
      </w:r>
      <w:r>
        <w:rPr>
          <w:rFonts w:ascii="Arial" w:cs="Arial" w:eastAsia="Arial" w:hAnsi="Arial"/>
          <w:sz w:val="21"/>
          <w:szCs w:val="21"/>
          <w:color w:val="auto"/>
        </w:rPr>
        <w:t>Unforeseeable Emergency means a severe financial hardship to the Participant resulting from an</w:t>
      </w:r>
      <w:r>
        <w:rPr>
          <w:rFonts w:ascii="Arial" w:cs="Arial" w:eastAsia="Arial" w:hAnsi="Arial"/>
          <w:sz w:val="21"/>
          <w:szCs w:val="21"/>
          <w:u w:val="single" w:color="auto"/>
          <w:color w:val="auto"/>
        </w:rPr>
        <w:t xml:space="preserve"> </w:t>
      </w:r>
      <w:r>
        <w:rPr>
          <w:rFonts w:ascii="Arial" w:cs="Arial" w:eastAsia="Arial" w:hAnsi="Arial"/>
          <w:sz w:val="21"/>
          <w:szCs w:val="21"/>
          <w:color w:val="auto"/>
        </w:rPr>
        <w:t>illness or accident of the Participant, the Participant’s spouse, the Participant’s dependent (as defined in Code section 152, without regard to section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u w:val="single" w:color="auto"/>
          <w:color w:val="auto"/>
        </w:rPr>
        <w:t xml:space="preserve">Valuation Date. </w:t>
      </w:r>
      <w:r>
        <w:rPr>
          <w:rFonts w:ascii="Arial" w:cs="Arial" w:eastAsia="Arial" w:hAnsi="Arial"/>
          <w:sz w:val="19"/>
          <w:szCs w:val="19"/>
          <w:color w:val="auto"/>
        </w:rPr>
        <w:t>Valuation Date means each Business Day.</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Eligibility and Participation</w:t>
      </w:r>
    </w:p>
    <w:p>
      <w:pPr>
        <w:spacing w:after="0" w:line="95" w:lineRule="exact"/>
        <w:rPr>
          <w:sz w:val="20"/>
          <w:szCs w:val="20"/>
          <w:color w:val="auto"/>
        </w:rPr>
      </w:pPr>
    </w:p>
    <w:p>
      <w:pPr>
        <w:ind w:left="660" w:right="80" w:hanging="647"/>
        <w:spacing w:after="0" w:line="246"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 xml:space="preserve">Eligibility and Participation. </w:t>
      </w:r>
      <w:r>
        <w:rPr>
          <w:rFonts w:ascii="Arial" w:cs="Arial" w:eastAsia="Arial" w:hAnsi="Arial"/>
          <w:sz w:val="22"/>
          <w:szCs w:val="22"/>
          <w:color w:val="auto"/>
        </w:rPr>
        <w:t>In order to be eligible for participation in the Plan as an “Eligible Employee”, an Employee</w:t>
      </w:r>
      <w:r>
        <w:rPr>
          <w:rFonts w:ascii="Arial" w:cs="Arial" w:eastAsia="Arial" w:hAnsi="Arial"/>
          <w:sz w:val="22"/>
          <w:szCs w:val="22"/>
          <w:u w:val="single" w:color="auto"/>
          <w:color w:val="auto"/>
        </w:rPr>
        <w:t xml:space="preserve"> </w:t>
      </w:r>
      <w:r>
        <w:rPr>
          <w:rFonts w:ascii="Arial" w:cs="Arial" w:eastAsia="Arial" w:hAnsi="Arial"/>
          <w:sz w:val="22"/>
          <w:szCs w:val="22"/>
          <w:color w:val="auto"/>
        </w:rPr>
        <w:t>must be selected by the Board of Directors. For each enrollment, the Board of Directors, in its sole and absolute discretion, shall determine eligibility for participation from among management or highly compensated employees of the Employer who are officers appointed by the Board of Directors in accordance with the purposes of the Plan and shall determine the amount and type of Company Contributions, if any, to be made on behalf of any Participant. An Employee ceases to be eligible for participation in the Plan upon his Separation from Service or, if earlier, the date his participation is discontinued by the Chief Executive Officer, provided that, to the extent required to comply with Section 409A of the Code, such Employee’s</w:t>
      </w:r>
    </w:p>
    <w:p>
      <w:pPr>
        <w:sectPr>
          <w:pgSz w:w="11900" w:h="16838" w:orient="portrait"/>
          <w:cols w:equalWidth="0" w:num="1">
            <w:col w:w="11420"/>
          </w:cols>
          <w:pgMar w:left="240" w:top="591" w:right="239" w:bottom="1440" w:gutter="0" w:footer="0" w:header="0"/>
        </w:sectPr>
      </w:pPr>
    </w:p>
    <w:bookmarkStart w:id="178" w:name="page179"/>
    <w:bookmarkEnd w:id="178"/>
    <w:p>
      <w:pPr>
        <w:ind w:left="660" w:right="160"/>
        <w:spacing w:after="0" w:line="250" w:lineRule="auto"/>
        <w:rPr>
          <w:sz w:val="20"/>
          <w:szCs w:val="20"/>
          <w:color w:val="auto"/>
        </w:rPr>
      </w:pPr>
      <w:r>
        <w:rPr>
          <w:rFonts w:ascii="Arial" w:cs="Arial" w:eastAsia="Arial" w:hAnsi="Arial"/>
          <w:sz w:val="22"/>
          <w:szCs w:val="22"/>
          <w:color w:val="auto"/>
        </w:rPr>
        <w:t>Deferrals (but not his Company Contributions) shall continue to be credited to the Employee’s Account with respect to the Plan Year in which his participation is terminated. If a Participant or former Participant is reemployed by an Employer following a Separation from Service, such employee will not become eligible for participation again unless he is again designated by the Board of Directors.</w:t>
      </w:r>
    </w:p>
    <w:p>
      <w:pPr>
        <w:spacing w:after="0" w:line="188" w:lineRule="exact"/>
        <w:rPr>
          <w:sz w:val="20"/>
          <w:szCs w:val="20"/>
          <w:color w:val="auto"/>
        </w:rPr>
      </w:pPr>
    </w:p>
    <w:p>
      <w:pPr>
        <w:ind w:left="660" w:right="180"/>
        <w:spacing w:after="0" w:line="253" w:lineRule="auto"/>
        <w:rPr>
          <w:sz w:val="20"/>
          <w:szCs w:val="20"/>
          <w:color w:val="auto"/>
        </w:rPr>
      </w:pPr>
      <w:r>
        <w:rPr>
          <w:rFonts w:ascii="Arial" w:cs="Arial" w:eastAsia="Arial" w:hAnsi="Arial"/>
          <w:sz w:val="22"/>
          <w:szCs w:val="22"/>
          <w:color w:val="auto"/>
        </w:rPr>
        <w:t>All Eligible Employees may enroll in the Plan. Eligible Employees become Participants on the first to occur of (i) the date on which the first Compensation Deferral Agreement becomes irrevocable under Article IV, or (ii) the date Company Contributions are credited to an Account on behalf of such Eligible Employee.</w:t>
      </w:r>
    </w:p>
    <w:p>
      <w:pPr>
        <w:spacing w:after="0" w:line="186"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 xml:space="preserve">Duration. </w:t>
      </w:r>
      <w:r>
        <w:rPr>
          <w:rFonts w:ascii="Arial" w:cs="Arial" w:eastAsia="Arial" w:hAnsi="Arial"/>
          <w:sz w:val="21"/>
          <w:szCs w:val="21"/>
          <w:color w:val="auto"/>
        </w:rPr>
        <w:t>Only Eligible Employees may submit Compensation Deferral Agreements during an enrollment and receive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Company Contributions during the Plan Year. A Participant who is no longer an Eligible Employee but has not incurred a Separation from Service will not be allowed to submit Compensation Deferral Agreements but may otherwise exercise all of the rights of a Participant under the Plan with respect to his or her Account(s). On and after a Separation from Service, a Participant shall remain a Participant as long as his or her Account Balance is greater than zero (0). All Participants, regardless of employment status, will continue to be credited with Earnings and during such time may continue to make allocation elections as provided in Section 7.4. An individual shall cease being a Participant in the Plan when his Account has been reduced to zero (0).</w:t>
      </w:r>
    </w:p>
    <w:p>
      <w:pPr>
        <w:spacing w:after="0" w:line="184" w:lineRule="exact"/>
        <w:rPr>
          <w:sz w:val="20"/>
          <w:szCs w:val="20"/>
          <w:color w:val="auto"/>
        </w:rPr>
      </w:pPr>
    </w:p>
    <w:p>
      <w:pPr>
        <w:ind w:left="660" w:right="100" w:hanging="647"/>
        <w:spacing w:after="0" w:line="250"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u w:val="single" w:color="auto"/>
          <w:color w:val="auto"/>
        </w:rPr>
        <w:t>Rehires</w:t>
      </w:r>
      <w:r>
        <w:rPr>
          <w:rFonts w:ascii="Arial" w:cs="Arial" w:eastAsia="Arial" w:hAnsi="Arial"/>
          <w:sz w:val="22"/>
          <w:szCs w:val="22"/>
          <w:color w:val="auto"/>
        </w:rPr>
        <w:t>. An Eligible Employee who Separates from Service and who subsequently resumes performing services for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Employer in the same calendar year (regardless of eligibility) will have his or her Compensation Deferral Agreement for such year, if any, reinstated, but his or her eligibility to participate in the Plan in years subsequent to the year of rehire shall be governed by the provisions of Section 3.1.</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IV</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Deferrals</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Deferral Elections, Generally.</w:t>
      </w:r>
    </w:p>
    <w:p>
      <w:pPr>
        <w:spacing w:after="0" w:line="220" w:lineRule="exact"/>
        <w:rPr>
          <w:sz w:val="20"/>
          <w:szCs w:val="20"/>
          <w:color w:val="auto"/>
        </w:rPr>
      </w:pPr>
    </w:p>
    <w:p>
      <w:pPr>
        <w:ind w:left="1300" w:right="20" w:hanging="644"/>
        <w:spacing w:after="0" w:line="297"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9"/>
          <w:szCs w:val="19"/>
          <w:color w:val="auto"/>
        </w:rPr>
        <w:t>A Participant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a Compensation source (such as salary, bonus or other Compensation) become irrevocable on the latest date applicable to such Compensation source under Section 4.2.</w:t>
      </w:r>
    </w:p>
    <w:p>
      <w:pPr>
        <w:spacing w:after="0" w:line="147"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9"/>
          <w:szCs w:val="19"/>
          <w:color w:val="auto"/>
        </w:rPr>
        <w:t>A Compensation Deferral Agreement that is not timely filed with respect to a service period or component of Compensation, or that is submitted by a Participant who Separates from Service prior to the latest date such agreement would become irrevocable under Section 409A, shall be considered null and void and shall not take effect with respect to such item of Compensation. The Committee may modify or revoke any Compensation Deferral Agreement prior to the date the election becomes irrevocable under the rules of Section 4.2.</w:t>
      </w:r>
    </w:p>
    <w:p>
      <w:pPr>
        <w:sectPr>
          <w:pgSz w:w="11900" w:h="16838" w:orient="portrait"/>
          <w:cols w:equalWidth="0" w:num="1">
            <w:col w:w="11400"/>
          </w:cols>
          <w:pgMar w:left="240" w:top="591" w:right="259" w:bottom="1440" w:gutter="0" w:footer="0" w:header="0"/>
        </w:sectPr>
      </w:pPr>
    </w:p>
    <w:bookmarkStart w:id="179" w:name="page180"/>
    <w:bookmarkEnd w:id="179"/>
    <w:p>
      <w:pPr>
        <w:ind w:left="1300" w:right="220" w:hanging="644"/>
        <w:spacing w:after="0" w:line="294"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9"/>
          <w:szCs w:val="19"/>
          <w:color w:val="auto"/>
        </w:rPr>
        <w:t>The Committee may permit different deferral amounts for each component of Compensation and may establish a minimum or maximum deferral amount for each such component. Unless otherwise specified by the Committee in the Compensation Deferral Agreement, Participants may defer up to fifty percent (50%) of their base salary, up to one hundred percent (100%) of the cash portion of their STIP bonus earned during a Plan Year, and up to one hundred percent (100%) of the cash portion of their Performance Share Awards that become earned and vested in accordance with the terms of the applicable Performance Share Award.</w:t>
      </w:r>
    </w:p>
    <w:p>
      <w:pPr>
        <w:spacing w:after="0" w:line="149" w:lineRule="exact"/>
        <w:rPr>
          <w:rFonts w:ascii="Arial" w:cs="Arial" w:eastAsia="Arial" w:hAnsi="Arial"/>
          <w:sz w:val="16"/>
          <w:szCs w:val="16"/>
          <w:color w:val="auto"/>
        </w:rPr>
      </w:pPr>
    </w:p>
    <w:p>
      <w:pPr>
        <w:ind w:left="1300" w:right="40" w:hanging="644"/>
        <w:spacing w:after="0" w:line="294"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9"/>
          <w:szCs w:val="19"/>
          <w:color w:val="auto"/>
        </w:rPr>
        <w:t>Deferrals of cash Compensation shall be calculated with respect to the gross cash Compensation payable to the Participant prior to any deductions or withholdings, but shall be reduced by the Committee as necessary so as not to exceed 100% of the cash Compensation of the Participant remaining after deduction of all required income and employment taxes, required employee benefit deductions, deferrals to 401(k) plans and other deductions required by law. Changes to payroll withholdings that affect the amount of Compensation being deferred to the Plan shall be allowed only to the extent permissible under Code Section 409A.</w:t>
      </w:r>
    </w:p>
    <w:p>
      <w:pPr>
        <w:spacing w:after="0" w:line="149"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color w:val="auto"/>
        </w:rPr>
        <w:t>The Participant shall specify on his or her Compensation Deferral Agreement the amount of Deferrals and whether to allocate Deferrals to a Separation Account or to one or more Specified Date Accounts.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Timing Requirements for Compensation Deferral Agreements.</w:t>
      </w:r>
    </w:p>
    <w:p>
      <w:pPr>
        <w:spacing w:after="0" w:line="233" w:lineRule="exact"/>
        <w:rPr>
          <w:sz w:val="20"/>
          <w:szCs w:val="20"/>
          <w:color w:val="auto"/>
        </w:rPr>
      </w:pPr>
    </w:p>
    <w:p>
      <w:pPr>
        <w:ind w:left="1300" w:hanging="644"/>
        <w:spacing w:after="0" w:line="303" w:lineRule="auto"/>
        <w:tabs>
          <w:tab w:leader="none" w:pos="1300" w:val="left"/>
        </w:tabs>
        <w:numPr>
          <w:ilvl w:val="0"/>
          <w:numId w:val="131"/>
        </w:numPr>
        <w:rPr>
          <w:rFonts w:ascii="Arial" w:cs="Arial" w:eastAsia="Arial" w:hAnsi="Arial"/>
          <w:sz w:val="16"/>
          <w:szCs w:val="16"/>
          <w:color w:val="auto"/>
        </w:rPr>
      </w:pPr>
      <w:r>
        <w:rPr>
          <w:rFonts w:ascii="Arial" w:cs="Arial" w:eastAsia="Arial" w:hAnsi="Arial"/>
          <w:sz w:val="19"/>
          <w:szCs w:val="19"/>
          <w:i w:val="1"/>
          <w:iCs w:val="1"/>
          <w:color w:val="auto"/>
        </w:rPr>
        <w:t xml:space="preserve">Initial Eligibility. </w:t>
      </w:r>
      <w:r>
        <w:rPr>
          <w:rFonts w:ascii="Arial" w:cs="Arial" w:eastAsia="Arial" w:hAnsi="Arial"/>
          <w:sz w:val="19"/>
          <w:szCs w:val="19"/>
          <w:color w:val="auto"/>
        </w:rPr>
        <w:t>The Committee may permit an Eligible Employee to defer Compensation earned in the first year</w:t>
      </w:r>
      <w:r>
        <w:rPr>
          <w:rFonts w:ascii="Arial" w:cs="Arial" w:eastAsia="Arial" w:hAnsi="Arial"/>
          <w:sz w:val="19"/>
          <w:szCs w:val="19"/>
          <w:i w:val="1"/>
          <w:iCs w:val="1"/>
          <w:color w:val="auto"/>
        </w:rPr>
        <w:t xml:space="preserve"> </w:t>
      </w:r>
      <w:r>
        <w:rPr>
          <w:rFonts w:ascii="Arial" w:cs="Arial" w:eastAsia="Arial" w:hAnsi="Arial"/>
          <w:sz w:val="19"/>
          <w:szCs w:val="19"/>
          <w:color w:val="auto"/>
        </w:rPr>
        <w:t>of eligibility for participation in the Plan and any other nonqualified deferred compensation plan or arrangement that would be aggregated with the Plan under Section 409A of the Code. The Compensation Deferral Agreement must be filed within 30 days after attaining Eligible Employee status and becomes irrevocable not later than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w:t>
      </w:r>
    </w:p>
    <w:p>
      <w:pPr>
        <w:spacing w:after="0" w:line="52" w:lineRule="exact"/>
        <w:rPr>
          <w:sz w:val="20"/>
          <w:szCs w:val="20"/>
          <w:color w:val="auto"/>
        </w:rPr>
      </w:pPr>
    </w:p>
    <w:p>
      <w:pPr>
        <w:ind w:left="1300" w:right="360" w:firstLine="648"/>
        <w:spacing w:after="0" w:line="263" w:lineRule="auto"/>
        <w:rPr>
          <w:sz w:val="20"/>
          <w:szCs w:val="20"/>
          <w:color w:val="auto"/>
        </w:rPr>
      </w:pPr>
      <w:r>
        <w:rPr>
          <w:rFonts w:ascii="Arial" w:cs="Arial" w:eastAsia="Arial" w:hAnsi="Arial"/>
          <w:sz w:val="22"/>
          <w:szCs w:val="22"/>
          <w:color w:val="auto"/>
        </w:rPr>
        <w:t>A Compensation Deferral Agreement filed under this paragraph applies to Compensation earned after the date that the Compensation Deferral Agreement becomes irrevocable.</w:t>
      </w:r>
    </w:p>
    <w:p>
      <w:pPr>
        <w:spacing w:after="0" w:line="175" w:lineRule="exact"/>
        <w:rPr>
          <w:sz w:val="20"/>
          <w:szCs w:val="20"/>
          <w:color w:val="auto"/>
        </w:rPr>
      </w:pPr>
    </w:p>
    <w:p>
      <w:pPr>
        <w:ind w:left="1300" w:right="40" w:hanging="644"/>
        <w:spacing w:after="0" w:line="261" w:lineRule="auto"/>
        <w:tabs>
          <w:tab w:leader="none" w:pos="1300" w:val="left"/>
        </w:tabs>
        <w:numPr>
          <w:ilvl w:val="0"/>
          <w:numId w:val="132"/>
        </w:numPr>
        <w:rPr>
          <w:rFonts w:ascii="Arial" w:cs="Arial" w:eastAsia="Arial" w:hAnsi="Arial"/>
          <w:sz w:val="17"/>
          <w:szCs w:val="17"/>
          <w:color w:val="auto"/>
        </w:rPr>
      </w:pPr>
      <w:r>
        <w:rPr>
          <w:rFonts w:ascii="Arial" w:cs="Arial" w:eastAsia="Arial" w:hAnsi="Arial"/>
          <w:sz w:val="21"/>
          <w:szCs w:val="21"/>
          <w:i w:val="1"/>
          <w:iCs w:val="1"/>
          <w:color w:val="auto"/>
        </w:rPr>
        <w:t xml:space="preserve">Prior Year Election. </w:t>
      </w:r>
      <w:r>
        <w:rPr>
          <w:rFonts w:ascii="Arial" w:cs="Arial" w:eastAsia="Arial" w:hAnsi="Arial"/>
          <w:sz w:val="21"/>
          <w:szCs w:val="21"/>
          <w:color w:val="auto"/>
        </w:rPr>
        <w:t>Except as otherwise provided in this Section 4.2, the Committee may permit an Eligible</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to defer Compensation, or make a payment election with respect to Compensation, by filing a Compensation Deferral Agreement during the enrollment period established by the Committee and ending no later than December 31 of the year prior to the year in which the Compensation to be deferred is earned. A Compensation Deferral Agreement filed under this paragraph shall become irrevocable with respect to such Compensation not later than the December 31 filing deadline.</w:t>
      </w:r>
    </w:p>
    <w:p>
      <w:pPr>
        <w:spacing w:after="0" w:line="180" w:lineRule="exact"/>
        <w:rPr>
          <w:rFonts w:ascii="Arial" w:cs="Arial" w:eastAsia="Arial" w:hAnsi="Arial"/>
          <w:sz w:val="17"/>
          <w:szCs w:val="17"/>
          <w:color w:val="auto"/>
        </w:rPr>
      </w:pPr>
    </w:p>
    <w:p>
      <w:pPr>
        <w:ind w:left="1300" w:right="60" w:hanging="644"/>
        <w:spacing w:after="0" w:line="312" w:lineRule="auto"/>
        <w:tabs>
          <w:tab w:leader="none" w:pos="1300" w:val="left"/>
        </w:tabs>
        <w:numPr>
          <w:ilvl w:val="0"/>
          <w:numId w:val="132"/>
        </w:numPr>
        <w:rPr>
          <w:rFonts w:ascii="Arial" w:cs="Arial" w:eastAsia="Arial" w:hAnsi="Arial"/>
          <w:sz w:val="16"/>
          <w:szCs w:val="16"/>
          <w:color w:val="auto"/>
        </w:rPr>
      </w:pPr>
      <w:r>
        <w:rPr>
          <w:rFonts w:ascii="Arial" w:cs="Arial" w:eastAsia="Arial" w:hAnsi="Arial"/>
          <w:sz w:val="19"/>
          <w:szCs w:val="19"/>
          <w:i w:val="1"/>
          <w:iCs w:val="1"/>
          <w:color w:val="auto"/>
        </w:rPr>
        <w:t xml:space="preserve">Performance-Based Compensation. </w:t>
      </w:r>
      <w:r>
        <w:rPr>
          <w:rFonts w:ascii="Arial" w:cs="Arial" w:eastAsia="Arial" w:hAnsi="Arial"/>
          <w:sz w:val="19"/>
          <w:szCs w:val="19"/>
          <w:color w:val="auto"/>
        </w:rPr>
        <w:t>The Committee may permit an Eligible Employee to defer Compensation which</w:t>
      </w:r>
      <w:r>
        <w:rPr>
          <w:rFonts w:ascii="Arial" w:cs="Arial" w:eastAsia="Arial" w:hAnsi="Arial"/>
          <w:sz w:val="19"/>
          <w:szCs w:val="19"/>
          <w:i w:val="1"/>
          <w:iCs w:val="1"/>
          <w:color w:val="auto"/>
        </w:rPr>
        <w:t xml:space="preserve"> </w:t>
      </w:r>
      <w:r>
        <w:rPr>
          <w:rFonts w:ascii="Arial" w:cs="Arial" w:eastAsia="Arial" w:hAnsi="Arial"/>
          <w:sz w:val="19"/>
          <w:szCs w:val="19"/>
          <w:color w:val="auto"/>
        </w:rPr>
        <w:t>qualifies as Performance-Based Compensation by filing a Compensation Deferral Agreement no later than the date that is six months before the end of the applicable performance period, provided that:</w:t>
      </w:r>
    </w:p>
    <w:p>
      <w:pPr>
        <w:spacing w:after="0" w:line="133" w:lineRule="exact"/>
        <w:rPr>
          <w:rFonts w:ascii="Arial" w:cs="Arial" w:eastAsia="Arial" w:hAnsi="Arial"/>
          <w:sz w:val="16"/>
          <w:szCs w:val="16"/>
          <w:color w:val="auto"/>
        </w:rPr>
      </w:pPr>
    </w:p>
    <w:p>
      <w:pPr>
        <w:jc w:val="both"/>
        <w:ind w:left="1960" w:right="220" w:hanging="655"/>
        <w:spacing w:after="0" w:line="253" w:lineRule="auto"/>
        <w:tabs>
          <w:tab w:leader="none" w:pos="1960" w:val="left"/>
        </w:tabs>
        <w:numPr>
          <w:ilvl w:val="1"/>
          <w:numId w:val="132"/>
        </w:numPr>
        <w:rPr>
          <w:rFonts w:ascii="Arial" w:cs="Arial" w:eastAsia="Arial" w:hAnsi="Arial"/>
          <w:sz w:val="18"/>
          <w:szCs w:val="18"/>
          <w:color w:val="auto"/>
        </w:rPr>
      </w:pPr>
      <w:r>
        <w:rPr>
          <w:rFonts w:ascii="Arial" w:cs="Arial" w:eastAsia="Arial" w:hAnsi="Arial"/>
          <w:sz w:val="22"/>
          <w:szCs w:val="22"/>
          <w:color w:val="auto"/>
        </w:rPr>
        <w:t>the Participant performs services continuously from the later of the beginning of the performance period or the date the performance criteria are established through the date the Compensation Deferral Agreement is submitted; and</w:t>
      </w:r>
    </w:p>
    <w:p>
      <w:pPr>
        <w:sectPr>
          <w:pgSz w:w="11900" w:h="16838" w:orient="portrait"/>
          <w:cols w:equalWidth="0" w:num="1">
            <w:col w:w="11420"/>
          </w:cols>
          <w:pgMar w:left="240" w:top="591" w:right="239" w:bottom="1440" w:gutter="0" w:footer="0" w:header="0"/>
        </w:sectPr>
      </w:pPr>
    </w:p>
    <w:bookmarkStart w:id="180" w:name="page181"/>
    <w:bookmarkEnd w:id="180"/>
    <w:p>
      <w:pPr>
        <w:ind w:left="1304" w:hanging="655"/>
        <w:spacing w:after="0"/>
        <w:tabs>
          <w:tab w:leader="none" w:pos="13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Compensation is not readily ascertainable as of the date the Compensation Deferral Agreement is filed.</w:t>
      </w:r>
    </w:p>
    <w:p>
      <w:pPr>
        <w:spacing w:after="0" w:line="254" w:lineRule="exact"/>
        <w:rPr>
          <w:sz w:val="20"/>
          <w:szCs w:val="20"/>
          <w:color w:val="auto"/>
        </w:rPr>
      </w:pPr>
    </w:p>
    <w:p>
      <w:pPr>
        <w:ind w:left="644"/>
        <w:spacing w:after="0" w:line="302" w:lineRule="auto"/>
        <w:rPr>
          <w:sz w:val="20"/>
          <w:szCs w:val="20"/>
          <w:color w:val="auto"/>
        </w:rPr>
      </w:pPr>
      <w:r>
        <w:rPr>
          <w:rFonts w:ascii="Arial" w:cs="Arial" w:eastAsia="Arial" w:hAnsi="Arial"/>
          <w:sz w:val="19"/>
          <w:szCs w:val="19"/>
          <w:color w:val="auto"/>
        </w:rPr>
        <w:t>Any election to defer Performance-Based Compensation that is made in accordance with this paragraph and that becomes payable as a result of the Participant’s death or disability (as defined in Treas. Reg. Section 1.409A-1(e)) or upon a change in control (as defined in Treas. Reg. Section 1.409A-3(i)(5)) prior to the satisfaction of the performance criteria, will be void unless it would be considered timely under another rule described in this Section.</w:t>
      </w:r>
    </w:p>
    <w:p>
      <w:pPr>
        <w:spacing w:after="0" w:line="143" w:lineRule="exact"/>
        <w:rPr>
          <w:sz w:val="20"/>
          <w:szCs w:val="20"/>
          <w:color w:val="auto"/>
        </w:rPr>
      </w:pPr>
    </w:p>
    <w:p>
      <w:pPr>
        <w:ind w:left="644" w:right="20" w:hanging="644"/>
        <w:spacing w:after="0" w:line="261" w:lineRule="auto"/>
        <w:tabs>
          <w:tab w:leader="none" w:pos="644" w:val="left"/>
        </w:tabs>
        <w:numPr>
          <w:ilvl w:val="0"/>
          <w:numId w:val="134"/>
        </w:numPr>
        <w:rPr>
          <w:rFonts w:ascii="Arial" w:cs="Arial" w:eastAsia="Arial" w:hAnsi="Arial"/>
          <w:sz w:val="17"/>
          <w:szCs w:val="17"/>
          <w:color w:val="auto"/>
        </w:rPr>
      </w:pPr>
      <w:r>
        <w:rPr>
          <w:rFonts w:ascii="Arial" w:cs="Arial" w:eastAsia="Arial" w:hAnsi="Arial"/>
          <w:sz w:val="21"/>
          <w:szCs w:val="21"/>
          <w:i w:val="1"/>
          <w:iCs w:val="1"/>
          <w:color w:val="auto"/>
        </w:rPr>
        <w:t xml:space="preserve">Short-Term Deferrals. </w:t>
      </w:r>
      <w:r>
        <w:rPr>
          <w:rFonts w:ascii="Arial" w:cs="Arial" w:eastAsia="Arial" w:hAnsi="Arial"/>
          <w:sz w:val="21"/>
          <w:szCs w:val="21"/>
          <w:color w:val="auto"/>
        </w:rPr>
        <w:t>The Committee may permit Compensation that meets the definition of a “short-term deferral”</w:t>
      </w:r>
      <w:r>
        <w:rPr>
          <w:rFonts w:ascii="Arial" w:cs="Arial" w:eastAsia="Arial" w:hAnsi="Arial"/>
          <w:sz w:val="21"/>
          <w:szCs w:val="21"/>
          <w:i w:val="1"/>
          <w:iCs w:val="1"/>
          <w:color w:val="auto"/>
        </w:rPr>
        <w:t xml:space="preserve"> </w:t>
      </w:r>
      <w:r>
        <w:rPr>
          <w:rFonts w:ascii="Arial" w:cs="Arial" w:eastAsia="Arial" w:hAnsi="Arial"/>
          <w:sz w:val="21"/>
          <w:szCs w:val="21"/>
          <w:color w:val="auto"/>
        </w:rPr>
        <w:t>described in Treas. Reg. Section 1.409A-1(b)(4) to be deferred in accordance with the rules of Section 6.9, applied as if the date the Substantial Risk of Forfeiture lapses is the date payments were originally scheduled to commence, provided, however, that the provisions of Section 6.9(b) shall not apply to payments attributable to a Change in Control. A Compensation Deferral Agreement submitted in accordance with this paragraph becomes irrevocable on the latest date it could be submitted under Section 6.9.</w:t>
      </w:r>
    </w:p>
    <w:p>
      <w:pPr>
        <w:spacing w:after="0" w:line="180" w:lineRule="exact"/>
        <w:rPr>
          <w:rFonts w:ascii="Arial" w:cs="Arial" w:eastAsia="Arial" w:hAnsi="Arial"/>
          <w:sz w:val="17"/>
          <w:szCs w:val="17"/>
          <w:color w:val="auto"/>
        </w:rPr>
      </w:pPr>
    </w:p>
    <w:p>
      <w:pPr>
        <w:ind w:left="644" w:right="40" w:hanging="644"/>
        <w:spacing w:after="0" w:line="257" w:lineRule="auto"/>
        <w:tabs>
          <w:tab w:leader="none" w:pos="644" w:val="left"/>
        </w:tabs>
        <w:numPr>
          <w:ilvl w:val="0"/>
          <w:numId w:val="134"/>
        </w:numPr>
        <w:rPr>
          <w:rFonts w:ascii="Arial" w:cs="Arial" w:eastAsia="Arial" w:hAnsi="Arial"/>
          <w:sz w:val="17"/>
          <w:szCs w:val="17"/>
          <w:color w:val="auto"/>
        </w:rPr>
      </w:pPr>
      <w:r>
        <w:rPr>
          <w:rFonts w:ascii="Arial" w:cs="Arial" w:eastAsia="Arial" w:hAnsi="Arial"/>
          <w:sz w:val="20"/>
          <w:szCs w:val="20"/>
          <w:i w:val="1"/>
          <w:iCs w:val="1"/>
          <w:color w:val="auto"/>
        </w:rPr>
        <w:t xml:space="preserve">Certain Forfeitable Rights. </w:t>
      </w:r>
      <w:r>
        <w:rPr>
          <w:rFonts w:ascii="Arial" w:cs="Arial" w:eastAsia="Arial" w:hAnsi="Arial"/>
          <w:sz w:val="20"/>
          <w:szCs w:val="20"/>
          <w:color w:val="auto"/>
        </w:rPr>
        <w:t>With respect to a legally binding right to a payment in a subsequent year that is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to a forfeiture condition requiring the Participant’s continued services for a period of at least 12 months from the date the Participant obtains the legally binding right, the Committee may permit an Eligible Employee to defer such Compensation, or make a payment election with respect to such Compensation, by filing a Compensation Deferral Agreement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legally binding right to the Compensation accrues, provided that the Compensation Deferral Agreement is submitted at least 12 months in advance of the earliest date on which the forfeiture condition could lapse. The Compensation Deferral Agreement described in this paragraph becomes irrevocable not later than such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If the forfeiture condition applicable to the payment lapses before the end of such 12-month period as a result of the Participant’s death or disability (as defined in Treas. Reg. Section 1.409A-3(i)(4)) or upon a Change in Control, the Compensation Deferral Agreement will be void unless it would be considered timely under another rule described in this Section.</w:t>
      </w:r>
    </w:p>
    <w:p>
      <w:pPr>
        <w:spacing w:after="0" w:line="181" w:lineRule="exact"/>
        <w:rPr>
          <w:rFonts w:ascii="Arial" w:cs="Arial" w:eastAsia="Arial" w:hAnsi="Arial"/>
          <w:sz w:val="17"/>
          <w:szCs w:val="17"/>
          <w:color w:val="auto"/>
        </w:rPr>
      </w:pPr>
    </w:p>
    <w:p>
      <w:pPr>
        <w:ind w:left="644" w:right="160" w:hanging="644"/>
        <w:spacing w:after="0" w:line="294" w:lineRule="auto"/>
        <w:tabs>
          <w:tab w:leader="none" w:pos="644" w:val="left"/>
        </w:tabs>
        <w:numPr>
          <w:ilvl w:val="0"/>
          <w:numId w:val="134"/>
        </w:numPr>
        <w:rPr>
          <w:rFonts w:ascii="Arial" w:cs="Arial" w:eastAsia="Arial" w:hAnsi="Arial"/>
          <w:sz w:val="16"/>
          <w:szCs w:val="16"/>
          <w:color w:val="auto"/>
        </w:rPr>
      </w:pPr>
      <w:r>
        <w:rPr>
          <w:rFonts w:ascii="Arial" w:cs="Arial" w:eastAsia="Arial" w:hAnsi="Arial"/>
          <w:sz w:val="19"/>
          <w:szCs w:val="19"/>
          <w:i w:val="1"/>
          <w:iCs w:val="1"/>
          <w:color w:val="auto"/>
        </w:rPr>
        <w:t xml:space="preserve">“Evergreen” Deferral Elections. </w:t>
      </w:r>
      <w:r>
        <w:rPr>
          <w:rFonts w:ascii="Arial" w:cs="Arial" w:eastAsia="Arial" w:hAnsi="Arial"/>
          <w:sz w:val="19"/>
          <w:szCs w:val="19"/>
          <w:color w:val="auto"/>
        </w:rPr>
        <w:t>The Committee, in its discretion, may provide, if so specified in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Deferral Agreement, that Compensation Deferral Agreements will continue in effect for subsequent years or performance periods by communicating that intention to Participants in writing prior to the date Compensation Deferral Agreements become irrevocable under this Section 4.2. An evergreen Compensation Deferral Agreement may be revoked or modified in writing prospectively by the Participant or the Committee with respect to Compensation for which such election remains revocable under this Section 4.2.</w:t>
      </w:r>
    </w:p>
    <w:p>
      <w:pPr>
        <w:spacing w:after="0" w:line="149" w:lineRule="exact"/>
        <w:rPr>
          <w:rFonts w:ascii="Arial" w:cs="Arial" w:eastAsia="Arial" w:hAnsi="Arial"/>
          <w:sz w:val="16"/>
          <w:szCs w:val="16"/>
          <w:color w:val="auto"/>
        </w:rPr>
      </w:pPr>
    </w:p>
    <w:p>
      <w:pPr>
        <w:ind w:left="644" w:right="60"/>
        <w:spacing w:after="0" w:line="253" w:lineRule="auto"/>
        <w:rPr>
          <w:rFonts w:ascii="Arial" w:cs="Arial" w:eastAsia="Arial" w:hAnsi="Arial"/>
          <w:sz w:val="16"/>
          <w:szCs w:val="16"/>
          <w:color w:val="auto"/>
        </w:rPr>
      </w:pPr>
      <w:r>
        <w:rPr>
          <w:rFonts w:ascii="Arial" w:cs="Arial" w:eastAsia="Arial" w:hAnsi="Arial"/>
          <w:sz w:val="22"/>
          <w:szCs w:val="22"/>
          <w:color w:val="auto"/>
        </w:rPr>
        <w:t>A Compensation Deferral Agreement is deemed to be revoked for subsequent years if the Participant is not an Eligible Employee as of the last permissible date for making elections under this Section 4.2 or if the Compensation Deferral Agreement is cancelled in accordance with Section 4.6.</w:t>
      </w:r>
    </w:p>
    <w:p>
      <w:pPr>
        <w:sectPr>
          <w:pgSz w:w="11900" w:h="16838" w:orient="portrait"/>
          <w:cols w:equalWidth="0" w:num="1">
            <w:col w:w="10744"/>
          </w:cols>
          <w:pgMar w:left="896" w:top="807" w:right="259" w:bottom="1440" w:gutter="0" w:footer="0" w:header="0"/>
        </w:sectPr>
      </w:pPr>
    </w:p>
    <w:bookmarkStart w:id="181" w:name="page182"/>
    <w:bookmarkEnd w:id="181"/>
    <w:p>
      <w:pPr>
        <w:ind w:left="660" w:hanging="647"/>
        <w:spacing w:after="0" w:line="290"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 xml:space="preserve">Allocation of Deferrals. </w:t>
      </w:r>
      <w:r>
        <w:rPr>
          <w:rFonts w:ascii="Arial" w:cs="Arial" w:eastAsia="Arial" w:hAnsi="Arial"/>
          <w:sz w:val="19"/>
          <w:szCs w:val="19"/>
          <w:color w:val="auto"/>
        </w:rPr>
        <w:t>A Compensation Deferral Agreement may allocate Deferrals to one or more Flex Accounts, each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which shall be either a Separation Account or a Specified Date Account. The Committee may, in its discretion, establish in a written communication during enrollment a minimum deferral period for the establishment of a Specified Date Account (for example, the fourth Plan Year following the year Compensation is first allocated to such Accounts). In the event a Participant’s Compensation Deferral Agreement allocates a component of Compensation to a Specified Date Account that commences payment in the year such Compensation is earned, the Compensation Deferral Agreement shall be deemed to allocate the Deferral to the Participant’s Specified Date Account having the next earliest payment year. If the Participant has no other Specified Date Accounts, the Committee will allocate the Deferral to the Retirement Account.</w:t>
      </w:r>
    </w:p>
    <w:p>
      <w:pPr>
        <w:spacing w:after="0" w:line="157" w:lineRule="exact"/>
        <w:rPr>
          <w:sz w:val="20"/>
          <w:szCs w:val="20"/>
          <w:color w:val="auto"/>
        </w:rPr>
      </w:pPr>
    </w:p>
    <w:p>
      <w:pPr>
        <w:ind w:left="660" w:right="300" w:hanging="647"/>
        <w:spacing w:after="0" w:line="343"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 xml:space="preserve">Deductions from Pay. </w:t>
      </w:r>
      <w:r>
        <w:rPr>
          <w:rFonts w:ascii="Arial" w:cs="Arial" w:eastAsia="Arial" w:hAnsi="Arial"/>
          <w:sz w:val="19"/>
          <w:szCs w:val="19"/>
          <w:color w:val="auto"/>
        </w:rPr>
        <w:t>The Committee has the authority to determine the payroll practices under which any component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Compensation subject to a Compensation Deferral Agreement will be deducted from a Participant’s Compensation.</w:t>
      </w:r>
    </w:p>
    <w:p>
      <w:pPr>
        <w:spacing w:after="0" w:line="105" w:lineRule="exact"/>
        <w:rPr>
          <w:sz w:val="20"/>
          <w:szCs w:val="20"/>
          <w:color w:val="auto"/>
        </w:rPr>
      </w:pPr>
    </w:p>
    <w:p>
      <w:pPr>
        <w:ind w:left="660" w:right="620" w:hanging="647"/>
        <w:spacing w:after="0" w:line="287" w:lineRule="auto"/>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u w:val="single" w:color="auto"/>
          <w:color w:val="auto"/>
        </w:rPr>
        <w:t xml:space="preserve">Vesting. </w:t>
      </w:r>
      <w:r>
        <w:rPr>
          <w:rFonts w:ascii="Arial" w:cs="Arial" w:eastAsia="Arial" w:hAnsi="Arial"/>
          <w:sz w:val="21"/>
          <w:szCs w:val="21"/>
          <w:color w:val="auto"/>
        </w:rPr>
        <w:t>Participant Deferrals of cash Compensation shall be 100% vested at all times. Deferrals of vesting awards of</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Compensation shall become vested in accordance with the provisions of the underlying award.</w:t>
      </w:r>
    </w:p>
    <w:p>
      <w:pPr>
        <w:spacing w:after="0" w:line="152" w:lineRule="exact"/>
        <w:rPr>
          <w:sz w:val="20"/>
          <w:szCs w:val="20"/>
          <w:color w:val="auto"/>
        </w:rPr>
      </w:pPr>
    </w:p>
    <w:p>
      <w:pPr>
        <w:ind w:left="660" w:right="40" w:hanging="647"/>
        <w:spacing w:after="0" w:line="247" w:lineRule="auto"/>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u w:val="single" w:color="auto"/>
          <w:color w:val="auto"/>
        </w:rPr>
        <w:t xml:space="preserve">Cancellation of Deferrals. </w:t>
      </w:r>
      <w:r>
        <w:rPr>
          <w:rFonts w:ascii="Arial" w:cs="Arial" w:eastAsia="Arial" w:hAnsi="Arial"/>
          <w:sz w:val="21"/>
          <w:szCs w:val="21"/>
          <w:color w:val="auto"/>
        </w:rPr>
        <w:t>The Committee may cancel a Participant’s Deferrals: (i) for the balance of the Plan Year in which</w:t>
      </w:r>
      <w:r>
        <w:rPr>
          <w:rFonts w:ascii="Arial" w:cs="Arial" w:eastAsia="Arial" w:hAnsi="Arial"/>
          <w:sz w:val="21"/>
          <w:szCs w:val="21"/>
          <w:u w:val="single" w:color="auto"/>
          <w:color w:val="auto"/>
        </w:rPr>
        <w:t xml:space="preserve"> </w:t>
      </w:r>
      <w:r>
        <w:rPr>
          <w:rFonts w:ascii="Arial" w:cs="Arial" w:eastAsia="Arial" w:hAnsi="Arial"/>
          <w:sz w:val="21"/>
          <w:szCs w:val="21"/>
          <w:color w:val="auto"/>
        </w:rPr>
        <w:t>an Unforeseeable Emergency occurs, and (ii) during periods in which the Participant incurs a “disability,” meaning that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calendar year or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following the date the Participant incurs the disability (as defined in this Section 4.6).</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Company Contributions</w:t>
      </w:r>
    </w:p>
    <w:p>
      <w:pPr>
        <w:spacing w:after="0" w:line="95" w:lineRule="exact"/>
        <w:rPr>
          <w:sz w:val="20"/>
          <w:szCs w:val="20"/>
          <w:color w:val="auto"/>
        </w:rPr>
      </w:pPr>
    </w:p>
    <w:p>
      <w:pPr>
        <w:ind w:left="660" w:right="260" w:hanging="647"/>
        <w:spacing w:after="0" w:line="253"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u w:val="single" w:color="auto"/>
          <w:color w:val="auto"/>
        </w:rPr>
        <w:t xml:space="preserve">Company Contributions. </w:t>
      </w:r>
      <w:r>
        <w:rPr>
          <w:rFonts w:ascii="Arial" w:cs="Arial" w:eastAsia="Arial" w:hAnsi="Arial"/>
          <w:sz w:val="22"/>
          <w:szCs w:val="22"/>
          <w:color w:val="auto"/>
        </w:rPr>
        <w:t>Company Contributions shall be made to a Participant’s Retirement Account in the form of RSP</w:t>
      </w:r>
      <w:r>
        <w:rPr>
          <w:rFonts w:ascii="Arial" w:cs="Arial" w:eastAsia="Arial" w:hAnsi="Arial"/>
          <w:sz w:val="22"/>
          <w:szCs w:val="22"/>
          <w:u w:val="single" w:color="auto"/>
          <w:color w:val="auto"/>
        </w:rPr>
        <w:t xml:space="preserve"> </w:t>
      </w:r>
      <w:r>
        <w:rPr>
          <w:rFonts w:ascii="Arial" w:cs="Arial" w:eastAsia="Arial" w:hAnsi="Arial"/>
          <w:sz w:val="22"/>
          <w:szCs w:val="22"/>
          <w:color w:val="auto"/>
        </w:rPr>
        <w:t>Supplemental Contributions, Supplemental Target Contributions, Supplemental Retirement Contributions, and/or Supplemental Matching Contributions, as applicable, in accordance with this Article V.</w:t>
      </w:r>
    </w:p>
    <w:p>
      <w:pPr>
        <w:spacing w:after="0" w:line="186" w:lineRule="exact"/>
        <w:rPr>
          <w:sz w:val="20"/>
          <w:szCs w:val="20"/>
          <w:color w:val="auto"/>
        </w:rPr>
      </w:pPr>
    </w:p>
    <w:p>
      <w:pPr>
        <w:jc w:val="both"/>
        <w:ind w:left="1300" w:right="60" w:hanging="644"/>
        <w:spacing w:after="0" w:line="312" w:lineRule="auto"/>
        <w:tabs>
          <w:tab w:leader="none" w:pos="1300" w:val="left"/>
        </w:tabs>
        <w:numPr>
          <w:ilvl w:val="0"/>
          <w:numId w:val="135"/>
        </w:numPr>
        <w:rPr>
          <w:rFonts w:ascii="Arial" w:cs="Arial" w:eastAsia="Arial" w:hAnsi="Arial"/>
          <w:sz w:val="19"/>
          <w:szCs w:val="19"/>
          <w:color w:val="auto"/>
        </w:rPr>
      </w:pPr>
      <w:r>
        <w:rPr>
          <w:rFonts w:ascii="Arial" w:cs="Arial" w:eastAsia="Arial" w:hAnsi="Arial"/>
          <w:sz w:val="19"/>
          <w:szCs w:val="19"/>
          <w:i w:val="1"/>
          <w:iCs w:val="1"/>
          <w:color w:val="auto"/>
        </w:rPr>
        <w:t>Supplemental Matching Contributions</w:t>
      </w:r>
      <w:r>
        <w:rPr>
          <w:rFonts w:ascii="Arial" w:cs="Arial" w:eastAsia="Arial" w:hAnsi="Arial"/>
          <w:sz w:val="19"/>
          <w:szCs w:val="19"/>
          <w:color w:val="auto"/>
        </w:rPr>
        <w:t>. As of the last day of each pay period in which a Group 2 Participant receives</w:t>
      </w:r>
      <w:r>
        <w:rPr>
          <w:rFonts w:ascii="Arial" w:cs="Arial" w:eastAsia="Arial" w:hAnsi="Arial"/>
          <w:sz w:val="19"/>
          <w:szCs w:val="19"/>
          <w:i w:val="1"/>
          <w:iCs w:val="1"/>
          <w:color w:val="auto"/>
        </w:rPr>
        <w:t xml:space="preserve"> </w:t>
      </w:r>
      <w:r>
        <w:rPr>
          <w:rFonts w:ascii="Arial" w:cs="Arial" w:eastAsia="Arial" w:hAnsi="Arial"/>
          <w:sz w:val="19"/>
          <w:szCs w:val="19"/>
          <w:color w:val="auto"/>
        </w:rPr>
        <w:t>Excess Compensation, the Company shall credit to the Group 2 Participant’s Retirement Account the amount of the Supplemental Matching Contributions determined in accordance with the terms of the Plan.</w:t>
      </w:r>
    </w:p>
    <w:p>
      <w:pPr>
        <w:spacing w:after="0" w:line="133" w:lineRule="exact"/>
        <w:rPr>
          <w:rFonts w:ascii="Arial" w:cs="Arial" w:eastAsia="Arial" w:hAnsi="Arial"/>
          <w:sz w:val="19"/>
          <w:szCs w:val="19"/>
          <w:color w:val="auto"/>
        </w:rPr>
      </w:pPr>
    </w:p>
    <w:p>
      <w:pPr>
        <w:ind w:left="1300" w:right="140" w:hanging="644"/>
        <w:spacing w:after="0" w:line="263" w:lineRule="auto"/>
        <w:tabs>
          <w:tab w:leader="none" w:pos="1300" w:val="left"/>
        </w:tabs>
        <w:numPr>
          <w:ilvl w:val="0"/>
          <w:numId w:val="135"/>
        </w:numPr>
        <w:rPr>
          <w:rFonts w:ascii="Arial" w:cs="Arial" w:eastAsia="Arial" w:hAnsi="Arial"/>
          <w:sz w:val="21"/>
          <w:szCs w:val="21"/>
          <w:color w:val="auto"/>
        </w:rPr>
      </w:pPr>
      <w:r>
        <w:rPr>
          <w:rFonts w:ascii="Arial" w:cs="Arial" w:eastAsia="Arial" w:hAnsi="Arial"/>
          <w:sz w:val="21"/>
          <w:szCs w:val="21"/>
          <w:i w:val="1"/>
          <w:iCs w:val="1"/>
          <w:color w:val="auto"/>
        </w:rPr>
        <w:t xml:space="preserve">Supplemental Target Contributions. </w:t>
      </w:r>
      <w:r>
        <w:rPr>
          <w:rFonts w:ascii="Arial" w:cs="Arial" w:eastAsia="Arial" w:hAnsi="Arial"/>
          <w:sz w:val="21"/>
          <w:szCs w:val="21"/>
          <w:color w:val="auto"/>
        </w:rPr>
        <w:t>As of the last day of each Plan Year, the Company shall credit to each Group 1</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Participant’s Retirement Account the amount of the Supplemental Target Contribution determined in accordance with the terms of the Plan. Notwithstanding the foregoing, the Board retains discretion to determine which Participants are Group 1 Participants and the amount, if any, of Supplemental Target Contributions to be made with respect to individuals who become Group 1 Participants.</w:t>
      </w:r>
    </w:p>
    <w:p>
      <w:pPr>
        <w:spacing w:after="0" w:line="175" w:lineRule="exact"/>
        <w:rPr>
          <w:rFonts w:ascii="Arial" w:cs="Arial" w:eastAsia="Arial" w:hAnsi="Arial"/>
          <w:sz w:val="21"/>
          <w:szCs w:val="21"/>
          <w:color w:val="auto"/>
        </w:rPr>
      </w:pPr>
    </w:p>
    <w:p>
      <w:pPr>
        <w:ind w:left="1300" w:right="700" w:hanging="644"/>
        <w:spacing w:after="0" w:line="263" w:lineRule="auto"/>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Supplemental Retirement Contributions</w:t>
      </w:r>
      <w:r>
        <w:rPr>
          <w:rFonts w:ascii="Arial" w:cs="Arial" w:eastAsia="Arial" w:hAnsi="Arial"/>
          <w:sz w:val="22"/>
          <w:szCs w:val="22"/>
          <w:color w:val="auto"/>
        </w:rPr>
        <w:t>. As of the last day of each pay period in which a Group 3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receives Excess Compensation, the Company shall credit to the Group</w:t>
      </w:r>
    </w:p>
    <w:p>
      <w:pPr>
        <w:sectPr>
          <w:pgSz w:w="11900" w:h="16838" w:orient="portrait"/>
          <w:cols w:equalWidth="0" w:num="1">
            <w:col w:w="11420"/>
          </w:cols>
          <w:pgMar w:left="240" w:top="591" w:right="239" w:bottom="1440" w:gutter="0" w:footer="0" w:header="0"/>
        </w:sectPr>
      </w:pPr>
    </w:p>
    <w:bookmarkStart w:id="182" w:name="page183"/>
    <w:bookmarkEnd w:id="182"/>
    <w:p>
      <w:pPr>
        <w:ind w:left="1300" w:right="20"/>
        <w:spacing w:after="0" w:line="263" w:lineRule="auto"/>
        <w:rPr>
          <w:sz w:val="20"/>
          <w:szCs w:val="20"/>
          <w:color w:val="auto"/>
        </w:rPr>
      </w:pPr>
      <w:r>
        <w:rPr>
          <w:rFonts w:ascii="Arial" w:cs="Arial" w:eastAsia="Arial" w:hAnsi="Arial"/>
          <w:sz w:val="22"/>
          <w:szCs w:val="22"/>
          <w:color w:val="auto"/>
        </w:rPr>
        <w:t>3 Participant’s Retirement Account the amount of Supplemental Retirement Contributions determined in accordance with the terms of the Plan.</w:t>
      </w:r>
    </w:p>
    <w:p>
      <w:pPr>
        <w:spacing w:after="0" w:line="175" w:lineRule="exact"/>
        <w:rPr>
          <w:sz w:val="20"/>
          <w:szCs w:val="20"/>
          <w:color w:val="auto"/>
        </w:rPr>
      </w:pPr>
    </w:p>
    <w:p>
      <w:pPr>
        <w:ind w:left="1300" w:right="120" w:hanging="644"/>
        <w:spacing w:after="0" w:line="253" w:lineRule="auto"/>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RSP Supplemental Contributions</w:t>
      </w:r>
      <w:r>
        <w:rPr>
          <w:rFonts w:ascii="Arial" w:cs="Arial" w:eastAsia="Arial" w:hAnsi="Arial"/>
          <w:sz w:val="22"/>
          <w:szCs w:val="22"/>
          <w:color w:val="auto"/>
        </w:rPr>
        <w:t>. After the end of each Plan Year, the Company shall determine the amount, if any,</w:t>
      </w:r>
      <w:r>
        <w:rPr>
          <w:rFonts w:ascii="Arial" w:cs="Arial" w:eastAsia="Arial" w:hAnsi="Arial"/>
          <w:sz w:val="22"/>
          <w:szCs w:val="22"/>
          <w:i w:val="1"/>
          <w:iCs w:val="1"/>
          <w:color w:val="auto"/>
        </w:rPr>
        <w:t xml:space="preserve"> </w:t>
      </w:r>
      <w:r>
        <w:rPr>
          <w:rFonts w:ascii="Arial" w:cs="Arial" w:eastAsia="Arial" w:hAnsi="Arial"/>
          <w:sz w:val="22"/>
          <w:szCs w:val="22"/>
          <w:color w:val="auto"/>
        </w:rPr>
        <w:t>of RSP Supplemental Contributions to which a Participant is entitled and shall credit such amount to the Participant’s Retirement Account as of the last day of such Plan Year.</w:t>
      </w:r>
    </w:p>
    <w:p>
      <w:pPr>
        <w:spacing w:after="0" w:line="186" w:lineRule="exact"/>
        <w:rPr>
          <w:sz w:val="20"/>
          <w:szCs w:val="20"/>
          <w:color w:val="auto"/>
        </w:rPr>
      </w:pPr>
    </w:p>
    <w:p>
      <w:pPr>
        <w:ind w:left="660" w:right="840" w:hanging="647"/>
        <w:spacing w:after="0" w:line="263"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u w:val="single" w:color="auto"/>
          <w:color w:val="auto"/>
        </w:rPr>
        <w:t xml:space="preserve">Vesting. </w:t>
      </w:r>
      <w:r>
        <w:rPr>
          <w:rFonts w:ascii="Arial" w:cs="Arial" w:eastAsia="Arial" w:hAnsi="Arial"/>
          <w:sz w:val="22"/>
          <w:szCs w:val="22"/>
          <w:color w:val="auto"/>
        </w:rPr>
        <w:t>Company Contributions vest according the schedule specified by the Committee on or before the time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contributions are made.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Deferrals of the cash portion of Performance Share Awards will vest as provided under the terms of the applicable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award.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no vesting schedule is otherwise specified, Company Contributions vest as follows:</w:t>
      </w:r>
    </w:p>
    <w:p>
      <w:pPr>
        <w:spacing w:after="0" w:line="343" w:lineRule="exact"/>
        <w:rPr>
          <w:sz w:val="20"/>
          <w:szCs w:val="20"/>
          <w:color w:val="auto"/>
        </w:rPr>
      </w:pPr>
    </w:p>
    <w:tbl>
      <w:tblPr>
        <w:tblLayout w:type="fixed"/>
        <w:tblInd w:w="2750" w:type="dxa"/>
        <w:tblCellMar>
          <w:top w:w="0" w:type="dxa"/>
          <w:left w:w="0" w:type="dxa"/>
          <w:bottom w:w="0" w:type="dxa"/>
          <w:right w:w="0" w:type="dxa"/>
        </w:tblCellMar>
      </w:tblPr>
      <w:tr>
        <w:trPr>
          <w:trHeight w:val="274"/>
        </w:trPr>
        <w:tc>
          <w:tcPr>
            <w:tcW w:w="3000" w:type="dxa"/>
            <w:vAlign w:val="bottom"/>
            <w:tcBorders>
              <w:top w:val="single" w:sz="8" w:color="C0C0C0"/>
              <w:left w:val="single" w:sz="8" w:color="C0C0C0"/>
              <w:right w:val="single" w:sz="8" w:color="C0C0C0"/>
            </w:tcBorders>
          </w:tcPr>
          <w:p>
            <w:pPr>
              <w:ind w:left="40"/>
              <w:spacing w:after="0"/>
              <w:rPr>
                <w:sz w:val="20"/>
                <w:szCs w:val="20"/>
                <w:color w:val="auto"/>
              </w:rPr>
            </w:pPr>
            <w:r>
              <w:rPr>
                <w:rFonts w:ascii="Arial" w:cs="Arial" w:eastAsia="Arial" w:hAnsi="Arial"/>
                <w:sz w:val="20"/>
                <w:szCs w:val="20"/>
                <w:color w:val="595959"/>
              </w:rPr>
              <w:t>No. of Years of Service:</w:t>
            </w:r>
          </w:p>
        </w:tc>
        <w:tc>
          <w:tcPr>
            <w:tcW w:w="2980" w:type="dxa"/>
            <w:vAlign w:val="bottom"/>
            <w:tcBorders>
              <w:top w:val="single" w:sz="8" w:color="C0C0C0"/>
              <w:right w:val="single" w:sz="8" w:color="C0C0C0"/>
            </w:tcBorders>
          </w:tcPr>
          <w:p>
            <w:pPr>
              <w:ind w:left="20"/>
              <w:spacing w:after="0"/>
              <w:rPr>
                <w:sz w:val="20"/>
                <w:szCs w:val="20"/>
                <w:color w:val="auto"/>
              </w:rPr>
            </w:pPr>
            <w:r>
              <w:rPr>
                <w:rFonts w:ascii="Arial" w:cs="Arial" w:eastAsia="Arial" w:hAnsi="Arial"/>
                <w:sz w:val="20"/>
                <w:szCs w:val="20"/>
                <w:color w:val="595959"/>
              </w:rPr>
              <w:t>Vested %</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r>
        <w:trPr>
          <w:trHeight w:val="254"/>
        </w:trPr>
        <w:tc>
          <w:tcPr>
            <w:tcW w:w="3000" w:type="dxa"/>
            <w:vAlign w:val="bottom"/>
            <w:tcBorders>
              <w:left w:val="single" w:sz="8" w:color="C0C0C0"/>
              <w:right w:val="single" w:sz="8" w:color="C0C0C0"/>
            </w:tcBorders>
          </w:tcPr>
          <w:p>
            <w:pPr>
              <w:ind w:left="140"/>
              <w:spacing w:after="0"/>
              <w:rPr>
                <w:sz w:val="20"/>
                <w:szCs w:val="20"/>
                <w:color w:val="auto"/>
              </w:rPr>
            </w:pPr>
            <w:r>
              <w:rPr>
                <w:rFonts w:ascii="Arial" w:cs="Arial" w:eastAsia="Arial" w:hAnsi="Arial"/>
                <w:sz w:val="20"/>
                <w:szCs w:val="20"/>
                <w:color w:val="595959"/>
              </w:rPr>
              <w:t>1 Years</w:t>
            </w:r>
          </w:p>
        </w:tc>
        <w:tc>
          <w:tcPr>
            <w:tcW w:w="29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595959"/>
              </w:rPr>
              <w:t>20%</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r>
        <w:trPr>
          <w:trHeight w:val="254"/>
        </w:trPr>
        <w:tc>
          <w:tcPr>
            <w:tcW w:w="3000" w:type="dxa"/>
            <w:vAlign w:val="bottom"/>
            <w:tcBorders>
              <w:left w:val="single" w:sz="8" w:color="C0C0C0"/>
              <w:right w:val="single" w:sz="8" w:color="C0C0C0"/>
            </w:tcBorders>
          </w:tcPr>
          <w:p>
            <w:pPr>
              <w:ind w:left="140"/>
              <w:spacing w:after="0"/>
              <w:rPr>
                <w:sz w:val="20"/>
                <w:szCs w:val="20"/>
                <w:color w:val="auto"/>
              </w:rPr>
            </w:pPr>
            <w:r>
              <w:rPr>
                <w:rFonts w:ascii="Arial" w:cs="Arial" w:eastAsia="Arial" w:hAnsi="Arial"/>
                <w:sz w:val="20"/>
                <w:szCs w:val="20"/>
                <w:color w:val="595959"/>
              </w:rPr>
              <w:t>2 Years</w:t>
            </w:r>
          </w:p>
        </w:tc>
        <w:tc>
          <w:tcPr>
            <w:tcW w:w="29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595959"/>
              </w:rPr>
              <w:t>40 %</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r>
        <w:trPr>
          <w:trHeight w:val="254"/>
        </w:trPr>
        <w:tc>
          <w:tcPr>
            <w:tcW w:w="3000" w:type="dxa"/>
            <w:vAlign w:val="bottom"/>
            <w:tcBorders>
              <w:left w:val="single" w:sz="8" w:color="C0C0C0"/>
              <w:right w:val="single" w:sz="8" w:color="C0C0C0"/>
            </w:tcBorders>
          </w:tcPr>
          <w:p>
            <w:pPr>
              <w:ind w:left="140"/>
              <w:spacing w:after="0"/>
              <w:rPr>
                <w:sz w:val="20"/>
                <w:szCs w:val="20"/>
                <w:color w:val="auto"/>
              </w:rPr>
            </w:pPr>
            <w:r>
              <w:rPr>
                <w:rFonts w:ascii="Arial" w:cs="Arial" w:eastAsia="Arial" w:hAnsi="Arial"/>
                <w:sz w:val="20"/>
                <w:szCs w:val="20"/>
                <w:color w:val="595959"/>
              </w:rPr>
              <w:t>3 Years</w:t>
            </w:r>
          </w:p>
        </w:tc>
        <w:tc>
          <w:tcPr>
            <w:tcW w:w="29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595959"/>
              </w:rPr>
              <w:t>60 %</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r>
        <w:trPr>
          <w:trHeight w:val="254"/>
        </w:trPr>
        <w:tc>
          <w:tcPr>
            <w:tcW w:w="3000" w:type="dxa"/>
            <w:vAlign w:val="bottom"/>
            <w:tcBorders>
              <w:left w:val="single" w:sz="8" w:color="C0C0C0"/>
              <w:right w:val="single" w:sz="8" w:color="C0C0C0"/>
            </w:tcBorders>
          </w:tcPr>
          <w:p>
            <w:pPr>
              <w:ind w:left="140"/>
              <w:spacing w:after="0"/>
              <w:rPr>
                <w:sz w:val="20"/>
                <w:szCs w:val="20"/>
                <w:color w:val="auto"/>
              </w:rPr>
            </w:pPr>
            <w:r>
              <w:rPr>
                <w:rFonts w:ascii="Arial" w:cs="Arial" w:eastAsia="Arial" w:hAnsi="Arial"/>
                <w:sz w:val="20"/>
                <w:szCs w:val="20"/>
                <w:color w:val="595959"/>
              </w:rPr>
              <w:t>4 Years</w:t>
            </w:r>
          </w:p>
        </w:tc>
        <w:tc>
          <w:tcPr>
            <w:tcW w:w="29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595959"/>
              </w:rPr>
              <w:t>80 %</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r>
        <w:trPr>
          <w:trHeight w:val="254"/>
        </w:trPr>
        <w:tc>
          <w:tcPr>
            <w:tcW w:w="3000" w:type="dxa"/>
            <w:vAlign w:val="bottom"/>
            <w:tcBorders>
              <w:left w:val="single" w:sz="8" w:color="C0C0C0"/>
              <w:right w:val="single" w:sz="8" w:color="C0C0C0"/>
            </w:tcBorders>
          </w:tcPr>
          <w:p>
            <w:pPr>
              <w:ind w:left="140"/>
              <w:spacing w:after="0"/>
              <w:rPr>
                <w:sz w:val="20"/>
                <w:szCs w:val="20"/>
                <w:color w:val="auto"/>
              </w:rPr>
            </w:pPr>
            <w:r>
              <w:rPr>
                <w:rFonts w:ascii="Arial" w:cs="Arial" w:eastAsia="Arial" w:hAnsi="Arial"/>
                <w:sz w:val="20"/>
                <w:szCs w:val="20"/>
                <w:color w:val="595959"/>
              </w:rPr>
              <w:t>5 Years</w:t>
            </w:r>
          </w:p>
        </w:tc>
        <w:tc>
          <w:tcPr>
            <w:tcW w:w="29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595959"/>
              </w:rPr>
              <w:t>100%</w:t>
            </w:r>
          </w:p>
        </w:tc>
      </w:tr>
      <w:tr>
        <w:trPr>
          <w:trHeight w:val="23"/>
        </w:trPr>
        <w:tc>
          <w:tcPr>
            <w:tcW w:w="3000" w:type="dxa"/>
            <w:vAlign w:val="bottom"/>
            <w:tcBorders>
              <w:left w:val="single" w:sz="8" w:color="C0C0C0"/>
              <w:bottom w:val="single" w:sz="8" w:color="C0C0C0"/>
              <w:right w:val="single" w:sz="8" w:color="C0C0C0"/>
            </w:tcBorders>
          </w:tcPr>
          <w:p>
            <w:pPr>
              <w:spacing w:after="0"/>
              <w:rPr>
                <w:sz w:val="2"/>
                <w:szCs w:val="2"/>
                <w:color w:val="auto"/>
              </w:rPr>
            </w:pPr>
          </w:p>
        </w:tc>
        <w:tc>
          <w:tcPr>
            <w:tcW w:w="2980" w:type="dxa"/>
            <w:vAlign w:val="bottom"/>
            <w:tcBorders>
              <w:bottom w:val="single" w:sz="8" w:color="C0C0C0"/>
              <w:right w:val="single" w:sz="8" w:color="C0C0C0"/>
            </w:tcBorders>
          </w:tcPr>
          <w:p>
            <w:pPr>
              <w:spacing w:after="0"/>
              <w:rPr>
                <w:sz w:val="2"/>
                <w:szCs w:val="2"/>
                <w:color w:val="auto"/>
              </w:rPr>
            </w:pPr>
          </w:p>
        </w:tc>
      </w:tr>
    </w:tbl>
    <w:p>
      <w:pPr>
        <w:spacing w:after="0" w:line="200" w:lineRule="exact"/>
        <w:rPr>
          <w:sz w:val="20"/>
          <w:szCs w:val="20"/>
          <w:color w:val="auto"/>
        </w:rPr>
      </w:pPr>
    </w:p>
    <w:p>
      <w:pPr>
        <w:spacing w:after="0" w:line="239" w:lineRule="exact"/>
        <w:rPr>
          <w:sz w:val="20"/>
          <w:szCs w:val="20"/>
          <w:color w:val="auto"/>
        </w:rPr>
      </w:pPr>
    </w:p>
    <w:p>
      <w:pPr>
        <w:ind w:left="660" w:right="240"/>
        <w:spacing w:after="0" w:line="249" w:lineRule="auto"/>
        <w:rPr>
          <w:sz w:val="20"/>
          <w:szCs w:val="20"/>
          <w:color w:val="auto"/>
        </w:rPr>
      </w:pPr>
      <w:r>
        <w:rPr>
          <w:rFonts w:ascii="Arial" w:cs="Arial" w:eastAsia="Arial" w:hAnsi="Arial"/>
          <w:sz w:val="22"/>
          <w:szCs w:val="22"/>
          <w:color w:val="auto"/>
        </w:rPr>
        <w:t>Participants are credited with one year of service for each 12 month-period of continuous service commencing on the date the Employee becomes a Participant in the Plan and each anniversary thereof.</w:t>
      </w:r>
    </w:p>
    <w:p>
      <w:pPr>
        <w:spacing w:after="0" w:line="204"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All Accounts become 100% vested, if while employed by an Employer, a Participant dies, becomes disabled (within the meaning of any long-term disability plan of the Employer that is applicable to the Participant), or his or her Employer experiences a Change in Control.</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Payments from Accounts</w:t>
      </w:r>
    </w:p>
    <w:p>
      <w:pPr>
        <w:spacing w:after="0" w:line="328" w:lineRule="exact"/>
        <w:rPr>
          <w:sz w:val="20"/>
          <w:szCs w:val="20"/>
          <w:color w:val="auto"/>
        </w:rPr>
      </w:pPr>
    </w:p>
    <w:p>
      <w:pPr>
        <w:ind w:left="660" w:right="600" w:hanging="647"/>
        <w:spacing w:after="0" w:line="246"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u w:val="single" w:color="auto"/>
          <w:color w:val="auto"/>
        </w:rPr>
        <w:t>General Rules</w:t>
      </w:r>
      <w:r>
        <w:rPr>
          <w:rFonts w:ascii="Arial" w:cs="Arial" w:eastAsia="Arial" w:hAnsi="Arial"/>
          <w:sz w:val="22"/>
          <w:szCs w:val="22"/>
          <w:color w:val="auto"/>
        </w:rPr>
        <w:t>. A Participant’s Accounts become payable upon the first to occur of the payment events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applicable to such Account under (i) Sections 6.2 or 6.3 (as elected, and subject to the $100,000 minimum balance requirement) and (ii) Sections 6.4 through 6.6.</w:t>
      </w:r>
    </w:p>
    <w:p>
      <w:pPr>
        <w:spacing w:after="0" w:line="208" w:lineRule="exact"/>
        <w:rPr>
          <w:sz w:val="20"/>
          <w:szCs w:val="20"/>
          <w:color w:val="auto"/>
        </w:rPr>
      </w:pPr>
    </w:p>
    <w:p>
      <w:pPr>
        <w:ind w:left="660" w:right="380" w:firstLine="648"/>
        <w:spacing w:after="0" w:line="264" w:lineRule="auto"/>
        <w:rPr>
          <w:sz w:val="20"/>
          <w:szCs w:val="20"/>
          <w:color w:val="auto"/>
        </w:rPr>
      </w:pPr>
      <w:r>
        <w:rPr>
          <w:rFonts w:ascii="Arial" w:cs="Arial" w:eastAsia="Arial" w:hAnsi="Arial"/>
          <w:sz w:val="21"/>
          <w:szCs w:val="21"/>
          <w:color w:val="auto"/>
        </w:rP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6.9.</w:t>
      </w:r>
    </w:p>
    <w:p>
      <w:pPr>
        <w:spacing w:after="0" w:line="189" w:lineRule="exact"/>
        <w:rPr>
          <w:sz w:val="20"/>
          <w:szCs w:val="20"/>
          <w:color w:val="auto"/>
        </w:rPr>
      </w:pPr>
    </w:p>
    <w:p>
      <w:pPr>
        <w:ind w:left="660" w:right="760" w:firstLine="648"/>
        <w:spacing w:after="0" w:line="249" w:lineRule="auto"/>
        <w:rPr>
          <w:sz w:val="20"/>
          <w:szCs w:val="20"/>
          <w:color w:val="auto"/>
        </w:rPr>
      </w:pPr>
      <w:r>
        <w:rPr>
          <w:rFonts w:ascii="Arial" w:cs="Arial" w:eastAsia="Arial" w:hAnsi="Arial"/>
          <w:sz w:val="22"/>
          <w:szCs w:val="22"/>
          <w:color w:val="auto"/>
        </w:rPr>
        <w:t>Payment amounts are based on Account Balances as of the last Valuation Date of the month next preceding the month actual payment is made.</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u w:val="single" w:color="auto"/>
          <w:color w:val="auto"/>
        </w:rPr>
        <w:t>Specified Date Accounts</w:t>
      </w:r>
      <w:r>
        <w:rPr>
          <w:rFonts w:ascii="Arial" w:cs="Arial" w:eastAsia="Arial" w:hAnsi="Arial"/>
          <w:sz w:val="21"/>
          <w:szCs w:val="21"/>
          <w:color w:val="auto"/>
        </w:rPr>
        <w:t>.</w:t>
      </w:r>
    </w:p>
    <w:p>
      <w:pPr>
        <w:sectPr>
          <w:pgSz w:w="11900" w:h="16838" w:orient="portrait"/>
          <w:cols w:equalWidth="0" w:num="1">
            <w:col w:w="11400"/>
          </w:cols>
          <w:pgMar w:left="240" w:top="591" w:right="259" w:bottom="1440" w:gutter="0" w:footer="0" w:header="0"/>
        </w:sectPr>
      </w:pPr>
    </w:p>
    <w:bookmarkStart w:id="183" w:name="page184"/>
    <w:bookmarkEnd w:id="183"/>
    <w:p>
      <w:pPr>
        <w:ind w:left="4" w:right="20" w:firstLine="648"/>
        <w:spacing w:after="0" w:line="235" w:lineRule="auto"/>
        <w:rPr>
          <w:sz w:val="20"/>
          <w:szCs w:val="20"/>
          <w:color w:val="auto"/>
        </w:rPr>
      </w:pPr>
      <w:r>
        <w:rPr>
          <w:rFonts w:ascii="Arial" w:cs="Arial" w:eastAsia="Arial" w:hAnsi="Arial"/>
          <w:sz w:val="22"/>
          <w:szCs w:val="22"/>
          <w:i w:val="1"/>
          <w:iCs w:val="1"/>
          <w:color w:val="auto"/>
        </w:rPr>
        <w:t xml:space="preserve">Commencement. </w:t>
      </w:r>
      <w:r>
        <w:rPr>
          <w:rFonts w:ascii="Arial" w:cs="Arial" w:eastAsia="Arial" w:hAnsi="Arial"/>
          <w:sz w:val="22"/>
          <w:szCs w:val="22"/>
          <w:color w:val="auto"/>
        </w:rPr>
        <w:t>Payment is made or begins in the calendar year designated by the Participant. When a</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Date Account is first established, the Account will pay in the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calendar year following the year the Compensation Deferral Agreement that established the Account is effective unless the Participant designates a later calendar year. For example, a Specified Date Account established for the 2019 Plan Year will commence in 2023, unless the Participant designated a later calendar year.</w:t>
      </w:r>
    </w:p>
    <w:p>
      <w:pPr>
        <w:spacing w:after="0" w:line="193" w:lineRule="exact"/>
        <w:rPr>
          <w:sz w:val="20"/>
          <w:szCs w:val="20"/>
          <w:color w:val="auto"/>
        </w:rPr>
      </w:pPr>
    </w:p>
    <w:p>
      <w:pPr>
        <w:ind w:left="4" w:right="140" w:firstLine="648"/>
        <w:spacing w:after="0" w:line="270" w:lineRule="auto"/>
        <w:rPr>
          <w:sz w:val="20"/>
          <w:szCs w:val="20"/>
          <w:color w:val="auto"/>
        </w:rPr>
      </w:pPr>
      <w:r>
        <w:rPr>
          <w:rFonts w:ascii="Arial" w:cs="Arial" w:eastAsia="Arial" w:hAnsi="Arial"/>
          <w:sz w:val="22"/>
          <w:szCs w:val="22"/>
          <w:i w:val="1"/>
          <w:iCs w:val="1"/>
          <w:color w:val="auto"/>
        </w:rPr>
        <w:t xml:space="preserve">Form of Payment. </w:t>
      </w:r>
      <w:r>
        <w:rPr>
          <w:rFonts w:ascii="Arial" w:cs="Arial" w:eastAsia="Arial" w:hAnsi="Arial"/>
          <w:sz w:val="22"/>
          <w:szCs w:val="22"/>
          <w:color w:val="auto"/>
        </w:rPr>
        <w:t>Payment will be made in a lump sum, unless the Participant elected to receive annual</w:t>
      </w:r>
      <w:r>
        <w:rPr>
          <w:rFonts w:ascii="Arial" w:cs="Arial" w:eastAsia="Arial" w:hAnsi="Arial"/>
          <w:sz w:val="22"/>
          <w:szCs w:val="22"/>
          <w:i w:val="1"/>
          <w:iCs w:val="1"/>
          <w:color w:val="auto"/>
        </w:rPr>
        <w:t xml:space="preserve"> </w:t>
      </w:r>
      <w:r>
        <w:rPr>
          <w:rFonts w:ascii="Arial" w:cs="Arial" w:eastAsia="Arial" w:hAnsi="Arial"/>
          <w:sz w:val="22"/>
          <w:szCs w:val="22"/>
          <w:color w:val="auto"/>
        </w:rPr>
        <w:t>installments up to five years.</w:t>
      </w:r>
    </w:p>
    <w:p>
      <w:pPr>
        <w:spacing w:after="0" w:line="182" w:lineRule="exact"/>
        <w:rPr>
          <w:sz w:val="20"/>
          <w:szCs w:val="20"/>
          <w:color w:val="auto"/>
        </w:rPr>
      </w:pPr>
    </w:p>
    <w:p>
      <w:pPr>
        <w:ind w:left="4" w:right="20" w:firstLine="648"/>
        <w:spacing w:after="0" w:line="246" w:lineRule="auto"/>
        <w:rPr>
          <w:sz w:val="20"/>
          <w:szCs w:val="20"/>
          <w:color w:val="auto"/>
        </w:rPr>
      </w:pPr>
      <w:r>
        <w:rPr>
          <w:rFonts w:ascii="Arial" w:cs="Arial" w:eastAsia="Arial" w:hAnsi="Arial"/>
          <w:sz w:val="22"/>
          <w:szCs w:val="22"/>
          <w:color w:val="auto"/>
        </w:rPr>
        <w:t>The time and form of payment of Specified Date Accounts is unaffected by an earlier Separation from Service, provided the Participant’s total Account Balance is more than $100,000 as of his or her Separation from Service, as set forth in Section 6.3.</w:t>
      </w:r>
    </w:p>
    <w:p>
      <w:pPr>
        <w:spacing w:after="0" w:line="208" w:lineRule="exact"/>
        <w:rPr>
          <w:sz w:val="20"/>
          <w:szCs w:val="20"/>
          <w:color w:val="auto"/>
        </w:rPr>
      </w:pPr>
    </w:p>
    <w:p>
      <w:pPr>
        <w:ind w:left="4" w:right="620" w:hanging="647"/>
        <w:spacing w:after="0" w:line="249" w:lineRule="auto"/>
        <w:rPr>
          <w:sz w:val="20"/>
          <w:szCs w:val="20"/>
          <w:color w:val="auto"/>
        </w:rPr>
      </w:pPr>
      <w:r>
        <w:rPr>
          <w:rFonts w:ascii="Arial" w:cs="Arial" w:eastAsia="Arial" w:hAnsi="Arial"/>
          <w:sz w:val="22"/>
          <w:szCs w:val="22"/>
          <w:color w:val="auto"/>
        </w:rPr>
        <w:t>6.3</w:t>
      </w:r>
      <w:r>
        <w:rPr>
          <w:sz w:val="20"/>
          <w:szCs w:val="20"/>
          <w:color w:val="auto"/>
        </w:rPr>
        <w:t xml:space="preserve"> </w:t>
      </w:r>
      <w:r>
        <w:rPr>
          <w:rFonts w:ascii="Arial" w:cs="Arial" w:eastAsia="Arial" w:hAnsi="Arial"/>
          <w:sz w:val="22"/>
          <w:szCs w:val="22"/>
          <w:u w:val="single" w:color="auto"/>
          <w:color w:val="auto"/>
        </w:rPr>
        <w:t xml:space="preserve">Separation from Service </w:t>
      </w:r>
      <w:r>
        <w:rPr>
          <w:rFonts w:ascii="Arial" w:cs="Arial" w:eastAsia="Arial" w:hAnsi="Arial"/>
          <w:sz w:val="22"/>
          <w:szCs w:val="22"/>
          <w:color w:val="auto"/>
        </w:rPr>
        <w:t>. Upon a Participant’s Separation from Service other than death, the Participant is</w:t>
      </w:r>
      <w:r>
        <w:rPr>
          <w:rFonts w:ascii="Arial" w:cs="Arial" w:eastAsia="Arial" w:hAnsi="Arial"/>
          <w:sz w:val="22"/>
          <w:szCs w:val="22"/>
          <w:u w:val="single" w:color="auto"/>
          <w:color w:val="auto"/>
        </w:rPr>
        <w:t xml:space="preserve"> </w:t>
      </w:r>
      <w:r>
        <w:rPr>
          <w:rFonts w:ascii="Arial" w:cs="Arial" w:eastAsia="Arial" w:hAnsi="Arial"/>
          <w:sz w:val="22"/>
          <w:szCs w:val="22"/>
          <w:color w:val="auto"/>
        </w:rPr>
        <w:t>entitled to receive his or her vested Retirement Account and vested Separation Accounts.</w:t>
      </w:r>
    </w:p>
    <w:p>
      <w:pPr>
        <w:spacing w:after="0" w:line="182" w:lineRule="exact"/>
        <w:rPr>
          <w:sz w:val="20"/>
          <w:szCs w:val="20"/>
          <w:color w:val="auto"/>
        </w:rPr>
      </w:pPr>
    </w:p>
    <w:p>
      <w:pPr>
        <w:ind w:left="644" w:right="20" w:hanging="644"/>
        <w:spacing w:after="0" w:line="250"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 xml:space="preserve">Commencement. </w:t>
      </w:r>
      <w:r>
        <w:rPr>
          <w:rFonts w:ascii="Arial" w:cs="Arial" w:eastAsia="Arial" w:hAnsi="Arial"/>
          <w:sz w:val="22"/>
          <w:szCs w:val="22"/>
          <w:color w:val="auto"/>
        </w:rPr>
        <w:t>Each vested Retirement Account and all Separation Accounts will commence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in the calendar year next following the calendar year in which the Participant’s Separation from Service occurs. Notwithstanding the foregoing, all Accounts, including any unpaid Specified Date Accounts will be payable upon Separation from Service if the combined Account Balance for a Participant is not more than $100,000 as of his or her Separation from Service.</w:t>
      </w:r>
    </w:p>
    <w:p>
      <w:pPr>
        <w:spacing w:after="0" w:line="181" w:lineRule="exact"/>
        <w:rPr>
          <w:rFonts w:ascii="Arial" w:cs="Arial" w:eastAsia="Arial" w:hAnsi="Arial"/>
          <w:sz w:val="22"/>
          <w:szCs w:val="22"/>
          <w:color w:val="auto"/>
        </w:rPr>
      </w:pPr>
    </w:p>
    <w:p>
      <w:pPr>
        <w:ind w:left="644" w:right="80" w:hanging="644"/>
        <w:spacing w:after="0" w:line="248"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 xml:space="preserve">Form of Payment. </w:t>
      </w:r>
      <w:r>
        <w:rPr>
          <w:rFonts w:ascii="Arial" w:cs="Arial" w:eastAsia="Arial" w:hAnsi="Arial"/>
          <w:sz w:val="22"/>
          <w:szCs w:val="22"/>
          <w:color w:val="auto"/>
        </w:rPr>
        <w:t>The vested Retirement Account and Separation Accounts will be paid in a single lump</w:t>
      </w:r>
      <w:r>
        <w:rPr>
          <w:rFonts w:ascii="Arial" w:cs="Arial" w:eastAsia="Arial" w:hAnsi="Arial"/>
          <w:sz w:val="22"/>
          <w:szCs w:val="22"/>
          <w:i w:val="1"/>
          <w:iCs w:val="1"/>
          <w:color w:val="auto"/>
        </w:rPr>
        <w:t xml:space="preserve"> </w:t>
      </w:r>
      <w:r>
        <w:rPr>
          <w:rFonts w:ascii="Arial" w:cs="Arial" w:eastAsia="Arial" w:hAnsi="Arial"/>
          <w:sz w:val="22"/>
          <w:szCs w:val="22"/>
          <w:color w:val="auto"/>
        </w:rPr>
        <w:t>sum unless the Participant elected with respect to an Account to receive annual installments up to 10 years. If the combined vested Account Balances of all of a Participant’s Accounts on the date of a Participant’s Separation from Service is not more than $100,000, all Accounts will be paid in a lump sum, without regard to the provisions of Section 6.2 and without regard to any other election the Participant may have made for such Accounts.</w:t>
      </w:r>
    </w:p>
    <w:p>
      <w:pPr>
        <w:spacing w:after="0" w:line="187" w:lineRule="exact"/>
        <w:rPr>
          <w:rFonts w:ascii="Arial" w:cs="Arial" w:eastAsia="Arial" w:hAnsi="Arial"/>
          <w:sz w:val="22"/>
          <w:szCs w:val="22"/>
          <w:color w:val="auto"/>
        </w:rPr>
      </w:pPr>
    </w:p>
    <w:p>
      <w:pPr>
        <w:ind w:left="644" w:right="80" w:hanging="644"/>
        <w:spacing w:after="0" w:line="252"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Mandatory Delay for Specified Employees</w:t>
      </w:r>
      <w:r>
        <w:rPr>
          <w:rFonts w:ascii="Arial" w:cs="Arial" w:eastAsia="Arial" w:hAnsi="Arial"/>
          <w:sz w:val="22"/>
          <w:szCs w:val="22"/>
          <w:color w:val="auto"/>
        </w:rPr>
        <w:t>. Notwithstanding any other provision of this Plan,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comply with Code Section 409A, payment to a Participant who is a “specified employee” as defined in Code Section 409A(a)(2)(B) will commence no earlier than six months following his or her Separation from Service.</w:t>
      </w:r>
    </w:p>
    <w:p>
      <w:pPr>
        <w:spacing w:after="0" w:line="202" w:lineRule="exact"/>
        <w:rPr>
          <w:sz w:val="20"/>
          <w:szCs w:val="20"/>
          <w:color w:val="auto"/>
        </w:rPr>
      </w:pPr>
    </w:p>
    <w:p>
      <w:pPr>
        <w:ind w:left="4" w:hanging="647"/>
        <w:spacing w:after="0" w:line="245" w:lineRule="auto"/>
        <w:rPr>
          <w:sz w:val="20"/>
          <w:szCs w:val="20"/>
          <w:color w:val="auto"/>
        </w:rPr>
      </w:pPr>
      <w:r>
        <w:rPr>
          <w:rFonts w:ascii="Arial" w:cs="Arial" w:eastAsia="Arial" w:hAnsi="Arial"/>
          <w:sz w:val="22"/>
          <w:szCs w:val="22"/>
          <w:color w:val="auto"/>
        </w:rPr>
        <w:t>6.4</w:t>
      </w:r>
      <w:r>
        <w:rPr>
          <w:sz w:val="20"/>
          <w:szCs w:val="20"/>
          <w:color w:val="auto"/>
        </w:rPr>
        <w:t xml:space="preserve"> </w:t>
      </w:r>
      <w:r>
        <w:rPr>
          <w:rFonts w:ascii="Arial" w:cs="Arial" w:eastAsia="Arial" w:hAnsi="Arial"/>
          <w:sz w:val="22"/>
          <w:szCs w:val="22"/>
          <w:u w:val="single" w:color="auto"/>
          <w:color w:val="auto"/>
        </w:rPr>
        <w:t>Death</w:t>
      </w:r>
      <w:r>
        <w:rPr>
          <w:rFonts w:ascii="Arial" w:cs="Arial" w:eastAsia="Arial" w:hAnsi="Arial"/>
          <w:sz w:val="22"/>
          <w:szCs w:val="22"/>
          <w:color w:val="auto"/>
        </w:rPr>
        <w:t>. Notwithstanding anything to the contrary in this Article VI, upon the death of the Participant (regardless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whether such Participant is an Employee at the time of death), all remaining vested Account Balances shall be paid to his or her Beneficiary in a single lump sum no later than December 31 of the calendar year following the year of the Participant’s death.</w:t>
      </w:r>
    </w:p>
    <w:p>
      <w:pPr>
        <w:spacing w:after="0" w:line="195" w:lineRule="exact"/>
        <w:rPr>
          <w:sz w:val="20"/>
          <w:szCs w:val="20"/>
          <w:color w:val="auto"/>
        </w:rPr>
      </w:pPr>
    </w:p>
    <w:p>
      <w:pPr>
        <w:ind w:left="644" w:right="80" w:hanging="644"/>
        <w:spacing w:after="0" w:line="250" w:lineRule="auto"/>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Designation of Beneficiary in General</w:t>
      </w:r>
      <w:r>
        <w:rPr>
          <w:rFonts w:ascii="Arial" w:cs="Arial" w:eastAsia="Arial" w:hAnsi="Arial"/>
          <w:sz w:val="22"/>
          <w:szCs w:val="22"/>
          <w:color w:val="auto"/>
        </w:rPr>
        <w:t>. The Participant shall designate a Beneficiary in the manner and on such</w:t>
      </w:r>
      <w:r>
        <w:rPr>
          <w:rFonts w:ascii="Arial" w:cs="Arial" w:eastAsia="Arial" w:hAnsi="Arial"/>
          <w:sz w:val="22"/>
          <w:szCs w:val="22"/>
          <w:i w:val="1"/>
          <w:iCs w:val="1"/>
          <w:color w:val="auto"/>
        </w:rPr>
        <w:t xml:space="preserve"> </w:t>
      </w:r>
      <w:r>
        <w:rPr>
          <w:rFonts w:ascii="Arial" w:cs="Arial" w:eastAsia="Arial" w:hAnsi="Arial"/>
          <w:sz w:val="22"/>
          <w:szCs w:val="22"/>
          <w:color w:val="auto"/>
        </w:rPr>
        <w:t>terms and conditions as the Committee may prescribe. No such designation shall become effective unless filed with the Committee during the Participant’s lifetime. Any designation shall remain in effect until a new designation is filed with the</w:t>
      </w:r>
    </w:p>
    <w:p>
      <w:pPr>
        <w:sectPr>
          <w:pgSz w:w="11900" w:h="16838" w:orient="portrait"/>
          <w:cols w:equalWidth="0" w:num="1">
            <w:col w:w="10724"/>
          </w:cols>
          <w:pgMar w:left="896" w:top="800" w:right="279" w:bottom="1440" w:gutter="0" w:footer="0" w:header="0"/>
        </w:sectPr>
      </w:pPr>
    </w:p>
    <w:bookmarkStart w:id="184" w:name="page185"/>
    <w:bookmarkEnd w:id="184"/>
    <w:p>
      <w:pPr>
        <w:ind w:left="644" w:right="160"/>
        <w:spacing w:after="0" w:line="263" w:lineRule="auto"/>
        <w:rPr>
          <w:sz w:val="20"/>
          <w:szCs w:val="20"/>
          <w:color w:val="auto"/>
        </w:rPr>
      </w:pPr>
      <w:r>
        <w:rPr>
          <w:rFonts w:ascii="Arial" w:cs="Arial" w:eastAsia="Arial" w:hAnsi="Arial"/>
          <w:sz w:val="21"/>
          <w:szCs w:val="21"/>
          <w:color w:val="auto"/>
        </w:rPr>
        <w:t>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spacing w:after="0" w:line="176" w:lineRule="exact"/>
        <w:rPr>
          <w:sz w:val="20"/>
          <w:szCs w:val="20"/>
          <w:color w:val="auto"/>
        </w:rPr>
      </w:pPr>
    </w:p>
    <w:p>
      <w:pPr>
        <w:ind w:left="644" w:right="140" w:hanging="644"/>
        <w:spacing w:after="0" w:line="250"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No Beneficiary</w:t>
      </w:r>
      <w:r>
        <w:rPr>
          <w:rFonts w:ascii="Arial" w:cs="Arial" w:eastAsia="Arial" w:hAnsi="Arial"/>
          <w:sz w:val="22"/>
          <w:szCs w:val="22"/>
          <w:color w:val="auto"/>
        </w:rPr>
        <w:t>. If a designated Beneficiary does not survive the Participant, or if there is no valid Beneficiary</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designation, amounts payable under the Plan upon the death of the Participant shall be paid to the Participant’s spouse, or if there is no surviving spouse, then to the duly appointed and currently acting personal representative of the Participant’s estate.</w:t>
      </w:r>
    </w:p>
    <w:p>
      <w:pPr>
        <w:spacing w:after="0" w:line="203" w:lineRule="exact"/>
        <w:rPr>
          <w:sz w:val="20"/>
          <w:szCs w:val="20"/>
          <w:color w:val="auto"/>
        </w:rPr>
      </w:pPr>
    </w:p>
    <w:p>
      <w:pPr>
        <w:ind w:left="4" w:right="180" w:hanging="647"/>
        <w:spacing w:after="0" w:line="244" w:lineRule="auto"/>
        <w:rPr>
          <w:sz w:val="20"/>
          <w:szCs w:val="20"/>
          <w:color w:val="auto"/>
        </w:rPr>
      </w:pPr>
      <w:r>
        <w:rPr>
          <w:rFonts w:ascii="Arial" w:cs="Arial" w:eastAsia="Arial" w:hAnsi="Arial"/>
          <w:sz w:val="22"/>
          <w:szCs w:val="22"/>
          <w:color w:val="auto"/>
        </w:rPr>
        <w:t>6.5</w:t>
      </w:r>
      <w:r>
        <w:rPr>
          <w:sz w:val="20"/>
          <w:szCs w:val="20"/>
          <w:color w:val="auto"/>
        </w:rPr>
        <w:t xml:space="preserve"> </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A Participant who experiences an Unforeseeable Emergency may submit a written</w:t>
      </w:r>
      <w:r>
        <w:rPr>
          <w:rFonts w:ascii="Arial" w:cs="Arial" w:eastAsia="Arial" w:hAnsi="Arial"/>
          <w:sz w:val="22"/>
          <w:szCs w:val="22"/>
          <w:u w:val="single" w:color="auto"/>
          <w:color w:val="auto"/>
        </w:rPr>
        <w:t xml:space="preserve"> </w:t>
      </w:r>
      <w:r>
        <w:rPr>
          <w:rFonts w:ascii="Arial" w:cs="Arial" w:eastAsia="Arial" w:hAnsi="Arial"/>
          <w:sz w:val="22"/>
          <w:szCs w:val="22"/>
          <w:color w:val="auto"/>
        </w:rPr>
        <w:t>request to the Committee to receive payment of all or any portion of his or her vested Accounts. If the emergency need cannot be relieved by cessation of Deferrals to the Plan, the Committee may approve an emergency payment therefrom not to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from the Separation Accounts and then from the Specified Date Accounts, starting with the Account having the latest commencement date until fully distributed, then continuing in this manner with the next latest Account until the full amount of the distribution is made. Emergency payments shall be paid in a single lump sum within the 90-day period following the date the payment is approved by the Committee. The Committee may specify that Deferrals will be distributed before any Company Contributions.</w:t>
      </w:r>
    </w:p>
    <w:p>
      <w:pPr>
        <w:spacing w:after="0" w:line="209" w:lineRule="exact"/>
        <w:rPr>
          <w:sz w:val="20"/>
          <w:szCs w:val="20"/>
          <w:color w:val="auto"/>
        </w:rPr>
      </w:pPr>
    </w:p>
    <w:p>
      <w:pPr>
        <w:ind w:left="4" w:right="120" w:hanging="647"/>
        <w:spacing w:after="0" w:line="244" w:lineRule="auto"/>
        <w:rPr>
          <w:sz w:val="20"/>
          <w:szCs w:val="20"/>
          <w:color w:val="auto"/>
        </w:rPr>
      </w:pPr>
      <w:r>
        <w:rPr>
          <w:rFonts w:ascii="Arial" w:cs="Arial" w:eastAsia="Arial" w:hAnsi="Arial"/>
          <w:sz w:val="22"/>
          <w:szCs w:val="22"/>
          <w:color w:val="auto"/>
        </w:rPr>
        <w:t>6.6</w:t>
      </w:r>
      <w:r>
        <w:rPr>
          <w:sz w:val="20"/>
          <w:szCs w:val="20"/>
          <w:color w:val="auto"/>
        </w:rPr>
        <w:t xml:space="preserve"> </w:t>
      </w:r>
      <w:r>
        <w:rPr>
          <w:rFonts w:ascii="Arial" w:cs="Arial" w:eastAsia="Arial" w:hAnsi="Arial"/>
          <w:sz w:val="22"/>
          <w:szCs w:val="22"/>
          <w:u w:val="single" w:color="auto"/>
          <w:color w:val="auto"/>
        </w:rPr>
        <w:t>Administrative Cash-Out of Small Balances</w:t>
      </w:r>
      <w:r>
        <w:rPr>
          <w:rFonts w:ascii="Arial" w:cs="Arial" w:eastAsia="Arial" w:hAnsi="Arial"/>
          <w:sz w:val="22"/>
          <w:szCs w:val="22"/>
          <w:color w:val="auto"/>
        </w:rPr>
        <w:t>. Notwithstanding anything to the contrary in this Article VI,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Committee may at any time and without regard to whether a payment event has occurred, direct in writing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w:t>
      </w:r>
    </w:p>
    <w:p>
      <w:pPr>
        <w:spacing w:after="0" w:line="213" w:lineRule="exact"/>
        <w:rPr>
          <w:sz w:val="20"/>
          <w:szCs w:val="20"/>
          <w:color w:val="auto"/>
        </w:rPr>
      </w:pPr>
    </w:p>
    <w:p>
      <w:pPr>
        <w:ind w:left="4" w:right="60" w:hanging="647"/>
        <w:spacing w:after="0" w:line="245" w:lineRule="auto"/>
        <w:rPr>
          <w:sz w:val="20"/>
          <w:szCs w:val="20"/>
          <w:color w:val="auto"/>
        </w:rPr>
      </w:pPr>
      <w:r>
        <w:rPr>
          <w:rFonts w:ascii="Arial" w:cs="Arial" w:eastAsia="Arial" w:hAnsi="Arial"/>
          <w:sz w:val="22"/>
          <w:szCs w:val="22"/>
          <w:color w:val="auto"/>
        </w:rPr>
        <w:t>6.7</w:t>
      </w:r>
      <w:r>
        <w:rPr>
          <w:sz w:val="20"/>
          <w:szCs w:val="20"/>
          <w:color w:val="auto"/>
        </w:rPr>
        <w:t xml:space="preserve"> </w:t>
      </w:r>
      <w:r>
        <w:rPr>
          <w:rFonts w:ascii="Arial" w:cs="Arial" w:eastAsia="Arial" w:hAnsi="Arial"/>
          <w:sz w:val="22"/>
          <w:szCs w:val="22"/>
          <w:u w:val="single" w:color="auto"/>
          <w:color w:val="auto"/>
        </w:rPr>
        <w:t>Acceleration of or Delay in Payments</w:t>
      </w:r>
      <w:r>
        <w:rPr>
          <w:rFonts w:ascii="Arial" w:cs="Arial" w:eastAsia="Arial" w:hAnsi="Arial"/>
          <w:sz w:val="22"/>
          <w:szCs w:val="22"/>
          <w:color w:val="auto"/>
        </w:rPr>
        <w:t>. Notwithstanding anything to the contrary in this Article VI, the Board, in its</w:t>
      </w:r>
      <w:r>
        <w:rPr>
          <w:rFonts w:ascii="Arial" w:cs="Arial" w:eastAsia="Arial" w:hAnsi="Arial"/>
          <w:sz w:val="22"/>
          <w:szCs w:val="22"/>
          <w:u w:val="single" w:color="auto"/>
          <w:color w:val="auto"/>
        </w:rPr>
        <w:t xml:space="preserve"> </w:t>
      </w:r>
      <w:r>
        <w:rPr>
          <w:rFonts w:ascii="Arial" w:cs="Arial" w:eastAsia="Arial" w:hAnsi="Arial"/>
          <w:sz w:val="22"/>
          <w:szCs w:val="22"/>
          <w:color w:val="auto"/>
        </w:rPr>
        <w:t>sole and absolute discretion, may elect to accelerate the time or form of payment of an Account, provided such acceleration is permitted under Treas. Reg. Section 1.409A-3(j)(4). The Board may also, in its sole and absolute discretion, delay the time for payment of an Account, to the extent permitted under Treas. Reg. Section 1.409A-2(b)(7).</w:t>
      </w:r>
    </w:p>
    <w:p>
      <w:pPr>
        <w:spacing w:after="0" w:line="208" w:lineRule="exact"/>
        <w:rPr>
          <w:sz w:val="20"/>
          <w:szCs w:val="20"/>
          <w:color w:val="auto"/>
        </w:rPr>
      </w:pPr>
    </w:p>
    <w:p>
      <w:pPr>
        <w:ind w:left="4" w:hanging="647"/>
        <w:spacing w:after="0" w:line="245" w:lineRule="auto"/>
        <w:rPr>
          <w:sz w:val="20"/>
          <w:szCs w:val="20"/>
          <w:color w:val="auto"/>
        </w:rPr>
      </w:pPr>
      <w:r>
        <w:rPr>
          <w:rFonts w:ascii="Arial" w:cs="Arial" w:eastAsia="Arial" w:hAnsi="Arial"/>
          <w:sz w:val="22"/>
          <w:szCs w:val="22"/>
          <w:color w:val="auto"/>
        </w:rPr>
        <w:t>6.8</w:t>
      </w:r>
      <w:r>
        <w:rPr>
          <w:sz w:val="20"/>
          <w:szCs w:val="20"/>
          <w:color w:val="auto"/>
        </w:rPr>
        <w:t xml:space="preserve"> </w:t>
      </w:r>
      <w:r>
        <w:rPr>
          <w:rFonts w:ascii="Arial" w:cs="Arial" w:eastAsia="Arial" w:hAnsi="Arial"/>
          <w:sz w:val="22"/>
          <w:szCs w:val="22"/>
          <w:u w:val="single" w:color="auto"/>
          <w:color w:val="auto"/>
        </w:rPr>
        <w:t>Rules Applicable to Installment Payments</w:t>
      </w:r>
      <w:r>
        <w:rPr>
          <w:rFonts w:ascii="Arial" w:cs="Arial" w:eastAsia="Arial" w:hAnsi="Arial"/>
          <w:sz w:val="22"/>
          <w:szCs w:val="22"/>
          <w:color w:val="auto"/>
        </w:rPr>
        <w:t>. If a Payment Schedule specifies installment payments, payments will</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made beginning as of the payment commencement date for such installments and shall continue to be made in each subsequent payment period until the number of installment payments specified in the Payment Schedule has been paid. The amount of each installment payment shall be determined by dividing (a) by (b), where (a) equals the Account Balance as of the last Valuation Date in the month</w:t>
      </w:r>
    </w:p>
    <w:p>
      <w:pPr>
        <w:sectPr>
          <w:pgSz w:w="11900" w:h="16838" w:orient="portrait"/>
          <w:cols w:equalWidth="0" w:num="1">
            <w:col w:w="10744"/>
          </w:cols>
          <w:pgMar w:left="896" w:top="591" w:right="259" w:bottom="1440" w:gutter="0" w:footer="0" w:header="0"/>
        </w:sectPr>
      </w:pPr>
    </w:p>
    <w:bookmarkStart w:id="185" w:name="page186"/>
    <w:bookmarkEnd w:id="185"/>
    <w:p>
      <w:pPr>
        <w:ind w:left="660" w:right="240"/>
        <w:spacing w:after="0" w:line="245" w:lineRule="auto"/>
        <w:rPr>
          <w:sz w:val="20"/>
          <w:szCs w:val="20"/>
          <w:color w:val="auto"/>
        </w:rPr>
      </w:pPr>
      <w:r>
        <w:rPr>
          <w:rFonts w:ascii="Arial" w:cs="Arial" w:eastAsia="Arial" w:hAnsi="Arial"/>
          <w:sz w:val="22"/>
          <w:szCs w:val="22"/>
          <w:color w:val="auto"/>
        </w:rPr>
        <w:t>preceding the month of payment (or as of such other date as approved by the Committee to facilitate administration of the Plan) and (b) equals the remaining number of installment payments. For purposes of Section 6.9, installment payments will be treated as a single payment. If an Account is payable in installments, the Account will continue to be credited with Earnings in accordance with Article VII hereof until the Account is completely distributed.</w:t>
      </w:r>
    </w:p>
    <w:p>
      <w:pPr>
        <w:spacing w:after="0" w:line="208"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22"/>
          <w:szCs w:val="22"/>
          <w:u w:val="single" w:color="auto"/>
          <w:color w:val="auto"/>
        </w:rPr>
        <w:t>Modifications to Payment Schedules</w:t>
      </w:r>
      <w:r>
        <w:rPr>
          <w:rFonts w:ascii="Arial" w:cs="Arial" w:eastAsia="Arial" w:hAnsi="Arial"/>
          <w:sz w:val="22"/>
          <w:szCs w:val="22"/>
          <w:color w:val="auto"/>
        </w:rPr>
        <w:t>. A Participant may modify the Payment Schedule elected by him or her with</w:t>
      </w:r>
      <w:r>
        <w:rPr>
          <w:rFonts w:ascii="Arial" w:cs="Arial" w:eastAsia="Arial" w:hAnsi="Arial"/>
          <w:sz w:val="22"/>
          <w:szCs w:val="22"/>
          <w:u w:val="single" w:color="auto"/>
          <w:color w:val="auto"/>
        </w:rPr>
        <w:t xml:space="preserve"> </w:t>
      </w:r>
      <w:r>
        <w:rPr>
          <w:rFonts w:ascii="Arial" w:cs="Arial" w:eastAsia="Arial" w:hAnsi="Arial"/>
          <w:sz w:val="22"/>
          <w:szCs w:val="22"/>
          <w:color w:val="auto"/>
        </w:rPr>
        <w:t>respect to an Account, consistent with the permissible Payment Schedules available under the Plan for the applicable payment event, provided such modification complies with the requirements of this Section 6.9.</w:t>
      </w:r>
    </w:p>
    <w:p>
      <w:pPr>
        <w:spacing w:after="0" w:line="186" w:lineRule="exact"/>
        <w:rPr>
          <w:sz w:val="20"/>
          <w:szCs w:val="20"/>
          <w:color w:val="auto"/>
        </w:rPr>
      </w:pPr>
    </w:p>
    <w:p>
      <w:pPr>
        <w:ind w:left="1300" w:right="160" w:hanging="644"/>
        <w:spacing w:after="0" w:line="257"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Time of Election</w:t>
      </w:r>
      <w:r>
        <w:rPr>
          <w:rFonts w:ascii="Arial" w:cs="Arial" w:eastAsia="Arial" w:hAnsi="Arial"/>
          <w:sz w:val="22"/>
          <w:szCs w:val="22"/>
          <w:color w:val="auto"/>
        </w:rPr>
        <w:t>. The modification election must be submitted to the Committee not less than 12 months</w:t>
      </w:r>
      <w:r>
        <w:rPr>
          <w:rFonts w:ascii="Arial" w:cs="Arial" w:eastAsia="Arial" w:hAnsi="Arial"/>
          <w:sz w:val="22"/>
          <w:szCs w:val="22"/>
          <w:i w:val="1"/>
          <w:iCs w:val="1"/>
          <w:color w:val="auto"/>
        </w:rPr>
        <w:t xml:space="preserve"> </w:t>
      </w:r>
      <w:r>
        <w:rPr>
          <w:rFonts w:ascii="Arial" w:cs="Arial" w:eastAsia="Arial" w:hAnsi="Arial"/>
          <w:sz w:val="22"/>
          <w:szCs w:val="22"/>
          <w:color w:val="auto"/>
        </w:rPr>
        <w:t>prior to the date payments would have commenced under the Payment Schedule in effect prior to modification (the “Prior Election”).</w:t>
      </w:r>
    </w:p>
    <w:p>
      <w:pPr>
        <w:spacing w:after="0" w:line="173" w:lineRule="exact"/>
        <w:rPr>
          <w:rFonts w:ascii="Arial" w:cs="Arial" w:eastAsia="Arial" w:hAnsi="Arial"/>
          <w:sz w:val="22"/>
          <w:szCs w:val="22"/>
          <w:color w:val="auto"/>
        </w:rPr>
      </w:pPr>
    </w:p>
    <w:p>
      <w:pPr>
        <w:ind w:left="1300" w:right="120" w:hanging="644"/>
        <w:spacing w:after="0" w:line="248"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Date of Payment under Modified Payment Schedule</w:t>
      </w:r>
      <w:r>
        <w:rPr>
          <w:rFonts w:ascii="Arial" w:cs="Arial" w:eastAsia="Arial" w:hAnsi="Arial"/>
          <w:sz w:val="22"/>
          <w:szCs w:val="22"/>
          <w:color w:val="auto"/>
        </w:rPr>
        <w:t>. The date payments are to commence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modified Payment Schedule must be no earlier than five years after the date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on the fifth anniversary of the date payment would have commenced under the Prior Election.</w:t>
      </w:r>
    </w:p>
    <w:p>
      <w:pPr>
        <w:spacing w:after="0" w:line="187" w:lineRule="exact"/>
        <w:rPr>
          <w:rFonts w:ascii="Arial" w:cs="Arial" w:eastAsia="Arial" w:hAnsi="Arial"/>
          <w:sz w:val="22"/>
          <w:szCs w:val="22"/>
          <w:color w:val="auto"/>
        </w:rPr>
      </w:pPr>
    </w:p>
    <w:p>
      <w:pPr>
        <w:ind w:left="1300" w:right="260" w:hanging="644"/>
        <w:spacing w:after="0" w:line="270"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Irrevocability; Effective Date</w:t>
      </w:r>
      <w:r>
        <w:rPr>
          <w:rFonts w:ascii="Arial" w:cs="Arial" w:eastAsia="Arial" w:hAnsi="Arial"/>
          <w:sz w:val="22"/>
          <w:szCs w:val="22"/>
          <w:color w:val="auto"/>
        </w:rPr>
        <w:t>. A modification election is irrevocable when filed and becomes effective 12</w:t>
      </w:r>
      <w:r>
        <w:rPr>
          <w:rFonts w:ascii="Arial" w:cs="Arial" w:eastAsia="Arial" w:hAnsi="Arial"/>
          <w:sz w:val="22"/>
          <w:szCs w:val="22"/>
          <w:i w:val="1"/>
          <w:iCs w:val="1"/>
          <w:color w:val="auto"/>
        </w:rPr>
        <w:t xml:space="preserve"> </w:t>
      </w:r>
      <w:r>
        <w:rPr>
          <w:rFonts w:ascii="Arial" w:cs="Arial" w:eastAsia="Arial" w:hAnsi="Arial"/>
          <w:sz w:val="22"/>
          <w:szCs w:val="22"/>
          <w:color w:val="auto"/>
        </w:rPr>
        <w:t>months after the filing date.</w:t>
      </w:r>
    </w:p>
    <w:p>
      <w:pPr>
        <w:spacing w:after="0" w:line="160" w:lineRule="exact"/>
        <w:rPr>
          <w:rFonts w:ascii="Arial" w:cs="Arial" w:eastAsia="Arial" w:hAnsi="Arial"/>
          <w:sz w:val="22"/>
          <w:szCs w:val="22"/>
          <w:color w:val="auto"/>
        </w:rPr>
      </w:pPr>
    </w:p>
    <w:p>
      <w:pPr>
        <w:ind w:left="1300" w:right="140" w:hanging="644"/>
        <w:spacing w:after="0" w:line="252"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Effect on Accounts</w:t>
      </w:r>
      <w:r>
        <w:rPr>
          <w:rFonts w:ascii="Arial" w:cs="Arial" w:eastAsia="Arial" w:hAnsi="Arial"/>
          <w:sz w:val="22"/>
          <w:szCs w:val="22"/>
          <w:color w:val="auto"/>
        </w:rPr>
        <w:t>. An election to modify a Payment Schedule is specific to the Account or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event to which it applies, and shall not be construed to affect the Payment Schedules or payment events of any other Accounts. A modification election has no effect on the lump sum cash out for Account Balances at or below $100,000 as provided in Section 6.3.</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Valuation of Account Balances; Investments</w:t>
      </w:r>
    </w:p>
    <w:p>
      <w:pPr>
        <w:spacing w:after="0" w:line="112" w:lineRule="exact"/>
        <w:rPr>
          <w:sz w:val="20"/>
          <w:szCs w:val="20"/>
          <w:color w:val="auto"/>
        </w:rPr>
      </w:pPr>
    </w:p>
    <w:p>
      <w:pPr>
        <w:jc w:val="both"/>
        <w:ind w:left="660" w:right="80" w:hanging="647"/>
        <w:spacing w:after="0" w:line="246"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u w:val="single" w:color="auto"/>
          <w:color w:val="auto"/>
        </w:rPr>
        <w:t xml:space="preserve">Valuation. </w:t>
      </w:r>
      <w:r>
        <w:rPr>
          <w:rFonts w:ascii="Arial" w:cs="Arial" w:eastAsia="Arial" w:hAnsi="Arial"/>
          <w:sz w:val="22"/>
          <w:szCs w:val="22"/>
          <w:color w:val="auto"/>
        </w:rPr>
        <w:t>Deferrals shall be credited to appropriate Accounts on the date such Compensation would have been</w:t>
      </w:r>
      <w:r>
        <w:rPr>
          <w:rFonts w:ascii="Arial" w:cs="Arial" w:eastAsia="Arial" w:hAnsi="Arial"/>
          <w:sz w:val="22"/>
          <w:szCs w:val="22"/>
          <w:u w:val="single" w:color="auto"/>
          <w:color w:val="auto"/>
        </w:rPr>
        <w:t xml:space="preserve"> </w:t>
      </w:r>
      <w:r>
        <w:rPr>
          <w:rFonts w:ascii="Arial" w:cs="Arial" w:eastAsia="Arial" w:hAnsi="Arial"/>
          <w:sz w:val="22"/>
          <w:szCs w:val="22"/>
          <w:color w:val="auto"/>
        </w:rPr>
        <w:t>paid to the Participant absent the Compensation Deferral Agreement. Valuation of Accounts shall be performed under procedures approved by the Committee.</w:t>
      </w:r>
    </w:p>
    <w:p>
      <w:pPr>
        <w:spacing w:after="0" w:line="208" w:lineRule="exact"/>
        <w:rPr>
          <w:sz w:val="20"/>
          <w:szCs w:val="20"/>
          <w:color w:val="auto"/>
        </w:rPr>
      </w:pPr>
    </w:p>
    <w:p>
      <w:pPr>
        <w:ind w:left="660" w:right="340" w:hanging="647"/>
        <w:spacing w:after="0" w:line="246"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u w:val="single" w:color="auto"/>
          <w:color w:val="auto"/>
        </w:rPr>
        <w:t xml:space="preserve">Earnings Credit. </w:t>
      </w:r>
      <w:r>
        <w:rPr>
          <w:rFonts w:ascii="Arial" w:cs="Arial" w:eastAsia="Arial" w:hAnsi="Arial"/>
          <w:sz w:val="22"/>
          <w:szCs w:val="22"/>
          <w:color w:val="auto"/>
        </w:rPr>
        <w:t>Each Account will be credited with Earnings on each Business Day, based upon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investment allocation among a menu of investment options selected in advance by the Board, in accordance with the provisions of this Article VII (“investment allocation”).</w:t>
      </w:r>
    </w:p>
    <w:p>
      <w:pPr>
        <w:spacing w:after="0" w:line="208" w:lineRule="exact"/>
        <w:rPr>
          <w:sz w:val="20"/>
          <w:szCs w:val="20"/>
          <w:color w:val="auto"/>
        </w:rPr>
      </w:pPr>
    </w:p>
    <w:p>
      <w:pPr>
        <w:jc w:val="both"/>
        <w:ind w:left="660" w:right="80" w:hanging="647"/>
        <w:spacing w:after="0" w:line="246"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u w:val="single" w:color="auto"/>
          <w:color w:val="auto"/>
        </w:rPr>
        <w:t>Investment Options</w:t>
      </w:r>
      <w:r>
        <w:rPr>
          <w:rFonts w:ascii="Arial" w:cs="Arial" w:eastAsia="Arial" w:hAnsi="Arial"/>
          <w:sz w:val="22"/>
          <w:szCs w:val="22"/>
          <w:color w:val="auto"/>
        </w:rPr>
        <w:t>. Investment options will be determined by the Board. The Board, in its sole discretion, shall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permitted to add or remove investment options from the Plan menu from time to time, provided that any such additions or removals of investment</w:t>
      </w:r>
    </w:p>
    <w:p>
      <w:pPr>
        <w:sectPr>
          <w:pgSz w:w="11900" w:h="16838" w:orient="portrait"/>
          <w:cols w:equalWidth="0" w:num="1">
            <w:col w:w="11400"/>
          </w:cols>
          <w:pgMar w:left="240" w:top="606" w:right="259" w:bottom="1440" w:gutter="0" w:footer="0" w:header="0"/>
        </w:sectPr>
      </w:pPr>
    </w:p>
    <w:bookmarkStart w:id="186" w:name="page187"/>
    <w:bookmarkEnd w:id="186"/>
    <w:p>
      <w:pPr>
        <w:ind w:left="660"/>
        <w:spacing w:after="0"/>
        <w:rPr>
          <w:sz w:val="20"/>
          <w:szCs w:val="20"/>
          <w:color w:val="auto"/>
        </w:rPr>
      </w:pPr>
      <w:r>
        <w:rPr>
          <w:rFonts w:ascii="Arial" w:cs="Arial" w:eastAsia="Arial" w:hAnsi="Arial"/>
          <w:sz w:val="22"/>
          <w:szCs w:val="22"/>
          <w:color w:val="auto"/>
        </w:rPr>
        <w:t>options shall not be effective with respect to any period prior to the effective date of such change.</w:t>
      </w:r>
    </w:p>
    <w:p>
      <w:pPr>
        <w:spacing w:after="0" w:line="220" w:lineRule="exact"/>
        <w:rPr>
          <w:sz w:val="20"/>
          <w:szCs w:val="20"/>
          <w:color w:val="auto"/>
        </w:rPr>
      </w:pPr>
    </w:p>
    <w:p>
      <w:pPr>
        <w:ind w:left="660" w:right="160" w:hanging="647"/>
        <w:spacing w:after="0" w:line="244" w:lineRule="auto"/>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u w:val="single" w:color="auto"/>
          <w:color w:val="auto"/>
        </w:rPr>
        <w:t xml:space="preserve">Investment Allocations. </w:t>
      </w:r>
      <w:r>
        <w:rPr>
          <w:rFonts w:ascii="Arial" w:cs="Arial" w:eastAsia="Arial" w:hAnsi="Arial"/>
          <w:sz w:val="22"/>
          <w:szCs w:val="22"/>
          <w:color w:val="auto"/>
        </w:rPr>
        <w:t>A Participant’s investment allocation constitutes a deemed, not actual, investment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among the 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213" w:lineRule="exact"/>
        <w:rPr>
          <w:sz w:val="20"/>
          <w:szCs w:val="20"/>
          <w:color w:val="auto"/>
        </w:rPr>
      </w:pPr>
    </w:p>
    <w:p>
      <w:pPr>
        <w:ind w:left="660" w:right="240"/>
        <w:spacing w:after="0" w:line="245" w:lineRule="auto"/>
        <w:rPr>
          <w:sz w:val="20"/>
          <w:szCs w:val="20"/>
          <w:color w:val="auto"/>
        </w:rPr>
      </w:pPr>
      <w:r>
        <w:rPr>
          <w:rFonts w:ascii="Arial" w:cs="Arial" w:eastAsia="Arial" w:hAnsi="Arial"/>
          <w:sz w:val="22"/>
          <w:szCs w:val="22"/>
          <w:color w:val="auto"/>
        </w:rPr>
        <w:t>A Participant shall specify an investment allocation for each of his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210" w:lineRule="exact"/>
        <w:rPr>
          <w:sz w:val="20"/>
          <w:szCs w:val="20"/>
          <w:color w:val="auto"/>
        </w:rPr>
      </w:pPr>
    </w:p>
    <w:p>
      <w:pPr>
        <w:ind w:left="660"/>
        <w:spacing w:after="0" w:line="261" w:lineRule="auto"/>
        <w:rPr>
          <w:sz w:val="20"/>
          <w:szCs w:val="20"/>
          <w:color w:val="auto"/>
        </w:rPr>
      </w:pPr>
      <w:r>
        <w:rPr>
          <w:rFonts w:ascii="Arial" w:cs="Arial" w:eastAsia="Arial" w:hAnsi="Arial"/>
          <w:sz w:val="21"/>
          <w:szCs w:val="21"/>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192" w:lineRule="exact"/>
        <w:rPr>
          <w:sz w:val="20"/>
          <w:szCs w:val="20"/>
          <w:color w:val="auto"/>
        </w:rPr>
      </w:pPr>
    </w:p>
    <w:p>
      <w:pPr>
        <w:ind w:left="660" w:right="160" w:hanging="647"/>
        <w:spacing w:after="0" w:line="246" w:lineRule="auto"/>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u w:val="single" w:color="auto"/>
          <w:color w:val="auto"/>
        </w:rPr>
        <w:t xml:space="preserve">Unallocated Deferrals and Accounts. </w:t>
      </w:r>
      <w:r>
        <w:rPr>
          <w:rFonts w:ascii="Arial" w:cs="Arial" w:eastAsia="Arial" w:hAnsi="Arial"/>
          <w:sz w:val="22"/>
          <w:szCs w:val="22"/>
          <w:color w:val="auto"/>
        </w:rPr>
        <w:t>If the Participant fails to make an investment allocation with respect to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 such Account shall be invested in an investment option, the primary objective of which is the preservation of capital, as determined by the Committee.</w:t>
      </w:r>
    </w:p>
    <w:p>
      <w:pPr>
        <w:spacing w:after="0" w:line="208" w:lineRule="exact"/>
        <w:rPr>
          <w:sz w:val="20"/>
          <w:szCs w:val="20"/>
          <w:color w:val="auto"/>
        </w:rPr>
      </w:pPr>
    </w:p>
    <w:p>
      <w:pPr>
        <w:ind w:left="660" w:right="140" w:hanging="647"/>
        <w:spacing w:after="0" w:line="246" w:lineRule="auto"/>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u w:val="single" w:color="auto"/>
          <w:color w:val="auto"/>
        </w:rPr>
        <w:t xml:space="preserve">Valuations Final After 180 Days </w:t>
      </w:r>
      <w:r>
        <w:rPr>
          <w:rFonts w:ascii="Arial" w:cs="Arial" w:eastAsia="Arial" w:hAnsi="Arial"/>
          <w:sz w:val="22"/>
          <w:szCs w:val="22"/>
          <w:color w:val="auto"/>
        </w:rPr>
        <w:t>. The Participant shall have 180 days following the Valuation Date on which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 failed to receive the full amount of Earnings and to file a claim under Article XI for the correction of such error.</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Administration</w:t>
      </w:r>
    </w:p>
    <w:p>
      <w:pPr>
        <w:spacing w:after="0" w:line="112"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u w:val="single" w:color="auto"/>
          <w:color w:val="auto"/>
        </w:rPr>
        <w:t>Plan Administration</w:t>
      </w:r>
      <w:r>
        <w:rPr>
          <w:rFonts w:ascii="Arial" w:cs="Arial" w:eastAsia="Arial" w:hAnsi="Arial"/>
          <w:sz w:val="21"/>
          <w:szCs w:val="21"/>
          <w:color w:val="auto"/>
        </w:rPr>
        <w:t>. This Plan shall be administered by the Committee which shall have discretionary authority</w:t>
      </w:r>
      <w:r>
        <w:rPr>
          <w:rFonts w:ascii="Arial" w:cs="Arial" w:eastAsia="Arial" w:hAnsi="Arial"/>
          <w:sz w:val="21"/>
          <w:szCs w:val="21"/>
          <w:u w:val="single" w:color="auto"/>
          <w:color w:val="auto"/>
        </w:rPr>
        <w:t xml:space="preserve"> </w:t>
      </w:r>
      <w:r>
        <w:rPr>
          <w:rFonts w:ascii="Arial" w:cs="Arial" w:eastAsia="Arial" w:hAnsi="Arial"/>
          <w:sz w:val="21"/>
          <w:szCs w:val="21"/>
          <w:color w:val="auto"/>
        </w:rPr>
        <w:t>to make,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w:t>
      </w:r>
    </w:p>
    <w:p>
      <w:pPr>
        <w:spacing w:after="0" w:line="196" w:lineRule="exact"/>
        <w:rPr>
          <w:sz w:val="20"/>
          <w:szCs w:val="20"/>
          <w:color w:val="auto"/>
        </w:rPr>
      </w:pPr>
    </w:p>
    <w:p>
      <w:pPr>
        <w:ind w:left="660" w:right="100" w:hanging="647"/>
        <w:spacing w:after="0" w:line="244"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 xml:space="preserve">Withholding. </w:t>
      </w:r>
      <w:r>
        <w:rPr>
          <w:rFonts w:ascii="Arial" w:cs="Arial" w:eastAsia="Arial" w:hAnsi="Arial"/>
          <w:sz w:val="22"/>
          <w:szCs w:val="22"/>
          <w:color w:val="auto"/>
        </w:rPr>
        <w:t>The Employer may withhold or cause to be withheld from any amounts payable under the Plan 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federal, state, local and other taxes as shall be legally required to be withheld. Further, with respect to any federal, state, local and other taxes that may be required to be withheld at any time as a result of the crediting, vesting or payment of benefits under the Plan, the Employer shall have the right to (a) require a Participant to pay or provide for payment of any such taxes, or (b) withhold any such taxes from any compensation otherwise payable in cash to the Participant.</w:t>
      </w:r>
    </w:p>
    <w:p>
      <w:pPr>
        <w:sectPr>
          <w:pgSz w:w="11900" w:h="16838" w:orient="portrait"/>
          <w:cols w:equalWidth="0" w:num="1">
            <w:col w:w="11340"/>
          </w:cols>
          <w:pgMar w:left="240" w:top="606" w:right="319" w:bottom="1440" w:gutter="0" w:footer="0" w:header="0"/>
        </w:sectPr>
      </w:pPr>
    </w:p>
    <w:bookmarkStart w:id="187" w:name="page188"/>
    <w:bookmarkEnd w:id="187"/>
    <w:p>
      <w:pPr>
        <w:ind w:left="660" w:right="40" w:hanging="647"/>
        <w:spacing w:after="0" w:line="256"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u w:val="single" w:color="auto"/>
          <w:color w:val="auto"/>
        </w:rPr>
        <w:t xml:space="preserve">Indemnification. </w:t>
      </w:r>
      <w:r>
        <w:rPr>
          <w:rFonts w:ascii="Arial" w:cs="Arial" w:eastAsia="Arial" w:hAnsi="Arial"/>
          <w:sz w:val="21"/>
          <w:szCs w:val="21"/>
          <w:color w:val="auto"/>
        </w:rPr>
        <w:t>The Participating Employers shall indemnify and hold harmless each employee, officer, director,</w:t>
      </w:r>
      <w:r>
        <w:rPr>
          <w:rFonts w:ascii="Arial" w:cs="Arial" w:eastAsia="Arial" w:hAnsi="Arial"/>
          <w:sz w:val="21"/>
          <w:szCs w:val="21"/>
          <w:u w:val="single" w:color="auto"/>
          <w:color w:val="auto"/>
        </w:rPr>
        <w:t xml:space="preserve"> </w:t>
      </w:r>
      <w:r>
        <w:rPr>
          <w:rFonts w:ascii="Arial" w:cs="Arial" w:eastAsia="Arial" w:hAnsi="Arial"/>
          <w:sz w:val="21"/>
          <w:szCs w:val="21"/>
          <w:color w:val="auto"/>
        </w:rPr>
        <w:t>agent or organization, to whom or to which are delegated duties, responsibilities, and authority under the Plan or otherwise with respect to administration of the Plan, including, without limitation, the Committee, its delegees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205" w:lineRule="exact"/>
        <w:rPr>
          <w:sz w:val="20"/>
          <w:szCs w:val="20"/>
          <w:color w:val="auto"/>
        </w:rPr>
      </w:pPr>
    </w:p>
    <w:p>
      <w:pPr>
        <w:ind w:left="660" w:right="140" w:hanging="647"/>
        <w:spacing w:after="0" w:line="246" w:lineRule="auto"/>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u w:val="single" w:color="auto"/>
          <w:color w:val="auto"/>
        </w:rPr>
        <w:t xml:space="preserve">Delegation of Authority. </w:t>
      </w:r>
      <w:r>
        <w:rPr>
          <w:rFonts w:ascii="Arial" w:cs="Arial" w:eastAsia="Arial" w:hAnsi="Arial"/>
          <w:sz w:val="22"/>
          <w:szCs w:val="22"/>
          <w:color w:val="auto"/>
        </w:rPr>
        <w:t>In the administration of this Plan, the Committee may, from time to time, employ agents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delegate to them such administrative duties as it sees fit, and may from time to time consult with legal counsel who shall be legal counsel to the Company.</w:t>
      </w:r>
    </w:p>
    <w:p>
      <w:pPr>
        <w:spacing w:after="0" w:line="208"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u w:val="single" w:color="auto"/>
          <w:color w:val="auto"/>
        </w:rPr>
        <w:t xml:space="preserve">Binding Decisions or Actions. </w:t>
      </w:r>
      <w:r>
        <w:rPr>
          <w:rFonts w:ascii="Arial" w:cs="Arial" w:eastAsia="Arial" w:hAnsi="Arial"/>
          <w:sz w:val="21"/>
          <w:szCs w:val="21"/>
          <w:color w:val="auto"/>
        </w:rPr>
        <w:t>The decision or action of the Committee in respect of any question arising out of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connection with the administration, interpretation and application of the Plan and the rules and regulations thereunder shall be final and conclusive and binding upon all persons having any interest in the Plan.</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IX</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Amendment and Termination</w:t>
      </w:r>
    </w:p>
    <w:p>
      <w:pPr>
        <w:spacing w:after="0" w:line="112" w:lineRule="exact"/>
        <w:rPr>
          <w:sz w:val="20"/>
          <w:szCs w:val="20"/>
          <w:color w:val="auto"/>
        </w:rPr>
      </w:pPr>
    </w:p>
    <w:p>
      <w:pPr>
        <w:ind w:left="660" w:right="40" w:hanging="647"/>
        <w:spacing w:after="0" w:line="246"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u w:val="single" w:color="auto"/>
          <w:color w:val="auto"/>
        </w:rPr>
        <w:t xml:space="preserve">Amendment and Termination. </w:t>
      </w:r>
      <w:r>
        <w:rPr>
          <w:rFonts w:ascii="Arial" w:cs="Arial" w:eastAsia="Arial" w:hAnsi="Arial"/>
          <w:sz w:val="22"/>
          <w:szCs w:val="22"/>
          <w:color w:val="auto"/>
        </w:rPr>
        <w:t>The Company may at any time and from time to time amend the Plan or may</w:t>
      </w:r>
      <w:r>
        <w:rPr>
          <w:rFonts w:ascii="Arial" w:cs="Arial" w:eastAsia="Arial" w:hAnsi="Arial"/>
          <w:sz w:val="22"/>
          <w:szCs w:val="22"/>
          <w:u w:val="single" w:color="auto"/>
          <w:color w:val="auto"/>
        </w:rPr>
        <w:t xml:space="preserve"> </w:t>
      </w:r>
      <w:r>
        <w:rPr>
          <w:rFonts w:ascii="Arial" w:cs="Arial" w:eastAsia="Arial" w:hAnsi="Arial"/>
          <w:sz w:val="22"/>
          <w:szCs w:val="22"/>
          <w:color w:val="auto"/>
        </w:rPr>
        <w:t>terminate the Plan as provided in this Article IX. Each Participating Employer may also terminate its participation in the Plan.</w:t>
      </w:r>
    </w:p>
    <w:p>
      <w:pPr>
        <w:spacing w:after="0" w:line="208" w:lineRule="exact"/>
        <w:rPr>
          <w:sz w:val="20"/>
          <w:szCs w:val="20"/>
          <w:color w:val="auto"/>
        </w:rPr>
      </w:pPr>
    </w:p>
    <w:p>
      <w:pPr>
        <w:ind w:left="660" w:right="20" w:hanging="647"/>
        <w:spacing w:after="0" w:line="244"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u w:val="single" w:color="auto"/>
          <w:color w:val="auto"/>
        </w:rPr>
        <w:t xml:space="preserve">Amendments. </w:t>
      </w:r>
      <w:r>
        <w:rPr>
          <w:rFonts w:ascii="Arial" w:cs="Arial" w:eastAsia="Arial" w:hAnsi="Arial"/>
          <w:sz w:val="22"/>
          <w:szCs w:val="22"/>
          <w:color w:val="auto"/>
        </w:rPr>
        <w:t>The Company, by action taken by its Board of Directors, may amend the Plan at any time and for</w:t>
      </w:r>
      <w:r>
        <w:rPr>
          <w:rFonts w:ascii="Arial" w:cs="Arial" w:eastAsia="Arial" w:hAnsi="Arial"/>
          <w:sz w:val="22"/>
          <w:szCs w:val="22"/>
          <w:u w:val="single" w:color="auto"/>
          <w:color w:val="auto"/>
        </w:rPr>
        <w:t xml:space="preserve"> </w:t>
      </w:r>
      <w:r>
        <w:rPr>
          <w:rFonts w:ascii="Arial" w:cs="Arial" w:eastAsia="Arial" w:hAnsi="Arial"/>
          <w:sz w:val="22"/>
          <w:szCs w:val="22"/>
          <w:color w:val="auto"/>
        </w:rPr>
        <w:t>any reason, provided that any such amendment shall not reduce the vested Account Balances of any Participant accrued as of the date of any such amendment or restatement (as if the Participant had incurred a voluntary Separation from Service on such date). The Board of Directors of the Company may delegate to the Committee the authority to amend the Plan without the consent of the Board of Directors for the purpose of: (i) conforming the Plan to the requirements of law; (ii) facilitating the administration of the Plan; (iii) clarifying provisions based on the Committee’s interpretation of the Plan documents; and (iv) making such other amendments as the Board of Directors may authorize. No amendment is needed to revise the list of Participating Employers set forth on Schedule A attached hereto.</w:t>
      </w:r>
    </w:p>
    <w:p>
      <w:pPr>
        <w:spacing w:after="0" w:line="211" w:lineRule="exact"/>
        <w:rPr>
          <w:sz w:val="20"/>
          <w:szCs w:val="20"/>
          <w:color w:val="auto"/>
        </w:rPr>
      </w:pPr>
    </w:p>
    <w:p>
      <w:pPr>
        <w:ind w:left="660" w:right="520" w:hanging="647"/>
        <w:spacing w:after="0" w:line="246"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u w:val="single" w:color="auto"/>
          <w:color w:val="auto"/>
        </w:rPr>
        <w:t xml:space="preserve">Termination. </w:t>
      </w:r>
      <w:r>
        <w:rPr>
          <w:rFonts w:ascii="Arial" w:cs="Arial" w:eastAsia="Arial" w:hAnsi="Arial"/>
          <w:sz w:val="22"/>
          <w:szCs w:val="22"/>
          <w:color w:val="auto"/>
        </w:rPr>
        <w:t>The Company, by action taken by its Board of Directors, may terminate the Plan and pay</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and Beneficiaries their Account Balances in a single lump sum at any time, to the extent and in accordance with Treas. Reg. Section 1.409A-3(j)(4)(ix).</w:t>
      </w:r>
    </w:p>
    <w:p>
      <w:pPr>
        <w:sectPr>
          <w:pgSz w:w="11900" w:h="16838" w:orient="portrait"/>
          <w:cols w:equalWidth="0" w:num="1">
            <w:col w:w="11400"/>
          </w:cols>
          <w:pgMar w:left="240" w:top="822" w:right="259" w:bottom="1440" w:gutter="0" w:footer="0" w:header="0"/>
        </w:sectPr>
      </w:pPr>
    </w:p>
    <w:bookmarkStart w:id="188" w:name="page189"/>
    <w:bookmarkEnd w:id="188"/>
    <w:p>
      <w:pPr>
        <w:ind w:left="660" w:right="20" w:hanging="647"/>
        <w:spacing w:after="0" w:line="261"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u w:val="single" w:color="auto"/>
          <w:color w:val="auto"/>
        </w:rPr>
        <w:t xml:space="preserve">Accounts Taxable Under Code Section 409A. </w:t>
      </w:r>
      <w:r>
        <w:rPr>
          <w:rFonts w:ascii="Arial" w:cs="Arial" w:eastAsia="Arial" w:hAnsi="Arial"/>
          <w:sz w:val="21"/>
          <w:szCs w:val="21"/>
          <w:color w:val="auto"/>
        </w:rPr>
        <w:t>The Plan is intended to constitute a plan of deferred compensation</w:t>
      </w:r>
      <w:r>
        <w:rPr>
          <w:rFonts w:ascii="Arial" w:cs="Arial" w:eastAsia="Arial" w:hAnsi="Arial"/>
          <w:sz w:val="21"/>
          <w:szCs w:val="21"/>
          <w:u w:val="single" w:color="auto"/>
          <w:color w:val="auto"/>
        </w:rPr>
        <w:t xml:space="preserve"> </w:t>
      </w:r>
      <w:r>
        <w:rPr>
          <w:rFonts w:ascii="Arial" w:cs="Arial" w:eastAsia="Arial" w:hAnsi="Arial"/>
          <w:sz w:val="21"/>
          <w:szCs w:val="21"/>
          <w:color w:val="auto"/>
        </w:rPr>
        <w:t>that 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Informal Funding</w:t>
      </w:r>
    </w:p>
    <w:p>
      <w:pPr>
        <w:spacing w:after="0" w:line="112" w:lineRule="exact"/>
        <w:rPr>
          <w:sz w:val="20"/>
          <w:szCs w:val="20"/>
          <w:color w:val="auto"/>
        </w:rPr>
      </w:pPr>
    </w:p>
    <w:p>
      <w:pPr>
        <w:ind w:left="660" w:right="120" w:hanging="647"/>
        <w:spacing w:after="0" w:line="244"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 xml:space="preserve">General Assets. </w:t>
      </w:r>
      <w:r>
        <w:rPr>
          <w:rFonts w:ascii="Arial" w:cs="Arial" w:eastAsia="Arial" w:hAnsi="Arial"/>
          <w:sz w:val="22"/>
          <w:szCs w:val="22"/>
          <w:color w:val="auto"/>
        </w:rPr>
        <w:t>Obligations established under the terms of the Plan may be satisfied from the general funds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Participating Employers, or a trust described in this Article X. No Participant, spouse or Beneficiary shall have any right, title or interest whatever in assets of the Participating Employers. Nothing contained in this Plan,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212" w:lineRule="exact"/>
        <w:rPr>
          <w:sz w:val="20"/>
          <w:szCs w:val="20"/>
          <w:color w:val="auto"/>
        </w:rPr>
      </w:pPr>
    </w:p>
    <w:p>
      <w:pPr>
        <w:ind w:left="660" w:right="60" w:hanging="647"/>
        <w:spacing w:after="0" w:line="261"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u w:val="single" w:color="auto"/>
          <w:color w:val="auto"/>
        </w:rPr>
        <w:t xml:space="preserve">Rabbi Trust. </w:t>
      </w:r>
      <w:r>
        <w:rPr>
          <w:rFonts w:ascii="Arial" w:cs="Arial" w:eastAsia="Arial" w:hAnsi="Arial"/>
          <w:sz w:val="21"/>
          <w:szCs w:val="21"/>
          <w:color w:val="auto"/>
        </w:rPr>
        <w:t>A Participating Employer may, in its sole discretion, establish a grantor trust, commonly known as a</w:t>
      </w:r>
      <w:r>
        <w:rPr>
          <w:rFonts w:ascii="Arial" w:cs="Arial" w:eastAsia="Arial" w:hAnsi="Arial"/>
          <w:sz w:val="21"/>
          <w:szCs w:val="21"/>
          <w:u w:val="single" w:color="auto"/>
          <w:color w:val="auto"/>
        </w:rPr>
        <w:t xml:space="preserve"> </w:t>
      </w:r>
      <w:r>
        <w:rPr>
          <w:rFonts w:ascii="Arial" w:cs="Arial" w:eastAsia="Arial" w:hAnsi="Arial"/>
          <w:sz w:val="21"/>
          <w:szCs w:val="21"/>
          <w:color w:val="auto"/>
        </w:rPr>
        <w:t>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spacing w:after="0" w:line="192" w:lineRule="exact"/>
        <w:rPr>
          <w:sz w:val="20"/>
          <w:szCs w:val="20"/>
          <w:color w:val="auto"/>
        </w:rPr>
      </w:pPr>
    </w:p>
    <w:p>
      <w:pPr>
        <w:ind w:left="660"/>
        <w:spacing w:after="0" w:line="245" w:lineRule="auto"/>
        <w:rPr>
          <w:sz w:val="20"/>
          <w:szCs w:val="20"/>
          <w:color w:val="auto"/>
        </w:rPr>
      </w:pPr>
      <w:r>
        <w:rPr>
          <w:rFonts w:ascii="Arial" w:cs="Arial" w:eastAsia="Arial" w:hAnsi="Arial"/>
          <w:sz w:val="22"/>
          <w:szCs w:val="22"/>
          <w:color w:val="auto"/>
        </w:rPr>
        <w:t>Notwithstanding the foregoing, in the event of a Change in Control, the Company shall (a) establish a rabbi trust (unless a rabbi trust has already been established before the Change in Control), (b) make a contribution to such rabbi trust in an amount equal to the accrued liabilities under this Plan as of the date of the Change in Control, and (c) make such additional contributions to the rabbi trust thereafter as may be necessary from time to time to reflect any subsequent increase in liabilities under the Plan after the Change in Control.</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Claims</w:t>
      </w:r>
    </w:p>
    <w:p>
      <w:pPr>
        <w:spacing w:after="0" w:line="112" w:lineRule="exact"/>
        <w:rPr>
          <w:sz w:val="20"/>
          <w:szCs w:val="20"/>
          <w:color w:val="auto"/>
        </w:rPr>
      </w:pPr>
    </w:p>
    <w:p>
      <w:pPr>
        <w:ind w:left="660" w:right="60" w:hanging="647"/>
        <w:spacing w:after="0" w:line="25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u w:val="single" w:color="auto"/>
          <w:color w:val="auto"/>
        </w:rPr>
        <w:t xml:space="preserve">Filing a Claim. </w:t>
      </w:r>
      <w:r>
        <w:rPr>
          <w:rFonts w:ascii="Arial" w:cs="Arial" w:eastAsia="Arial" w:hAnsi="Arial"/>
          <w:sz w:val="21"/>
          <w:szCs w:val="21"/>
          <w:color w:val="auto"/>
        </w:rPr>
        <w:t>Any controversy or claim arising out of or relating to the Plan shall be filed in writing with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Committee which shall make all determinations concerning such claim. Any claim filed with the Committee and any decision by the Committee denying such claim shall be in writing and shall be delivered to the Participant or Beneficiary filing the claim (the “Claimant”). Notice of a claim for payments shall be delivered to the Committee within 90 days of the latest date upon which the payment could have been timely made in accordance with the terms of the Plan and Code Section 409A, and if not paid, the Participant or Beneficiary must file a claim under this Article XI not later than 180 days after such latest date. If the Participant or Beneficiary fails to file a timely claim, the Participant forfeits any amounts to which he or she may have been entitled to receive under the claim.</w:t>
      </w:r>
    </w:p>
    <w:p>
      <w:pPr>
        <w:spacing w:after="0" w:line="178" w:lineRule="exact"/>
        <w:rPr>
          <w:sz w:val="20"/>
          <w:szCs w:val="20"/>
          <w:color w:val="auto"/>
        </w:rPr>
      </w:pPr>
    </w:p>
    <w:p>
      <w:pPr>
        <w:ind w:left="1300" w:right="120" w:hanging="644"/>
        <w:spacing w:after="0" w:line="270"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 xml:space="preserve">In General. </w:t>
      </w:r>
      <w:r>
        <w:rPr>
          <w:rFonts w:ascii="Arial" w:cs="Arial" w:eastAsia="Arial" w:hAnsi="Arial"/>
          <w:sz w:val="22"/>
          <w:szCs w:val="22"/>
          <w:color w:val="auto"/>
        </w:rPr>
        <w:t>Notice of a denial of benefits (other than claims based on disability) will be provided within 90</w:t>
      </w:r>
      <w:r>
        <w:rPr>
          <w:rFonts w:ascii="Arial" w:cs="Arial" w:eastAsia="Arial" w:hAnsi="Arial"/>
          <w:sz w:val="22"/>
          <w:szCs w:val="22"/>
          <w:i w:val="1"/>
          <w:iCs w:val="1"/>
          <w:color w:val="auto"/>
        </w:rPr>
        <w:t xml:space="preserve"> </w:t>
      </w:r>
      <w:r>
        <w:rPr>
          <w:rFonts w:ascii="Arial" w:cs="Arial" w:eastAsia="Arial" w:hAnsi="Arial"/>
          <w:sz w:val="22"/>
          <w:szCs w:val="22"/>
          <w:color w:val="auto"/>
        </w:rPr>
        <w:t>days of the Committee’s receipt of the Claimant's claim for</w:t>
      </w:r>
    </w:p>
    <w:p>
      <w:pPr>
        <w:sectPr>
          <w:pgSz w:w="11900" w:h="16838" w:orient="portrait"/>
          <w:cols w:equalWidth="0" w:num="1">
            <w:col w:w="11420"/>
          </w:cols>
          <w:pgMar w:left="240" w:top="606" w:right="239" w:bottom="1440" w:gutter="0" w:footer="0" w:header="0"/>
        </w:sectPr>
      </w:pPr>
    </w:p>
    <w:bookmarkStart w:id="189" w:name="page190"/>
    <w:bookmarkEnd w:id="189"/>
    <w:p>
      <w:pPr>
        <w:ind w:left="644" w:right="80"/>
        <w:spacing w:after="0" w:line="245" w:lineRule="auto"/>
        <w:rPr>
          <w:sz w:val="20"/>
          <w:szCs w:val="20"/>
          <w:color w:val="auto"/>
        </w:rPr>
      </w:pPr>
      <w:r>
        <w:rPr>
          <w:rFonts w:ascii="Arial" w:cs="Arial" w:eastAsia="Arial" w:hAnsi="Arial"/>
          <w:sz w:val="22"/>
          <w:szCs w:val="22"/>
          <w:color w:val="auto"/>
        </w:rPr>
        <w:t>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Committee expects to make a decision.</w:t>
      </w:r>
    </w:p>
    <w:p>
      <w:pPr>
        <w:spacing w:after="0" w:line="186" w:lineRule="exact"/>
        <w:rPr>
          <w:sz w:val="20"/>
          <w:szCs w:val="20"/>
          <w:color w:val="auto"/>
        </w:rPr>
      </w:pPr>
    </w:p>
    <w:p>
      <w:pPr>
        <w:ind w:left="644" w:hanging="644"/>
        <w:spacing w:after="0" w:line="245"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i w:val="1"/>
          <w:iCs w:val="1"/>
          <w:color w:val="auto"/>
        </w:rPr>
        <w:t xml:space="preserve">Disability Benefits. </w:t>
      </w:r>
      <w:r>
        <w:rPr>
          <w:rFonts w:ascii="Arial" w:cs="Arial" w:eastAsia="Arial" w:hAnsi="Arial"/>
          <w:sz w:val="22"/>
          <w:szCs w:val="22"/>
          <w:color w:val="auto"/>
        </w:rPr>
        <w:t>Notice of denial of claims based on disability will be provided within forty-five (45) days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Committee’s receipt of the Claimant’s claim for disability benefits. If the Committee determines that it needs additional time to review the disability claim, the Committee will provide the Claimant with a notice of the extension before the end of the initial 45-day period. If the Committee determines that a decision cannot be made within the first extension period due to matters beyond the control of the Committee, the time period for making a determination may be further extended for an additional 30 days. If such an additional extension is necessary, the Committee shall notify the Claimant prior to the expiration of the initial 30-day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45 days to submit any necessary additional information to the Committee. In the event that a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189" w:lineRule="exact"/>
        <w:rPr>
          <w:rFonts w:ascii="Arial" w:cs="Arial" w:eastAsia="Arial" w:hAnsi="Arial"/>
          <w:sz w:val="22"/>
          <w:szCs w:val="22"/>
          <w:color w:val="auto"/>
        </w:rPr>
      </w:pPr>
    </w:p>
    <w:p>
      <w:pPr>
        <w:ind w:left="644" w:hanging="644"/>
        <w:spacing w:after="0" w:line="246"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i w:val="1"/>
          <w:iCs w:val="1"/>
          <w:color w:val="auto"/>
        </w:rPr>
        <w:t xml:space="preserve">Contents of Notice. </w:t>
      </w:r>
      <w:r>
        <w:rPr>
          <w:rFonts w:ascii="Arial" w:cs="Arial" w:eastAsia="Arial" w:hAnsi="Arial"/>
          <w:sz w:val="22"/>
          <w:szCs w:val="22"/>
          <w:color w:val="auto"/>
        </w:rPr>
        <w:t>If a claim for benefits is completely or partially denied, notice of such denial shall be in</w:t>
      </w:r>
      <w:r>
        <w:rPr>
          <w:rFonts w:ascii="Arial" w:cs="Arial" w:eastAsia="Arial" w:hAnsi="Arial"/>
          <w:sz w:val="22"/>
          <w:szCs w:val="22"/>
          <w:i w:val="1"/>
          <w:iCs w:val="1"/>
          <w:color w:val="auto"/>
        </w:rPr>
        <w:t xml:space="preserve"> </w:t>
      </w:r>
      <w:r>
        <w:rPr>
          <w:rFonts w:ascii="Arial" w:cs="Arial" w:eastAsia="Arial" w:hAnsi="Arial"/>
          <w:sz w:val="22"/>
          <w:szCs w:val="22"/>
          <w:color w:val="auto"/>
        </w:rPr>
        <w:t>writing. Any electronic notification shall comply with the standards imposed by Department of Labor Regulation 29 CFR 2520.104b-1(c)(1)(i), (iii), and (iv). The notice of denial shall set forth the specific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the right to appeal the decision, the deadline by which such appeal must be filed and a statement of the Claimant’s right to bring a civil action under Section 502(a) of ERISA following an adverse decision on appeal and the specific date by which such a civil action must commence under Section 11.4.</w:t>
      </w:r>
    </w:p>
    <w:p>
      <w:pPr>
        <w:spacing w:after="0" w:line="208" w:lineRule="exact"/>
        <w:rPr>
          <w:sz w:val="20"/>
          <w:szCs w:val="20"/>
          <w:color w:val="auto"/>
        </w:rPr>
      </w:pPr>
    </w:p>
    <w:p>
      <w:pPr>
        <w:ind w:left="644" w:right="60" w:firstLine="648"/>
        <w:spacing w:after="0" w:line="246" w:lineRule="auto"/>
        <w:rPr>
          <w:sz w:val="20"/>
          <w:szCs w:val="20"/>
          <w:color w:val="auto"/>
        </w:rPr>
      </w:pPr>
      <w:r>
        <w:rPr>
          <w:rFonts w:ascii="Arial" w:cs="Arial" w:eastAsia="Arial" w:hAnsi="Arial"/>
          <w:sz w:val="22"/>
          <w:szCs w:val="22"/>
          <w:color w:val="auto"/>
        </w:rPr>
        <w:t>In the case of a complete or partial denial of a disability benefit claim, the notice shall provide such information and shall be communicated in the manner required under applicable Department of Labor regulations.</w:t>
      </w:r>
    </w:p>
    <w:p>
      <w:pPr>
        <w:sectPr>
          <w:pgSz w:w="11900" w:h="16838" w:orient="portrait"/>
          <w:cols w:equalWidth="0" w:num="1">
            <w:col w:w="10744"/>
          </w:cols>
          <w:pgMar w:left="896" w:top="606" w:right="259" w:bottom="1440" w:gutter="0" w:footer="0" w:header="0"/>
        </w:sectPr>
      </w:pPr>
    </w:p>
    <w:bookmarkStart w:id="190" w:name="page191"/>
    <w:bookmarkEnd w:id="190"/>
    <w:p>
      <w:pPr>
        <w:ind w:left="4" w:hanging="647"/>
        <w:spacing w:after="0" w:line="256" w:lineRule="auto"/>
        <w:rPr>
          <w:sz w:val="20"/>
          <w:szCs w:val="20"/>
          <w:color w:val="auto"/>
        </w:rPr>
      </w:pPr>
      <w:r>
        <w:rPr>
          <w:rFonts w:ascii="Arial" w:cs="Arial" w:eastAsia="Arial" w:hAnsi="Arial"/>
          <w:sz w:val="22"/>
          <w:szCs w:val="22"/>
          <w:color w:val="auto"/>
        </w:rPr>
        <w:t>11.2</w:t>
      </w:r>
      <w:r>
        <w:rPr>
          <w:sz w:val="20"/>
          <w:szCs w:val="20"/>
          <w:color w:val="auto"/>
        </w:rPr>
        <w:t xml:space="preserve"> </w:t>
      </w:r>
      <w:r>
        <w:rPr>
          <w:rFonts w:ascii="Arial" w:cs="Arial" w:eastAsia="Arial" w:hAnsi="Arial"/>
          <w:sz w:val="21"/>
          <w:szCs w:val="21"/>
          <w:u w:val="single" w:color="auto"/>
          <w:color w:val="auto"/>
        </w:rPr>
        <w:t xml:space="preserve">Appeal of Denied Claims. </w:t>
      </w:r>
      <w:r>
        <w:rPr>
          <w:rFonts w:ascii="Arial" w:cs="Arial" w:eastAsia="Arial" w:hAnsi="Arial"/>
          <w:sz w:val="21"/>
          <w:szCs w:val="21"/>
          <w:color w:val="auto"/>
        </w:rPr>
        <w:t>A Claimant whose claim has been completely or partially denied shall be entitled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review shall take into account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spacing w:after="0" w:line="181" w:lineRule="exact"/>
        <w:rPr>
          <w:sz w:val="20"/>
          <w:szCs w:val="20"/>
          <w:color w:val="auto"/>
        </w:rPr>
      </w:pPr>
    </w:p>
    <w:p>
      <w:pPr>
        <w:ind w:left="644" w:hanging="644"/>
        <w:spacing w:after="0" w:line="259" w:lineRule="auto"/>
        <w:tabs>
          <w:tab w:leader="none" w:pos="644" w:val="left"/>
        </w:tabs>
        <w:numPr>
          <w:ilvl w:val="0"/>
          <w:numId w:val="143"/>
        </w:numPr>
        <w:rPr>
          <w:rFonts w:ascii="Arial" w:cs="Arial" w:eastAsia="Arial" w:hAnsi="Arial"/>
          <w:sz w:val="17"/>
          <w:szCs w:val="17"/>
          <w:color w:val="auto"/>
        </w:rPr>
      </w:pPr>
      <w:r>
        <w:rPr>
          <w:rFonts w:ascii="Arial" w:cs="Arial" w:eastAsia="Arial" w:hAnsi="Arial"/>
          <w:sz w:val="21"/>
          <w:szCs w:val="21"/>
          <w:i w:val="1"/>
          <w:iCs w:val="1"/>
          <w:color w:val="auto"/>
        </w:rPr>
        <w:t xml:space="preserve">In General. </w:t>
      </w:r>
      <w:r>
        <w:rPr>
          <w:rFonts w:ascii="Arial" w:cs="Arial" w:eastAsia="Arial" w:hAnsi="Arial"/>
          <w:sz w:val="21"/>
          <w:szCs w:val="21"/>
          <w:color w:val="auto"/>
        </w:rPr>
        <w:t>Appeal of a denied benefits claim (other than a disability benefits claim) must be filed in</w:t>
      </w:r>
      <w:r>
        <w:rPr>
          <w:rFonts w:ascii="Arial" w:cs="Arial" w:eastAsia="Arial" w:hAnsi="Arial"/>
          <w:sz w:val="21"/>
          <w:szCs w:val="21"/>
          <w:i w:val="1"/>
          <w:iCs w:val="1"/>
          <w:color w:val="auto"/>
        </w:rPr>
        <w:t xml:space="preserve"> </w:t>
      </w:r>
      <w:r>
        <w:rPr>
          <w:rFonts w:ascii="Arial" w:cs="Arial" w:eastAsia="Arial" w:hAnsi="Arial"/>
          <w:sz w:val="21"/>
          <w:szCs w:val="21"/>
          <w:color w:val="auto"/>
        </w:rPr>
        <w:t>writing with the Appeals Committee 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172" w:lineRule="exact"/>
        <w:rPr>
          <w:rFonts w:ascii="Arial" w:cs="Arial" w:eastAsia="Arial" w:hAnsi="Arial"/>
          <w:sz w:val="17"/>
          <w:szCs w:val="17"/>
          <w:color w:val="auto"/>
        </w:rPr>
      </w:pPr>
    </w:p>
    <w:p>
      <w:pPr>
        <w:ind w:left="644" w:right="120" w:hanging="644"/>
        <w:spacing w:after="0" w:line="257"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22"/>
          <w:szCs w:val="22"/>
          <w:i w:val="1"/>
          <w:iCs w:val="1"/>
          <w:color w:val="auto"/>
        </w:rPr>
        <w:t xml:space="preserve">Disability Benefits. </w:t>
      </w:r>
      <w:r>
        <w:rPr>
          <w:rFonts w:ascii="Arial" w:cs="Arial" w:eastAsia="Arial" w:hAnsi="Arial"/>
          <w:sz w:val="22"/>
          <w:szCs w:val="22"/>
          <w:color w:val="auto"/>
        </w:rPr>
        <w:t>Appeal of a denied disability benefits claim must be filed in writing with the Appeals</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no later than 180 days after receipt of the written notification of such claim denial. The review shall be conducted in accordance with applicable Department of Labor regulations.</w:t>
      </w:r>
    </w:p>
    <w:p>
      <w:pPr>
        <w:spacing w:after="0" w:line="195" w:lineRule="exact"/>
        <w:rPr>
          <w:rFonts w:ascii="Arial" w:cs="Arial" w:eastAsia="Arial" w:hAnsi="Arial"/>
          <w:sz w:val="18"/>
          <w:szCs w:val="18"/>
          <w:color w:val="auto"/>
        </w:rPr>
      </w:pPr>
    </w:p>
    <w:p>
      <w:pPr>
        <w:ind w:left="644" w:right="280"/>
        <w:spacing w:after="0" w:line="258" w:lineRule="auto"/>
        <w:rPr>
          <w:rFonts w:ascii="Arial" w:cs="Arial" w:eastAsia="Arial" w:hAnsi="Arial"/>
          <w:sz w:val="18"/>
          <w:szCs w:val="18"/>
          <w:color w:val="auto"/>
        </w:rPr>
      </w:pPr>
      <w:r>
        <w:rPr>
          <w:rFonts w:ascii="Arial" w:cs="Arial" w:eastAsia="Arial" w:hAnsi="Arial"/>
          <w:sz w:val="21"/>
          <w:szCs w:val="21"/>
          <w:color w:val="auto"/>
        </w:rPr>
        <w:t>The Appeals Committee shall make its decision regarding the merits of the denied claim within 45 days following receipt of the appeal (or within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w:t>
      </w:r>
    </w:p>
    <w:p>
      <w:pPr>
        <w:sectPr>
          <w:pgSz w:w="11900" w:h="16838" w:orient="portrait"/>
          <w:cols w:equalWidth="0" w:num="1">
            <w:col w:w="10744"/>
          </w:cols>
          <w:pgMar w:left="896" w:top="606" w:right="259" w:bottom="1440" w:gutter="0" w:footer="0" w:header="0"/>
        </w:sectPr>
      </w:pPr>
    </w:p>
    <w:bookmarkStart w:id="191" w:name="page192"/>
    <w:bookmarkEnd w:id="191"/>
    <w:p>
      <w:pPr>
        <w:ind w:left="1300" w:right="460"/>
        <w:spacing w:after="0" w:line="249" w:lineRule="auto"/>
        <w:rPr>
          <w:sz w:val="20"/>
          <w:szCs w:val="20"/>
          <w:color w:val="auto"/>
        </w:rPr>
      </w:pPr>
      <w:r>
        <w:rPr>
          <w:rFonts w:ascii="Arial" w:cs="Arial" w:eastAsia="Arial" w:hAnsi="Arial"/>
          <w:sz w:val="22"/>
          <w:szCs w:val="22"/>
          <w:color w:val="auto"/>
        </w:rPr>
        <w:t>submitted by the Claimant, the Appeals Committee shall render a decision on its review of the denied claim.</w:t>
      </w:r>
    </w:p>
    <w:p>
      <w:pPr>
        <w:spacing w:after="0" w:line="182" w:lineRule="exact"/>
        <w:rPr>
          <w:sz w:val="20"/>
          <w:szCs w:val="20"/>
          <w:color w:val="auto"/>
        </w:rPr>
      </w:pPr>
    </w:p>
    <w:p>
      <w:pPr>
        <w:ind w:left="1300" w:right="240" w:hanging="644"/>
        <w:spacing w:after="0" w:line="252"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22"/>
          <w:szCs w:val="22"/>
          <w:i w:val="1"/>
          <w:iCs w:val="1"/>
          <w:color w:val="auto"/>
        </w:rPr>
        <w:t xml:space="preserve">Contents of Notice. </w:t>
      </w:r>
      <w:r>
        <w:rPr>
          <w:rFonts w:ascii="Arial" w:cs="Arial" w:eastAsia="Arial" w:hAnsi="Arial"/>
          <w:sz w:val="22"/>
          <w:szCs w:val="22"/>
          <w:color w:val="auto"/>
        </w:rPr>
        <w:t>If a benefits claim is completely or partially denied on review, notice of such denial</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in writing. Any electronic notification shall comply with the standards imposed by Department of Labor Regulation 29 CFR 2520.104b-1(c)(1)(i), (iii), and (iv). Such notice shall set forth the reasons for denial in plain language.</w:t>
      </w:r>
    </w:p>
    <w:p>
      <w:pPr>
        <w:spacing w:after="0" w:line="202" w:lineRule="exact"/>
        <w:rPr>
          <w:rFonts w:ascii="Arial" w:cs="Arial" w:eastAsia="Arial" w:hAnsi="Arial"/>
          <w:sz w:val="18"/>
          <w:szCs w:val="18"/>
          <w:color w:val="auto"/>
        </w:rPr>
      </w:pPr>
    </w:p>
    <w:p>
      <w:pPr>
        <w:ind w:left="1300"/>
        <w:spacing w:after="0" w:line="258" w:lineRule="auto"/>
        <w:rPr>
          <w:rFonts w:ascii="Arial" w:cs="Arial" w:eastAsia="Arial" w:hAnsi="Arial"/>
          <w:sz w:val="18"/>
          <w:szCs w:val="18"/>
          <w:color w:val="auto"/>
        </w:rPr>
      </w:pPr>
      <w:r>
        <w:rPr>
          <w:rFonts w:ascii="Arial" w:cs="Arial" w:eastAsia="Arial" w:hAnsi="Arial"/>
          <w:sz w:val="21"/>
          <w:szCs w:val="21"/>
          <w:color w:val="auto"/>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of the Claimant’s right to bring an action under Section 502(a) of ERISA, following an adverse decision on review and the specific date by which such a civil action must commence under Section 11.4.</w:t>
      </w:r>
    </w:p>
    <w:p>
      <w:pPr>
        <w:spacing w:after="0" w:line="198" w:lineRule="exact"/>
        <w:rPr>
          <w:sz w:val="20"/>
          <w:szCs w:val="20"/>
          <w:color w:val="auto"/>
        </w:rPr>
      </w:pPr>
    </w:p>
    <w:p>
      <w:pPr>
        <w:ind w:left="1300" w:right="800"/>
        <w:spacing w:after="0" w:line="249" w:lineRule="auto"/>
        <w:rPr>
          <w:sz w:val="20"/>
          <w:szCs w:val="20"/>
          <w:color w:val="auto"/>
        </w:rPr>
      </w:pPr>
      <w:r>
        <w:rPr>
          <w:rFonts w:ascii="Arial" w:cs="Arial" w:eastAsia="Arial" w:hAnsi="Arial"/>
          <w:sz w:val="22"/>
          <w:szCs w:val="22"/>
          <w:color w:val="auto"/>
        </w:rPr>
        <w:t>For the denial of a disability benefit, the notice will also include such additional information and be communicated in the manner required under applicable Department of Labor regulations.</w:t>
      </w:r>
    </w:p>
    <w:p>
      <w:pPr>
        <w:spacing w:after="0" w:line="204" w:lineRule="exact"/>
        <w:rPr>
          <w:sz w:val="20"/>
          <w:szCs w:val="20"/>
          <w:color w:val="auto"/>
        </w:rPr>
      </w:pPr>
    </w:p>
    <w:p>
      <w:pPr>
        <w:ind w:left="660" w:right="20" w:hanging="647"/>
        <w:spacing w:after="0" w:line="245"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u w:val="single" w:color="auto"/>
          <w:color w:val="auto"/>
        </w:rPr>
        <w:t xml:space="preserve">Legal Action. </w:t>
      </w:r>
      <w:r>
        <w:rPr>
          <w:rFonts w:ascii="Arial" w:cs="Arial" w:eastAsia="Arial" w:hAnsi="Arial"/>
          <w:sz w:val="22"/>
          <w:szCs w:val="22"/>
          <w:color w:val="auto"/>
        </w:rPr>
        <w:t>A Claimant may not bring any legal action relating to a claim for benefits under the Plan unless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until the Claimant has followed the claims procedures under the Plan and exhausted his or administrative remedies under Sections 11.1 and 11.2. No such legal action may be brought more than twelve (12) months following the notice of denial of benefits under Section 11.2, or if no appeal is filed by the applicable appeals deadline, twelve (12) months following the appeals deadline.</w:t>
      </w:r>
    </w:p>
    <w:p>
      <w:pPr>
        <w:spacing w:after="0" w:line="208" w:lineRule="exact"/>
        <w:rPr>
          <w:sz w:val="20"/>
          <w:szCs w:val="20"/>
          <w:color w:val="auto"/>
        </w:rPr>
      </w:pPr>
    </w:p>
    <w:p>
      <w:pPr>
        <w:ind w:left="660" w:right="20"/>
        <w:spacing w:after="0" w:line="257" w:lineRule="auto"/>
        <w:rPr>
          <w:sz w:val="20"/>
          <w:szCs w:val="20"/>
          <w:color w:val="auto"/>
        </w:rPr>
      </w:pPr>
      <w:r>
        <w:rPr>
          <w:rFonts w:ascii="Arial" w:cs="Arial" w:eastAsia="Arial" w:hAnsi="Arial"/>
          <w:sz w:val="21"/>
          <w:szCs w:val="21"/>
          <w:color w:val="auto"/>
        </w:rPr>
        <w:t>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as defined in Section 11.3,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 and will be included in determining the Participating Employer’s trust funding obligation under Section 10.2.</w:t>
      </w:r>
    </w:p>
    <w:p>
      <w:pPr>
        <w:spacing w:after="0" w:line="200" w:lineRule="exact"/>
        <w:rPr>
          <w:sz w:val="20"/>
          <w:szCs w:val="20"/>
          <w:color w:val="auto"/>
        </w:rPr>
      </w:pPr>
    </w:p>
    <w:p>
      <w:pPr>
        <w:ind w:left="660" w:right="360" w:hanging="647"/>
        <w:spacing w:after="0" w:line="249"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u w:val="single" w:color="auto"/>
          <w:color w:val="auto"/>
        </w:rPr>
        <w:t xml:space="preserve">Discretion of Appeals Committee. </w:t>
      </w:r>
      <w:r>
        <w:rPr>
          <w:rFonts w:ascii="Arial" w:cs="Arial" w:eastAsia="Arial" w:hAnsi="Arial"/>
          <w:sz w:val="22"/>
          <w:szCs w:val="22"/>
          <w:color w:val="auto"/>
        </w:rPr>
        <w:t>All interpretations, determinations and decisions of the Appeals Committee</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 respect to any claim shall be made in its sole discretion, and shall be final and conclusive.</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General Provisions</w:t>
      </w:r>
    </w:p>
    <w:p>
      <w:pPr>
        <w:spacing w:after="0" w:line="112" w:lineRule="exact"/>
        <w:rPr>
          <w:sz w:val="20"/>
          <w:szCs w:val="20"/>
          <w:color w:val="auto"/>
        </w:rPr>
      </w:pPr>
    </w:p>
    <w:p>
      <w:pPr>
        <w:ind w:left="660" w:right="800" w:hanging="647"/>
        <w:spacing w:after="0" w:line="249"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u w:val="single" w:color="auto"/>
          <w:color w:val="auto"/>
        </w:rPr>
        <w:t xml:space="preserve">Assignment. </w:t>
      </w:r>
      <w:r>
        <w:rPr>
          <w:rFonts w:ascii="Arial" w:cs="Arial" w:eastAsia="Arial" w:hAnsi="Arial"/>
          <w:sz w:val="22"/>
          <w:szCs w:val="22"/>
          <w:color w:val="auto"/>
        </w:rPr>
        <w:t>No interest of any Participant, spouse or Beneficiary under this Plan and no benefit payable</w:t>
      </w:r>
      <w:r>
        <w:rPr>
          <w:rFonts w:ascii="Arial" w:cs="Arial" w:eastAsia="Arial" w:hAnsi="Arial"/>
          <w:sz w:val="22"/>
          <w:szCs w:val="22"/>
          <w:u w:val="single" w:color="auto"/>
          <w:color w:val="auto"/>
        </w:rPr>
        <w:t xml:space="preserve"> </w:t>
      </w:r>
      <w:r>
        <w:rPr>
          <w:rFonts w:ascii="Arial" w:cs="Arial" w:eastAsia="Arial" w:hAnsi="Arial"/>
          <w:sz w:val="22"/>
          <w:szCs w:val="22"/>
          <w:color w:val="auto"/>
        </w:rPr>
        <w:t>hereunder shall be assigned as security for a loan, and any such</w:t>
      </w:r>
    </w:p>
    <w:p>
      <w:pPr>
        <w:sectPr>
          <w:pgSz w:w="11900" w:h="16838" w:orient="portrait"/>
          <w:cols w:equalWidth="0" w:num="1">
            <w:col w:w="11420"/>
          </w:cols>
          <w:pgMar w:left="240" w:top="606" w:right="239" w:bottom="1440" w:gutter="0" w:footer="0" w:header="0"/>
        </w:sectPr>
      </w:pPr>
    </w:p>
    <w:bookmarkStart w:id="192" w:name="page193"/>
    <w:bookmarkEnd w:id="192"/>
    <w:p>
      <w:pPr>
        <w:ind w:right="180"/>
        <w:spacing w:after="0" w:line="245" w:lineRule="auto"/>
        <w:rPr>
          <w:sz w:val="20"/>
          <w:szCs w:val="20"/>
          <w:color w:val="auto"/>
        </w:rPr>
      </w:pPr>
      <w:r>
        <w:rPr>
          <w:rFonts w:ascii="Arial" w:cs="Arial" w:eastAsia="Arial" w:hAnsi="Arial"/>
          <w:sz w:val="22"/>
          <w:szCs w:val="22"/>
          <w:color w:val="auto"/>
        </w:rPr>
        <w:t>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208" w:lineRule="exact"/>
        <w:rPr>
          <w:sz w:val="20"/>
          <w:szCs w:val="20"/>
          <w:color w:val="auto"/>
        </w:rPr>
      </w:pPr>
    </w:p>
    <w:p>
      <w:pPr>
        <w:ind w:right="240" w:firstLine="648"/>
        <w:spacing w:after="0" w:line="246" w:lineRule="auto"/>
        <w:rPr>
          <w:sz w:val="20"/>
          <w:szCs w:val="20"/>
          <w:color w:val="auto"/>
        </w:rPr>
      </w:pPr>
      <w:r>
        <w:rPr>
          <w:rFonts w:ascii="Arial" w:cs="Arial" w:eastAsia="Arial" w:hAnsi="Arial"/>
          <w:sz w:val="22"/>
          <w:szCs w:val="22"/>
          <w:color w:val="auto"/>
        </w:rPr>
        <w:t>The Company may assign any or all of its liabilities under this Plan in connection with any restructuring, recapitalization, sale of assets or other similar transactions affecting a Participating Employer without the consent of the Participant.</w:t>
      </w:r>
    </w:p>
    <w:p>
      <w:pPr>
        <w:spacing w:after="0" w:line="208" w:lineRule="exact"/>
        <w:rPr>
          <w:sz w:val="20"/>
          <w:szCs w:val="20"/>
          <w:color w:val="auto"/>
        </w:rPr>
      </w:pPr>
    </w:p>
    <w:p>
      <w:pPr>
        <w:ind w:right="80" w:hanging="647"/>
        <w:spacing w:after="0" w:line="244" w:lineRule="auto"/>
        <w:rPr>
          <w:sz w:val="20"/>
          <w:szCs w:val="20"/>
          <w:color w:val="auto"/>
        </w:rPr>
      </w:pPr>
      <w:r>
        <w:rPr>
          <w:rFonts w:ascii="Arial" w:cs="Arial" w:eastAsia="Arial" w:hAnsi="Arial"/>
          <w:sz w:val="22"/>
          <w:szCs w:val="22"/>
          <w:color w:val="auto"/>
        </w:rPr>
        <w:t>12.2</w:t>
      </w:r>
      <w:r>
        <w:rPr>
          <w:sz w:val="20"/>
          <w:szCs w:val="20"/>
          <w:color w:val="auto"/>
        </w:rPr>
        <w:t xml:space="preserve"> </w:t>
      </w:r>
      <w:r>
        <w:rPr>
          <w:rFonts w:ascii="Arial" w:cs="Arial" w:eastAsia="Arial" w:hAnsi="Arial"/>
          <w:sz w:val="22"/>
          <w:szCs w:val="22"/>
          <w:u w:val="single" w:color="auto"/>
          <w:color w:val="auto"/>
        </w:rPr>
        <w:t xml:space="preserve">No Legal or Equitable Rights or Interest. </w:t>
      </w:r>
      <w:r>
        <w:rPr>
          <w:rFonts w:ascii="Arial" w:cs="Arial" w:eastAsia="Arial" w:hAnsi="Arial"/>
          <w:sz w:val="22"/>
          <w:szCs w:val="22"/>
          <w:color w:val="auto"/>
        </w:rPr>
        <w:t>No Participant or other person shall have any legal or equitable rights</w:t>
      </w:r>
      <w:r>
        <w:rPr>
          <w:rFonts w:ascii="Arial" w:cs="Arial" w:eastAsia="Arial" w:hAnsi="Arial"/>
          <w:sz w:val="22"/>
          <w:szCs w:val="22"/>
          <w:u w:val="single" w:color="auto"/>
          <w:color w:val="auto"/>
        </w:rPr>
        <w:t xml:space="preserve"> </w:t>
      </w:r>
      <w:r>
        <w:rPr>
          <w:rFonts w:ascii="Arial" w:cs="Arial" w:eastAsia="Arial" w:hAnsi="Arial"/>
          <w:sz w:val="22"/>
          <w:szCs w:val="22"/>
          <w:color w:val="auto"/>
        </w:rPr>
        <w:t>or interest in this Plan that are not expressly granted in this Plan. Participation in this Plan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Plan.</w:t>
      </w:r>
    </w:p>
    <w:p>
      <w:pPr>
        <w:spacing w:after="0" w:line="213" w:lineRule="exact"/>
        <w:rPr>
          <w:sz w:val="20"/>
          <w:szCs w:val="20"/>
          <w:color w:val="auto"/>
        </w:rPr>
      </w:pPr>
    </w:p>
    <w:p>
      <w:pPr>
        <w:ind w:right="280" w:hanging="647"/>
        <w:spacing w:after="0" w:line="249" w:lineRule="auto"/>
        <w:rPr>
          <w:sz w:val="20"/>
          <w:szCs w:val="20"/>
          <w:color w:val="auto"/>
        </w:rPr>
      </w:pPr>
      <w:r>
        <w:rPr>
          <w:rFonts w:ascii="Arial" w:cs="Arial" w:eastAsia="Arial" w:hAnsi="Arial"/>
          <w:sz w:val="22"/>
          <w:szCs w:val="22"/>
          <w:color w:val="auto"/>
        </w:rPr>
        <w:t>12.3</w:t>
      </w:r>
      <w:r>
        <w:rPr>
          <w:sz w:val="20"/>
          <w:szCs w:val="20"/>
          <w:color w:val="auto"/>
        </w:rPr>
        <w:t xml:space="preserve"> </w:t>
      </w:r>
      <w:r>
        <w:rPr>
          <w:rFonts w:ascii="Arial" w:cs="Arial" w:eastAsia="Arial" w:hAnsi="Arial"/>
          <w:sz w:val="22"/>
          <w:szCs w:val="22"/>
          <w:u w:val="single" w:color="auto"/>
          <w:color w:val="auto"/>
        </w:rPr>
        <w:t xml:space="preserve">No Employment Contract. </w:t>
      </w:r>
      <w:r>
        <w:rPr>
          <w:rFonts w:ascii="Arial" w:cs="Arial" w:eastAsia="Arial" w:hAnsi="Arial"/>
          <w:sz w:val="22"/>
          <w:szCs w:val="22"/>
          <w:color w:val="auto"/>
        </w:rPr>
        <w:t>Nothing contained herein shall be construed to constitute a contract of employment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between an Employee and a Participating Employer.</w:t>
      </w:r>
    </w:p>
    <w:p>
      <w:pPr>
        <w:spacing w:after="0" w:line="204" w:lineRule="exact"/>
        <w:rPr>
          <w:sz w:val="20"/>
          <w:szCs w:val="20"/>
          <w:color w:val="auto"/>
        </w:rPr>
      </w:pPr>
    </w:p>
    <w:p>
      <w:pPr>
        <w:ind w:right="120" w:hanging="647"/>
        <w:spacing w:after="0" w:line="245" w:lineRule="auto"/>
        <w:rPr>
          <w:sz w:val="20"/>
          <w:szCs w:val="20"/>
          <w:color w:val="auto"/>
        </w:rPr>
      </w:pPr>
      <w:r>
        <w:rPr>
          <w:rFonts w:ascii="Arial" w:cs="Arial" w:eastAsia="Arial" w:hAnsi="Arial"/>
          <w:sz w:val="22"/>
          <w:szCs w:val="22"/>
          <w:color w:val="auto"/>
        </w:rPr>
        <w:t>12.4</w:t>
      </w:r>
      <w:r>
        <w:rPr>
          <w:sz w:val="20"/>
          <w:szCs w:val="20"/>
          <w:color w:val="auto"/>
        </w:rPr>
        <w:t xml:space="preserve"> </w:t>
      </w:r>
      <w:r>
        <w:rPr>
          <w:rFonts w:ascii="Arial" w:cs="Arial" w:eastAsia="Arial" w:hAnsi="Arial"/>
          <w:sz w:val="22"/>
          <w:szCs w:val="22"/>
          <w:u w:val="single" w:color="auto"/>
          <w:color w:val="auto"/>
        </w:rPr>
        <w:t xml:space="preserve">Notice. </w:t>
      </w:r>
      <w:r>
        <w:rPr>
          <w:rFonts w:ascii="Arial" w:cs="Arial" w:eastAsia="Arial" w:hAnsi="Arial"/>
          <w:sz w:val="22"/>
          <w:szCs w:val="22"/>
          <w:color w:val="auto"/>
        </w:rPr>
        <w:t>Any notice or filing required or permitted to be delivered to the Committee under this Plan shall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delivered in writing, in person, or through such electronic means (such as secure facsimile)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Black Hills Corporation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 Box 1400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Rapid city, sd 57709</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attn: human resources/RETIREMENT SERVICES</w:t>
      </w:r>
    </w:p>
    <w:p>
      <w:pPr>
        <w:spacing w:after="0" w:line="22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Any notice or filing required or permitted to be given to a Participant under this Plan shall be sufficient if in writing or hand-delivered, or sent by mail to the last known address of the Participant.</w:t>
      </w:r>
    </w:p>
    <w:p>
      <w:pPr>
        <w:spacing w:after="0" w:line="204" w:lineRule="exact"/>
        <w:rPr>
          <w:sz w:val="20"/>
          <w:szCs w:val="20"/>
          <w:color w:val="auto"/>
        </w:rPr>
      </w:pPr>
    </w:p>
    <w:p>
      <w:pPr>
        <w:ind w:right="60" w:hanging="647"/>
        <w:spacing w:after="0" w:line="249" w:lineRule="auto"/>
        <w:rPr>
          <w:sz w:val="20"/>
          <w:szCs w:val="20"/>
          <w:color w:val="auto"/>
        </w:rPr>
      </w:pPr>
      <w:r>
        <w:rPr>
          <w:rFonts w:ascii="Arial" w:cs="Arial" w:eastAsia="Arial" w:hAnsi="Arial"/>
          <w:sz w:val="22"/>
          <w:szCs w:val="22"/>
          <w:color w:val="auto"/>
        </w:rPr>
        <w:t>12.5</w:t>
      </w:r>
      <w:r>
        <w:rPr>
          <w:sz w:val="20"/>
          <w:szCs w:val="20"/>
          <w:color w:val="auto"/>
        </w:rPr>
        <w:t xml:space="preserve"> </w:t>
      </w:r>
      <w:r>
        <w:rPr>
          <w:rFonts w:ascii="Arial" w:cs="Arial" w:eastAsia="Arial" w:hAnsi="Arial"/>
          <w:sz w:val="22"/>
          <w:szCs w:val="22"/>
          <w:u w:val="single" w:color="auto"/>
          <w:color w:val="auto"/>
        </w:rPr>
        <w:t xml:space="preserve">Headings. </w:t>
      </w:r>
      <w:r>
        <w:rPr>
          <w:rFonts w:ascii="Arial" w:cs="Arial" w:eastAsia="Arial" w:hAnsi="Arial"/>
          <w:sz w:val="22"/>
          <w:szCs w:val="22"/>
          <w:color w:val="auto"/>
        </w:rPr>
        <w:t>The headings of Sections are included solely for convenience of reference, and if there is any conflict</w:t>
      </w:r>
      <w:r>
        <w:rPr>
          <w:rFonts w:ascii="Arial" w:cs="Arial" w:eastAsia="Arial" w:hAnsi="Arial"/>
          <w:sz w:val="22"/>
          <w:szCs w:val="22"/>
          <w:u w:val="single" w:color="auto"/>
          <w:color w:val="auto"/>
        </w:rPr>
        <w:t xml:space="preserve"> </w:t>
      </w:r>
      <w:r>
        <w:rPr>
          <w:rFonts w:ascii="Arial" w:cs="Arial" w:eastAsia="Arial" w:hAnsi="Arial"/>
          <w:sz w:val="22"/>
          <w:szCs w:val="22"/>
          <w:color w:val="auto"/>
        </w:rPr>
        <w:t>between such headings and the text of this Plan, the text shall control.</w:t>
      </w:r>
    </w:p>
    <w:p>
      <w:pPr>
        <w:spacing w:after="0" w:line="204" w:lineRule="exact"/>
        <w:rPr>
          <w:sz w:val="20"/>
          <w:szCs w:val="20"/>
          <w:color w:val="auto"/>
        </w:rPr>
      </w:pPr>
    </w:p>
    <w:p>
      <w:pPr>
        <w:ind w:right="20" w:hanging="647"/>
        <w:spacing w:after="0" w:line="245" w:lineRule="auto"/>
        <w:rPr>
          <w:sz w:val="20"/>
          <w:szCs w:val="20"/>
          <w:color w:val="auto"/>
        </w:rPr>
      </w:pPr>
      <w:r>
        <w:rPr>
          <w:rFonts w:ascii="Arial" w:cs="Arial" w:eastAsia="Arial" w:hAnsi="Arial"/>
          <w:sz w:val="22"/>
          <w:szCs w:val="22"/>
          <w:color w:val="auto"/>
        </w:rPr>
        <w:t>12.6</w:t>
      </w:r>
      <w:r>
        <w:rPr>
          <w:sz w:val="20"/>
          <w:szCs w:val="20"/>
          <w:color w:val="auto"/>
        </w:rPr>
        <w:t xml:space="preserve"> </w:t>
      </w:r>
      <w:r>
        <w:rPr>
          <w:rFonts w:ascii="Arial" w:cs="Arial" w:eastAsia="Arial" w:hAnsi="Arial"/>
          <w:sz w:val="22"/>
          <w:szCs w:val="22"/>
          <w:u w:val="single" w:color="auto"/>
          <w:color w:val="auto"/>
        </w:rPr>
        <w:t xml:space="preserve">Invalid or Unenforceable Provisions. </w:t>
      </w:r>
      <w:r>
        <w:rPr>
          <w:rFonts w:ascii="Arial" w:cs="Arial" w:eastAsia="Arial" w:hAnsi="Arial"/>
          <w:sz w:val="22"/>
          <w:szCs w:val="22"/>
          <w:color w:val="auto"/>
        </w:rPr>
        <w:t>If any provision of this Plan shall be held invalid or unenforceable, such</w:t>
      </w:r>
      <w:r>
        <w:rPr>
          <w:rFonts w:ascii="Arial" w:cs="Arial" w:eastAsia="Arial" w:hAnsi="Arial"/>
          <w:sz w:val="22"/>
          <w:szCs w:val="22"/>
          <w:u w:val="single" w:color="auto"/>
          <w:color w:val="auto"/>
        </w:rPr>
        <w:t xml:space="preserve"> </w:t>
      </w:r>
      <w:r>
        <w:rPr>
          <w:rFonts w:ascii="Arial" w:cs="Arial" w:eastAsia="Arial" w:hAnsi="Arial"/>
          <w:sz w:val="22"/>
          <w:szCs w:val="22"/>
          <w:color w:val="auto"/>
        </w:rPr>
        <w:t>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210" w:lineRule="exact"/>
        <w:rPr>
          <w:sz w:val="20"/>
          <w:szCs w:val="20"/>
          <w:color w:val="auto"/>
        </w:rPr>
      </w:pPr>
    </w:p>
    <w:p>
      <w:pPr>
        <w:ind w:right="340" w:hanging="647"/>
        <w:spacing w:after="0" w:line="249" w:lineRule="auto"/>
        <w:rPr>
          <w:sz w:val="20"/>
          <w:szCs w:val="20"/>
          <w:color w:val="auto"/>
        </w:rPr>
      </w:pPr>
      <w:r>
        <w:rPr>
          <w:rFonts w:ascii="Arial" w:cs="Arial" w:eastAsia="Arial" w:hAnsi="Arial"/>
          <w:sz w:val="22"/>
          <w:szCs w:val="22"/>
          <w:color w:val="auto"/>
        </w:rPr>
        <w:t>12.7</w:t>
      </w:r>
      <w:r>
        <w:rPr>
          <w:sz w:val="20"/>
          <w:szCs w:val="20"/>
          <w:color w:val="auto"/>
        </w:rPr>
        <w:t xml:space="preserve"> </w:t>
      </w:r>
      <w:r>
        <w:rPr>
          <w:rFonts w:ascii="Arial" w:cs="Arial" w:eastAsia="Arial" w:hAnsi="Arial"/>
          <w:sz w:val="22"/>
          <w:szCs w:val="22"/>
          <w:u w:val="single" w:color="auto"/>
          <w:color w:val="auto"/>
        </w:rPr>
        <w:t xml:space="preserve">Lost Participants or Beneficiaries. </w:t>
      </w:r>
      <w:r>
        <w:rPr>
          <w:rFonts w:ascii="Arial" w:cs="Arial" w:eastAsia="Arial" w:hAnsi="Arial"/>
          <w:sz w:val="22"/>
          <w:szCs w:val="22"/>
          <w:color w:val="auto"/>
        </w:rPr>
        <w:t>Any Participant or Beneficiary who is entitled to a benefit from the Plan has</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duty to keep the Committee advised of his or her current</w:t>
      </w:r>
    </w:p>
    <w:p>
      <w:pPr>
        <w:sectPr>
          <w:pgSz w:w="11900" w:h="16838" w:orient="portrait"/>
          <w:cols w:equalWidth="0" w:num="1">
            <w:col w:w="10740"/>
          </w:cols>
          <w:pgMar w:left="900" w:top="606" w:right="259" w:bottom="1440" w:gutter="0" w:footer="0" w:header="0"/>
        </w:sectPr>
      </w:pPr>
    </w:p>
    <w:bookmarkStart w:id="193" w:name="page194"/>
    <w:bookmarkEnd w:id="193"/>
    <w:p>
      <w:pPr>
        <w:ind w:left="660" w:right="160"/>
        <w:spacing w:after="0" w:line="244" w:lineRule="auto"/>
        <w:rPr>
          <w:sz w:val="20"/>
          <w:szCs w:val="20"/>
          <w:color w:val="auto"/>
        </w:rPr>
      </w:pPr>
      <w:r>
        <w:rPr>
          <w:rFonts w:ascii="Arial" w:cs="Arial" w:eastAsia="Arial" w:hAnsi="Arial"/>
          <w:sz w:val="22"/>
          <w:szCs w:val="22"/>
          <w:color w:val="auto"/>
        </w:rPr>
        <w:t>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 If the Committee is unable to locate the Participant or Beneficiary after five years of the date payment is scheduled to be made, provided that a Participant’s Account shall not be credited with Earnings following the first anniversary of such date on which payment is to be made and further provided, however, that such benefit shall be reinstated, without further adjustment for interest, if a valid claim is made by or on behalf of the Participant or Beneficiary for all or part of the forfeited benefit.</w:t>
      </w:r>
    </w:p>
    <w:p>
      <w:pPr>
        <w:spacing w:after="0" w:line="21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u w:val="single" w:color="auto"/>
          <w:color w:val="auto"/>
        </w:rPr>
        <w:t xml:space="preserve">Facility of Payment to a Minor. </w:t>
      </w:r>
      <w:r>
        <w:rPr>
          <w:rFonts w:ascii="Arial" w:cs="Arial" w:eastAsia="Arial" w:hAnsi="Arial"/>
          <w:sz w:val="21"/>
          <w:szCs w:val="21"/>
          <w:color w:val="auto"/>
        </w:rPr>
        <w:t>If a distribution is to be made to a minor, or to a person who is otherwise</w:t>
      </w:r>
      <w:r>
        <w:rPr>
          <w:rFonts w:ascii="Arial" w:cs="Arial" w:eastAsia="Arial" w:hAnsi="Arial"/>
          <w:sz w:val="21"/>
          <w:szCs w:val="21"/>
          <w:u w:val="single" w:color="auto"/>
          <w:color w:val="auto"/>
        </w:rPr>
        <w:t xml:space="preserve"> </w:t>
      </w:r>
      <w:r>
        <w:rPr>
          <w:rFonts w:ascii="Arial" w:cs="Arial" w:eastAsia="Arial" w:hAnsi="Arial"/>
          <w:sz w:val="21"/>
          <w:szCs w:val="21"/>
          <w:color w:val="auto"/>
        </w:rPr>
        <w:t>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spacing w:after="0" w:line="196" w:lineRule="exact"/>
        <w:rPr>
          <w:sz w:val="20"/>
          <w:szCs w:val="20"/>
          <w:color w:val="auto"/>
        </w:rPr>
      </w:pPr>
    </w:p>
    <w:p>
      <w:pPr>
        <w:ind w:left="660" w:right="220" w:hanging="647"/>
        <w:spacing w:after="0" w:line="249" w:lineRule="auto"/>
        <w:tabs>
          <w:tab w:leader="none" w:pos="6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2"/>
          <w:szCs w:val="22"/>
          <w:u w:val="single" w:color="auto"/>
          <w:color w:val="auto"/>
        </w:rPr>
        <w:t xml:space="preserve">Governing Law. </w:t>
      </w:r>
      <w:r>
        <w:rPr>
          <w:rFonts w:ascii="Arial" w:cs="Arial" w:eastAsia="Arial" w:hAnsi="Arial"/>
          <w:sz w:val="22"/>
          <w:szCs w:val="22"/>
          <w:color w:val="auto"/>
        </w:rPr>
        <w:t>To the extent not preempted by ERISA, the laws of the State of South Dakota shall govern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construction and administration of the Plan.</w:t>
      </w:r>
    </w:p>
    <w:p>
      <w:pPr>
        <w:spacing w:after="0" w:line="204" w:lineRule="exact"/>
        <w:rPr>
          <w:sz w:val="20"/>
          <w:szCs w:val="20"/>
          <w:color w:val="auto"/>
        </w:rPr>
      </w:pPr>
    </w:p>
    <w:p>
      <w:pPr>
        <w:ind w:left="660" w:right="120" w:hanging="647"/>
        <w:spacing w:after="0" w:line="244"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Compliance With Code Section 409A; No Guarantee</w:t>
      </w:r>
      <w:r>
        <w:rPr>
          <w:rFonts w:ascii="Arial" w:cs="Arial" w:eastAsia="Arial" w:hAnsi="Arial"/>
          <w:sz w:val="22"/>
          <w:szCs w:val="22"/>
          <w:color w:val="auto"/>
        </w:rPr>
        <w:t>. This Plan is intended to be administered in compliance with Code Section 409A and each provision of the Plan shall be interpreted consistent with Code Section 409A. Although the Company intends for the Plan to comply with Code Section 409A, the tax treatment of benefits under the Plan is not warranted or guaranteed, and neither the Company, any other Employer, the Committee, nor the Board of Directors (nor any of their delegates) shall be held liable for any taxes, interest, penalties or other monetary amounts that may be owed by any Participant, Beneficiary or other taxpayer claiming benefits hereunder. No Employer shall have any legal obligation to a Participant with respect to taxes imposed under Code Section 409A.</w:t>
      </w:r>
    </w:p>
    <w:p>
      <w:pPr>
        <w:spacing w:after="0" w:line="200" w:lineRule="exact"/>
        <w:rPr>
          <w:sz w:val="20"/>
          <w:szCs w:val="20"/>
          <w:color w:val="auto"/>
        </w:rPr>
      </w:pPr>
    </w:p>
    <w:p>
      <w:pPr>
        <w:spacing w:after="0" w:line="202" w:lineRule="exact"/>
        <w:rPr>
          <w:sz w:val="20"/>
          <w:szCs w:val="20"/>
          <w:color w:val="auto"/>
        </w:rPr>
      </w:pPr>
    </w:p>
    <w:p>
      <w:pPr>
        <w:ind w:right="820"/>
        <w:spacing w:after="0" w:line="226" w:lineRule="auto"/>
        <w:rPr>
          <w:sz w:val="20"/>
          <w:szCs w:val="20"/>
          <w:color w:val="auto"/>
        </w:rPr>
      </w:pPr>
      <w:r>
        <w:rPr>
          <w:rFonts w:ascii="Arial" w:cs="Arial" w:eastAsia="Arial" w:hAnsi="Arial"/>
          <w:sz w:val="22"/>
          <w:szCs w:val="22"/>
          <w:b w:val="1"/>
          <w:bCs w:val="1"/>
          <w:color w:val="auto"/>
        </w:rPr>
        <w:t>IN WITNESS WHEREOF, the undersigned executed this Plan as of the 21</w:t>
      </w:r>
      <w:r>
        <w:rPr>
          <w:rFonts w:ascii="Arial" w:cs="Arial" w:eastAsia="Arial" w:hAnsi="Arial"/>
          <w:sz w:val="28"/>
          <w:szCs w:val="28"/>
          <w:b w:val="1"/>
          <w:bCs w:val="1"/>
          <w:color w:val="auto"/>
          <w:vertAlign w:val="superscript"/>
        </w:rPr>
        <w:t>st</w:t>
      </w:r>
      <w:r>
        <w:rPr>
          <w:rFonts w:ascii="Arial" w:cs="Arial" w:eastAsia="Arial" w:hAnsi="Arial"/>
          <w:sz w:val="22"/>
          <w:szCs w:val="22"/>
          <w:b w:val="1"/>
          <w:bCs w:val="1"/>
          <w:color w:val="auto"/>
        </w:rPr>
        <w:t xml:space="preserve"> day of December, 2018, to be effective as of the Effective 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Black Hills Corporation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By: David R. Emery (Print Name)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Its: Chairman and CEO (Title)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David R. Emery (Signature)</w:t>
      </w:r>
    </w:p>
    <w:p>
      <w:pPr>
        <w:sectPr>
          <w:pgSz w:w="11900" w:h="16838" w:orient="portrait"/>
          <w:cols w:equalWidth="0" w:num="1">
            <w:col w:w="11400"/>
          </w:cols>
          <w:pgMar w:left="240" w:top="606" w:right="259" w:bottom="1440" w:gutter="0" w:footer="0" w:header="0"/>
        </w:sectPr>
      </w:pPr>
    </w:p>
    <w:bookmarkStart w:id="194" w:name="page195"/>
    <w:bookmarkEnd w:id="194"/>
    <w:p>
      <w:pPr>
        <w:jc w:val="center"/>
        <w:ind w:right="-399"/>
        <w:spacing w:after="0"/>
        <w:rPr>
          <w:sz w:val="20"/>
          <w:szCs w:val="20"/>
          <w:color w:val="auto"/>
        </w:rPr>
      </w:pPr>
      <w:r>
        <w:rPr>
          <w:rFonts w:ascii="Arial" w:cs="Arial" w:eastAsia="Arial" w:hAnsi="Arial"/>
          <w:sz w:val="22"/>
          <w:szCs w:val="22"/>
          <w:color w:val="auto"/>
        </w:rPr>
        <w:t>Schedule A</w:t>
      </w: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Participating Employers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Black Hills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Black Hills Service Company LLC</w:t>
      </w: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Schedule 1 - Group 1</w:t>
      </w:r>
    </w:p>
    <w:p>
      <w:pPr>
        <w:spacing w:after="0" w:line="28"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Participants Eligible for Supplemental Target Contributions</w:t>
      </w:r>
    </w:p>
    <w:p>
      <w:pPr>
        <w:spacing w:after="0" w:line="325" w:lineRule="exact"/>
        <w:rPr>
          <w:sz w:val="20"/>
          <w:szCs w:val="20"/>
          <w:color w:val="auto"/>
        </w:rPr>
      </w:pPr>
    </w:p>
    <w:tbl>
      <w:tblPr>
        <w:tblLayout w:type="fixed"/>
        <w:tblInd w:w="2270" w:type="dxa"/>
        <w:tblCellMar>
          <w:top w:w="0" w:type="dxa"/>
          <w:left w:w="0" w:type="dxa"/>
          <w:bottom w:w="0" w:type="dxa"/>
          <w:right w:w="0" w:type="dxa"/>
        </w:tblCellMar>
      </w:tblPr>
      <w:tr>
        <w:trPr>
          <w:trHeight w:val="257"/>
        </w:trPr>
        <w:tc>
          <w:tcPr>
            <w:tcW w:w="3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344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Percentage of Total Compensation</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Scott Buchholz</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14.0%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Linn Evans</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20.0%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Brian Iverson</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Rich Kinzley</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17.5%</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Perry Krush</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14.5%</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Jennifer Landis</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Mark Lux</w:t>
            </w:r>
          </w:p>
        </w:tc>
        <w:tc>
          <w:tcPr>
            <w:tcW w:w="3440" w:type="dxa"/>
            <w:vAlign w:val="bottom"/>
            <w:tcBorders>
              <w:right w:val="single" w:sz="8" w:color="auto"/>
            </w:tcBorders>
          </w:tcPr>
          <w:p>
            <w:pPr>
              <w:jc w:val="right"/>
              <w:ind w:right="139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Marne Miller Jones</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Esther Newbrough</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Kimberly Nooney</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Ivan Vancas</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Stuart Wevik</w:t>
            </w:r>
          </w:p>
        </w:tc>
        <w:tc>
          <w:tcPr>
            <w:tcW w:w="34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Board, may in its discretion, designate individuals who become Participants after January 1, 2019, as Group 1 Participants.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Each such Participant so designated will be eligible for an 8% Supplemental Target Contribution.</w:t>
      </w:r>
    </w:p>
    <w:p>
      <w:pPr>
        <w:sectPr>
          <w:pgSz w:w="11900" w:h="16838" w:orient="portrait"/>
          <w:cols w:equalWidth="0" w:num="1">
            <w:col w:w="11020"/>
          </w:cols>
          <w:pgMar w:left="240" w:top="862" w:right="63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22"/>
          <w:szCs w:val="22"/>
          <w:b w:val="1"/>
          <w:bCs w:val="1"/>
          <w:color w:val="auto"/>
        </w:rPr>
        <w:t>Schedule 2 - Group 2</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Participants Eligible for Supplemental Matching Contributions</w:t>
      </w:r>
    </w:p>
    <w:p>
      <w:pPr>
        <w:spacing w:after="0" w:line="325" w:lineRule="exact"/>
        <w:rPr>
          <w:sz w:val="20"/>
          <w:szCs w:val="20"/>
          <w:color w:val="auto"/>
        </w:rPr>
      </w:pPr>
    </w:p>
    <w:tbl>
      <w:tblPr>
        <w:tblLayout w:type="fixed"/>
        <w:tblInd w:w="2270" w:type="dxa"/>
        <w:tblCellMar>
          <w:top w:w="0" w:type="dxa"/>
          <w:left w:w="0" w:type="dxa"/>
          <w:bottom w:w="0" w:type="dxa"/>
          <w:right w:w="0" w:type="dxa"/>
        </w:tblCellMar>
      </w:tblPr>
      <w:tr>
        <w:trPr>
          <w:trHeight w:val="257"/>
        </w:trPr>
        <w:tc>
          <w:tcPr>
            <w:tcW w:w="3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3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of Total Compensation</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Scott Buchholz</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Linn Evans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Brian Iverson</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Rich Kinzley</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Perry Krush</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Jennifer Landis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Mark Lux</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Marne Miller Jones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Esther Newbrough</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Kimberly Nooney</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Ivan Vancas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37"/>
        </w:trPr>
        <w:tc>
          <w:tcPr>
            <w:tcW w:w="3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Stuart Wevik</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Board may, in its discretion, designate individuals who become Participants after January 1, 2019, as Group 2 Participants. For each such Participant so designated, the percentage of Total Compensation to be allocated as a Supplemental Matching Contribution shall be 6%.</w:t>
      </w:r>
    </w:p>
    <w:p>
      <w:pPr>
        <w:sectPr>
          <w:pgSz w:w="11900" w:h="16838" w:orient="portrait"/>
          <w:cols w:equalWidth="0" w:num="1">
            <w:col w:w="11360"/>
          </w:cols>
          <w:pgMar w:left="240" w:top="801" w:right="29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22"/>
          <w:szCs w:val="22"/>
          <w:b w:val="1"/>
          <w:bCs w:val="1"/>
          <w:color w:val="auto"/>
        </w:rPr>
        <w:t>Schedule 3 - Group 3</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Participants Eligible for Supplemental Retirement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219075</wp:posOffset>
            </wp:positionV>
            <wp:extent cx="3498850" cy="1809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6">
                      <a:extLst>
                        <a:ext uri="{28A0092B-C50C-407E-A947-70E740481C1C}"/>
                      </a:extLst>
                    </a:blip>
                    <a:srcRect/>
                    <a:stretch>
                      <a:fillRect/>
                    </a:stretch>
                  </pic:blipFill>
                  <pic:spPr bwMode="auto">
                    <a:xfrm>
                      <a:off x="0" y="0"/>
                      <a:ext cx="3498850" cy="1809750"/>
                    </a:xfrm>
                    <a:prstGeom prst="rect">
                      <a:avLst/>
                    </a:prstGeom>
                    <a:noFill/>
                  </pic:spPr>
                </pic:pic>
              </a:graphicData>
            </a:graphic>
          </wp:anchor>
        </w:drawing>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Name</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Linn Evans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Brian Iverson</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Rich Kinzley</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Jennifer Landis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Mark Lux</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Marne Miller Jones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Esther Newbrough</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Kimberly Nooney</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Ivan Vancas</w:t>
      </w:r>
    </w:p>
    <w:p>
      <w:pPr>
        <w:spacing w:after="0" w:line="200" w:lineRule="exact"/>
        <w:rPr>
          <w:sz w:val="20"/>
          <w:szCs w:val="20"/>
          <w:color w:val="auto"/>
        </w:rPr>
      </w:pPr>
    </w:p>
    <w:p>
      <w:pPr>
        <w:spacing w:after="0" w:line="288"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Board may, in its discretion, designate individuals who become Participants after January 1, 2019, as Group 3 Participants. For each such Participant so designated, the percentage of Total Compensation to be allocated as a Supplemental Retirement Contribution shall be based upon the RSP points schedule in the Black Hills Corporation 401(k) Retirement Savings Plan.</w:t>
      </w:r>
    </w:p>
    <w:p>
      <w:pPr>
        <w:sectPr>
          <w:pgSz w:w="11900" w:h="16838" w:orient="portrait"/>
          <w:cols w:equalWidth="0" w:num="1">
            <w:col w:w="11360"/>
          </w:cols>
          <w:pgMar w:left="240" w:top="801" w:right="29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22"/>
          <w:szCs w:val="22"/>
          <w:b w:val="1"/>
          <w:bCs w:val="1"/>
          <w:color w:val="auto"/>
        </w:rPr>
        <w:t>SIXTH AMENDMENT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OUTSIDE DIRECTORS STOCK BASED COMPENSATION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Sixth Amendment to the Amended and Restated Outside Directors Stock Based Compensation Plan (“Amendment”) is</w:t>
      </w:r>
    </w:p>
    <w:p>
      <w:pPr>
        <w:spacing w:after="0" w:line="13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st</w:t>
      </w:r>
    </w:p>
    <w:p>
      <w:pPr>
        <w:spacing w:after="0"/>
        <w:rPr>
          <w:sz w:val="20"/>
          <w:szCs w:val="20"/>
          <w:color w:val="auto"/>
        </w:rPr>
      </w:pPr>
      <w:r>
        <w:rPr>
          <w:rFonts w:ascii="Arial" w:cs="Arial" w:eastAsia="Arial" w:hAnsi="Arial"/>
          <w:sz w:val="22"/>
          <w:szCs w:val="22"/>
          <w:color w:val="auto"/>
        </w:rPr>
        <w:t>adopted by Black Hills Corporation (“Company”) effective the 1  day of January, 2019.</w:t>
      </w:r>
    </w:p>
    <w:p>
      <w:pPr>
        <w:spacing w:after="0" w:line="364"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document is the Sixth Amendment to the Amended and Restated Outside Directors Stock Based Compensation Plan</w:t>
      </w:r>
    </w:p>
    <w:p>
      <w:pPr>
        <w:spacing w:after="0" w:line="13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st</w:t>
      </w:r>
    </w:p>
    <w:p>
      <w:pPr>
        <w:spacing w:after="0"/>
        <w:rPr>
          <w:sz w:val="20"/>
          <w:szCs w:val="20"/>
          <w:color w:val="auto"/>
        </w:rPr>
      </w:pPr>
      <w:r>
        <w:rPr>
          <w:rFonts w:ascii="Arial" w:cs="Arial" w:eastAsia="Arial" w:hAnsi="Arial"/>
          <w:sz w:val="19"/>
          <w:szCs w:val="19"/>
          <w:color w:val="auto"/>
        </w:rPr>
        <w:t>which was adopted by the Company effective the 1  day of January, 2019 (“Plan”). Under Section 11 of the Plan,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auto"/>
        </w:rPr>
        <w:t>reserved the right to amend, modify, or discontinue the Plan provided only that any modification is not to reduce accrued and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unpaid benefits. The amendment hereunder does not reduce any accrued or unpaid benefits.</w:t>
      </w:r>
    </w:p>
    <w:p>
      <w:pPr>
        <w:spacing w:after="0" w:line="382" w:lineRule="exact"/>
        <w:rPr>
          <w:sz w:val="20"/>
          <w:szCs w:val="20"/>
          <w:color w:val="auto"/>
        </w:rPr>
      </w:pPr>
    </w:p>
    <w:p>
      <w:pPr>
        <w:ind w:left="660" w:right="4220" w:hanging="4"/>
        <w:spacing w:after="0" w:line="556" w:lineRule="auto"/>
        <w:tabs>
          <w:tab w:leader="none" w:pos="1308" w:val="left"/>
        </w:tabs>
        <w:numPr>
          <w:ilvl w:val="0"/>
          <w:numId w:val="146"/>
        </w:numPr>
        <w:rPr>
          <w:rFonts w:ascii="Arial" w:cs="Arial" w:eastAsia="Arial" w:hAnsi="Arial"/>
          <w:sz w:val="16"/>
          <w:szCs w:val="16"/>
          <w:color w:val="auto"/>
        </w:rPr>
      </w:pPr>
      <w:r>
        <w:rPr>
          <w:rFonts w:ascii="Arial" w:cs="Arial" w:eastAsia="Arial" w:hAnsi="Arial"/>
          <w:sz w:val="19"/>
          <w:szCs w:val="19"/>
          <w:u w:val="single" w:color="auto"/>
          <w:color w:val="auto"/>
        </w:rPr>
        <w:t>AMENDMENTS TO SECTION 4. ADDITIONS TO ACCOUNTS</w:t>
      </w:r>
      <w:r>
        <w:rPr>
          <w:rFonts w:ascii="Arial" w:cs="Arial" w:eastAsia="Arial" w:hAnsi="Arial"/>
          <w:sz w:val="19"/>
          <w:szCs w:val="19"/>
          <w:color w:val="auto"/>
        </w:rPr>
        <w:t>. Section 4b of the Plan is amended and restated as follows:</w:t>
      </w:r>
    </w:p>
    <w:p>
      <w:pPr>
        <w:ind w:left="1300" w:hanging="320"/>
        <w:spacing w:after="0" w:line="250" w:lineRule="auto"/>
        <w:tabs>
          <w:tab w:leader="none" w:pos="13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For each of the applicable Quarter Periods designated in the table below, each Participant shall be entitled to a quarterly addition to their Account in the amount determined by dividing the sum of the applicable Quarterly Value by the market price of the Company common stock on the last trading day of the applicable Quarterly Period that the Participant is eligible for benefits.</w:t>
      </w:r>
    </w:p>
    <w:p>
      <w:pPr>
        <w:spacing w:after="0" w:line="107" w:lineRule="exact"/>
        <w:rPr>
          <w:rFonts w:ascii="Arial" w:cs="Arial" w:eastAsia="Arial" w:hAnsi="Arial"/>
          <w:sz w:val="22"/>
          <w:szCs w:val="22"/>
          <w:color w:val="auto"/>
        </w:rPr>
      </w:pPr>
    </w:p>
    <w:p>
      <w:pPr>
        <w:ind w:left="1300" w:right="60"/>
        <w:spacing w:after="0" w:line="287" w:lineRule="auto"/>
        <w:rPr>
          <w:rFonts w:ascii="Arial" w:cs="Arial" w:eastAsia="Arial" w:hAnsi="Arial"/>
          <w:sz w:val="22"/>
          <w:szCs w:val="22"/>
          <w:color w:val="auto"/>
        </w:rPr>
      </w:pPr>
      <w:r>
        <w:rPr>
          <w:rFonts w:ascii="Arial" w:cs="Arial" w:eastAsia="Arial" w:hAnsi="Arial"/>
          <w:sz w:val="21"/>
          <w:szCs w:val="21"/>
          <w:color w:val="auto"/>
        </w:rPr>
        <w:t>If a Participant is not an Outside Director for the entire Quarter Period, then the Participant’s addition for the quarter should be prorated for the number of months that the Participant served as Outside Director.</w:t>
      </w:r>
    </w:p>
    <w:p>
      <w:pPr>
        <w:sectPr>
          <w:pgSz w:w="11900" w:h="16838" w:orient="portrait"/>
          <w:cols w:equalWidth="0" w:num="1">
            <w:col w:w="11420"/>
          </w:cols>
          <w:pgMar w:left="240" w:top="585" w:right="239" w:bottom="1440" w:gutter="0" w:footer="0" w:header="0"/>
        </w:sectPr>
      </w:pPr>
    </w:p>
    <w:bookmarkStart w:id="198" w:name="page199"/>
    <w:bookmarkEnd w:id="198"/>
    <w:tbl>
      <w:tblPr>
        <w:tblLayout w:type="fixed"/>
        <w:tblInd w:w="174" w:type="dxa"/>
        <w:tblCellMar>
          <w:top w:w="0" w:type="dxa"/>
          <w:left w:w="0" w:type="dxa"/>
          <w:bottom w:w="0" w:type="dxa"/>
          <w:right w:w="0" w:type="dxa"/>
        </w:tblCellMar>
      </w:tblPr>
      <w:tr>
        <w:trPr>
          <w:trHeight w:val="274"/>
        </w:trPr>
        <w:tc>
          <w:tcPr>
            <w:tcW w:w="7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Quarterly Period</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Quarterly Value</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2007 - February 29, 2008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$11,333.33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2008 - May 31, 2008</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$12,500.00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2010 - November 30, 2010</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2010 - February 28, 2011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$14,166.67</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1, 2011 - May 31, 2011</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$15,000.00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2012 - November 30, 2012</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2012 - February 28, 2013</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$17,500.00</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2013 - May 31, 2013</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$18,750.00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2014 - November 30, 2014</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2014 - February 28, 2015</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$19,583.33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2015 - May 31, 2015</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$20,000.00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2016 - November 30, 2016</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2016 - February 28, 2017</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$21,666.67</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2017 - May 31, 2017</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$22,500.00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2017 - November 30, 2017</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2017 - February 28, 2018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$22,708.33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2018 - May 31, 2018</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$23,125.00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2018 - November 30, 2018</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2018 - February 28, 2019</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$25,208.33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83"/>
        </w:trPr>
        <w:tc>
          <w:tcPr>
            <w:tcW w:w="738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spacing w:after="0"/>
              <w:rPr>
                <w:sz w:val="15"/>
                <w:szCs w:val="15"/>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2019 - May 31, 2019</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$26,250.00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Quarterly Periods thereafter</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5" w:lineRule="exact"/>
        <w:rPr>
          <w:sz w:val="20"/>
          <w:szCs w:val="20"/>
          <w:color w:val="auto"/>
        </w:rPr>
      </w:pPr>
    </w:p>
    <w:p>
      <w:pPr>
        <w:ind w:left="644" w:hanging="644"/>
        <w:spacing w:after="0"/>
        <w:tabs>
          <w:tab w:leader="none" w:pos="644" w:val="left"/>
        </w:tabs>
        <w:numPr>
          <w:ilvl w:val="0"/>
          <w:numId w:val="147"/>
        </w:numPr>
        <w:rPr>
          <w:rFonts w:ascii="Arial" w:cs="Arial" w:eastAsia="Arial" w:hAnsi="Arial"/>
          <w:sz w:val="18"/>
          <w:szCs w:val="18"/>
          <w:color w:val="auto"/>
        </w:rPr>
      </w:pPr>
      <w:r>
        <w:rPr>
          <w:rFonts w:ascii="Arial" w:cs="Arial" w:eastAsia="Arial" w:hAnsi="Arial"/>
          <w:sz w:val="22"/>
          <w:szCs w:val="22"/>
          <w:u w:val="single" w:color="auto"/>
          <w:color w:val="auto"/>
        </w:rPr>
        <w:t>NO OTHER CHANGES</w:t>
      </w:r>
      <w:r>
        <w:rPr>
          <w:rFonts w:ascii="Arial" w:cs="Arial" w:eastAsia="Arial" w:hAnsi="Arial"/>
          <w:sz w:val="22"/>
          <w:szCs w:val="22"/>
          <w:color w:val="auto"/>
        </w:rPr>
        <w:t>.</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9"/>
          <w:szCs w:val="19"/>
          <w:color w:val="auto"/>
        </w:rPr>
        <w:t>Other than specifically set forth herein, all terms, conditions and provisions of the Plan shall remain the same.</w:t>
      </w:r>
    </w:p>
    <w:p>
      <w:pPr>
        <w:sectPr>
          <w:pgSz w:w="11900" w:h="16838" w:orient="portrait"/>
          <w:cols w:equalWidth="0" w:num="1">
            <w:col w:w="9984"/>
          </w:cols>
          <w:pgMar w:left="896" w:top="1065" w:right="1019" w:bottom="1440" w:gutter="0" w:footer="0" w:header="0"/>
        </w:sectPr>
      </w:pPr>
    </w:p>
    <w:bookmarkStart w:id="199" w:name="page200"/>
    <w:bookmarkEnd w:id="199"/>
    <w:p>
      <w:pPr>
        <w:ind w:left="1800"/>
        <w:spacing w:after="0"/>
        <w:rPr>
          <w:sz w:val="20"/>
          <w:szCs w:val="20"/>
          <w:color w:val="auto"/>
        </w:rPr>
      </w:pPr>
      <w:r>
        <w:rPr>
          <w:rFonts w:ascii="Arial" w:cs="Arial" w:eastAsia="Arial" w:hAnsi="Arial"/>
          <w:sz w:val="14"/>
          <w:szCs w:val="14"/>
          <w:color w:val="auto"/>
        </w:rPr>
        <w:t>th</w:t>
      </w:r>
    </w:p>
    <w:p>
      <w:pPr>
        <w:jc w:val="right"/>
        <w:ind w:right="6359"/>
        <w:spacing w:after="0"/>
        <w:rPr>
          <w:sz w:val="20"/>
          <w:szCs w:val="20"/>
          <w:color w:val="auto"/>
        </w:rPr>
      </w:pPr>
      <w:r>
        <w:rPr>
          <w:rFonts w:ascii="Arial" w:cs="Arial" w:eastAsia="Arial" w:hAnsi="Arial"/>
          <w:sz w:val="22"/>
          <w:szCs w:val="22"/>
          <w:color w:val="auto"/>
        </w:rPr>
        <w:t>Dated this 29  day of October, 2018.</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BLACK HILLS CORPORATION</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R. Emery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Its Chairman and CEO</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Roxann R. Basham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ectPr>
          <w:pgSz w:w="11900" w:h="16838" w:orient="portrait"/>
          <w:cols w:equalWidth="0" w:num="1">
            <w:col w:w="10219"/>
          </w:cols>
          <w:pgMar w:left="240" w:top="569"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BLACK HILLS CORPORATION SUBSIDIARIES</w:t>
      </w:r>
    </w:p>
    <w:p>
      <w:pPr>
        <w:spacing w:after="0" w:line="9"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56" w:lineRule="exact"/>
        <w:rPr>
          <w:sz w:val="20"/>
          <w:szCs w:val="20"/>
          <w:color w:val="auto"/>
        </w:rPr>
      </w:pPr>
    </w:p>
    <w:tbl>
      <w:tblPr>
        <w:tblLayout w:type="fixed"/>
        <w:tblInd w:w="273" w:type="dxa"/>
        <w:tblCellMar>
          <w:top w:w="0" w:type="dxa"/>
          <w:left w:w="0" w:type="dxa"/>
          <w:bottom w:w="0" w:type="dxa"/>
          <w:right w:w="0" w:type="dxa"/>
        </w:tblCellMar>
      </w:tblPr>
      <w:tr>
        <w:trPr>
          <w:trHeight w:val="289"/>
        </w:trPr>
        <w:tc>
          <w:tcPr>
            <w:tcW w:w="480" w:type="dxa"/>
            <w:vAlign w:val="bottom"/>
            <w:tcBorders>
              <w:top w:val="single" w:sz="8" w:color="auto"/>
              <w:left w:val="single" w:sz="8" w:color="auto"/>
              <w:bottom w:val="single" w:sz="8" w:color="CCCCCC"/>
              <w:right w:val="single" w:sz="8" w:color="auto"/>
            </w:tcBorders>
            <w:shd w:val="clear" w:color="auto" w:fill="CCCCCC"/>
          </w:tcPr>
          <w:p>
            <w:pPr>
              <w:spacing w:after="0"/>
              <w:rPr>
                <w:sz w:val="24"/>
                <w:szCs w:val="24"/>
                <w:color w:val="auto"/>
              </w:rPr>
            </w:pPr>
          </w:p>
        </w:tc>
        <w:tc>
          <w:tcPr>
            <w:tcW w:w="6720" w:type="dxa"/>
            <w:vAlign w:val="bottom"/>
            <w:tcBorders>
              <w:top w:val="single" w:sz="8" w:color="auto"/>
              <w:bottom w:val="single" w:sz="8" w:color="CCCCCC"/>
              <w:right w:val="single" w:sz="8" w:color="auto"/>
            </w:tcBorders>
            <w:shd w:val="clear" w:color="auto" w:fill="CCCCCC"/>
          </w:tcPr>
          <w:p>
            <w:pPr>
              <w:ind w:left="2680"/>
              <w:spacing w:after="0"/>
              <w:rPr>
                <w:sz w:val="20"/>
                <w:szCs w:val="20"/>
                <w:color w:val="auto"/>
              </w:rPr>
            </w:pPr>
            <w:r>
              <w:rPr>
                <w:rFonts w:ascii="Arial" w:cs="Arial" w:eastAsia="Arial" w:hAnsi="Arial"/>
                <w:sz w:val="18"/>
                <w:szCs w:val="18"/>
                <w:b w:val="1"/>
                <w:bCs w:val="1"/>
                <w:color w:val="auto"/>
              </w:rPr>
              <w:t>Subsidiary Name</w:t>
            </w:r>
          </w:p>
        </w:tc>
        <w:tc>
          <w:tcPr>
            <w:tcW w:w="2260" w:type="dxa"/>
            <w:vAlign w:val="bottom"/>
            <w:tcBorders>
              <w:top w:val="single" w:sz="8" w:color="auto"/>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State of Origin</w:t>
            </w:r>
          </w:p>
        </w:tc>
      </w:tr>
      <w:tr>
        <w:trPr>
          <w:trHeight w:val="237"/>
        </w:trPr>
        <w:tc>
          <w:tcPr>
            <w:tcW w:w="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6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Black Hills Cabresto Pipeline, LLC</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Electric,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Gas,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IPP,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Wind,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Electric Generation,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Arkansas,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Arkansas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Services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Exploration and Production,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Distribution,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Parent Holdings II,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Resources,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Hills/Iowa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Hills/Kansas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Midstream,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Hills/Nebraska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Non-regulated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Northwest Wyoming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Plateau Production,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Power,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Service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Shoshone Pipeline,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Utility Holdings,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Wyoming,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Cheyenne Light, Fuel and Power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Generation Development Company,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Mallon Oil Company, Sucursal Costa Rica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Costa Rica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N780BH,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Rocky Mountain Natural Gas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Wyodak Resources Development Corp.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143" w:hanging="143"/>
        <w:spacing w:after="0"/>
        <w:tabs>
          <w:tab w:leader="none" w:pos="1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doing business as </w:t>
      </w:r>
      <w:r>
        <w:rPr>
          <w:rFonts w:ascii="Arial" w:cs="Arial" w:eastAsia="Arial" w:hAnsi="Arial"/>
          <w:sz w:val="18"/>
          <w:szCs w:val="18"/>
          <w:b w:val="1"/>
          <w:bCs w:val="1"/>
          <w:color w:val="auto"/>
        </w:rPr>
        <w:t>Black Hills Energy</w:t>
      </w:r>
    </w:p>
    <w:p>
      <w:pPr>
        <w:sectPr>
          <w:pgSz w:w="11900" w:h="16838" w:orient="portrait"/>
          <w:cols w:equalWidth="0" w:num="1">
            <w:col w:w="10683"/>
          </w:cols>
          <w:pgMar w:left="977"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333-219704 and 333-219705 on Form S-3 and Registration Statement Nos. 333-170451, 333-217679, 333-170448, 333-170452, and 333-203714 on Form S-8 of our reports dated February 19, 2019, relating to the consolidated financial statements and financial statement schedule of Black Hills Corporation and subsidiaries (the “Company”), and the effectiveness of the Company’s internal control over financial reporting, appearing in this Annual Report on Form 10-K of Black Hills Corporation for the year ended December 31, 2018.</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Minneapolis, Minnesota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February 19, 2019</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 AND GEOLOGIST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petroleum engineers, we hereby consent to the inclusion of the information included in this Form 10-K with respect to the oil and gas reserves of Black Hills Exploration and Production, Inc., the future net revenues from such reserves, and the present value thereof, which information has been included in this Form 10-K in reliance upon the report of this firm and upon the authority of this firm as experts in petroleum engineering. We hereby further consent to all references to our firm included in this Form 10-K and to the incorporation by reference in the Registration Statements on Form S-8 Nos. 333-217679, 333-170451, 333-170448, 333-170452 and 333-203714 and the Registration Statements on Form S-3, Nos. 333-219704 and 333-219705.</w:t>
      </w:r>
    </w:p>
    <w:p>
      <w:pPr>
        <w:spacing w:after="0" w:line="200" w:lineRule="exact"/>
        <w:rPr>
          <w:sz w:val="20"/>
          <w:szCs w:val="20"/>
          <w:color w:val="auto"/>
        </w:rPr>
      </w:pPr>
    </w:p>
    <w:p>
      <w:pPr>
        <w:spacing w:after="0" w:line="33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CAWLEY, GILLESPIE &amp; ASSOCIATES, INC.</w:t>
      </w:r>
    </w:p>
    <w:p>
      <w:pPr>
        <w:spacing w:after="0" w:line="337"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 J. ZANE MEEKINS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 Zane Meekins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Fort Worth, Texas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387" w:lineRule="exact"/>
        <w:rPr>
          <w:sz w:val="20"/>
          <w:szCs w:val="20"/>
          <w:color w:val="auto"/>
        </w:rPr>
      </w:pPr>
    </w:p>
    <w:p>
      <w:pPr>
        <w:ind w:left="840" w:hanging="805"/>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19, 2019</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19, 2019</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Annual Report of Black Hills Corporation (the “Company”) on Form 10-K for the year ended December 31, 2018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19, 2019</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of Black Hills Corporation (the “Company”) on Form 10-K for the year ended December 31, 2018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19, 2019</w:t>
      </w:r>
    </w:p>
    <w:p>
      <w:pPr>
        <w:spacing w:after="0" w:line="38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2018.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twelve months ended December 31, 2018 and legal actions pending before the Federal Mine Safety and Health Review Commission, together with the Administrative Law Judges thereof, for WRDC, our only mining complex. All citations were abated within 24 hours of issue.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7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Legal</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104 S&amp;S Citations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102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Total Dollar</w:t>
            </w: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Mine/MSHA</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during</w:t>
            </w:r>
          </w:p>
        </w:tc>
        <w:tc>
          <w:tcPr>
            <w:tcW w:w="74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107(a)</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Potential to</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Actions</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twelve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Pattern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Initiated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ended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104(b)</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Citations 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Under Section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Violations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20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w w:val="84"/>
              </w:rPr>
              <w:t>Assessments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Fatalities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104(e)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6"/>
        </w:trPr>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(a)</w:t>
            </w: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100" w:type="dxa"/>
            <w:vAlign w:val="bottom"/>
          </w:tcPr>
          <w:p>
            <w:pPr>
              <w:ind w:left="40"/>
              <w:spacing w:after="0" w:line="157" w:lineRule="exact"/>
              <w:rPr>
                <w:sz w:val="20"/>
                <w:szCs w:val="20"/>
                <w:color w:val="auto"/>
              </w:rPr>
            </w:pPr>
            <w:r>
              <w:rPr>
                <w:rFonts w:ascii="Arial" w:cs="Arial" w:eastAsia="Arial" w:hAnsi="Arial"/>
                <w:sz w:val="14"/>
                <w:szCs w:val="14"/>
                <w:color w:val="auto"/>
              </w:rPr>
              <w:t>Wyodak Coal</w:t>
            </w: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Mine - 4800083</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826</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No</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00" w:hanging="332"/>
        <w:spacing w:after="0" w:line="254" w:lineRule="auto"/>
        <w:tabs>
          <w:tab w:leader="none" w:pos="3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x"/>
      <w:numFmt w:val="bullet"/>
      <w:start w:val="1"/>
    </w:lvl>
  </w:abstractNum>
  <w:abstractNum w:abstractNumId="1">
    <w:nsid w:val="A0382C5"/>
    <w:multiLevelType w:val="hybridMultilevel"/>
    <w:lvl w:ilvl="0">
      <w:lvlJc w:val="left"/>
      <w:lvlText w:val="o"/>
      <w:numFmt w:val="bullet"/>
      <w:start w:val="1"/>
    </w:lvl>
  </w:abstractNum>
  <w:abstractNum w:abstractNumId="2">
    <w:nsid w:val="8F2B15E"/>
    <w:multiLevelType w:val="hybridMultilevel"/>
    <w:lvl w:ilvl="0">
      <w:lvlJc w:val="left"/>
      <w:lvlText w:val="(%1)"/>
      <w:numFmt w:val="lowerLetter"/>
      <w:start w:val="1"/>
    </w:lvl>
  </w:abstractNum>
  <w:abstractNum w:abstractNumId="3">
    <w:nsid w:val="1A32234B"/>
    <w:multiLevelType w:val="hybridMultilevel"/>
    <w:lvl w:ilvl="0">
      <w:lvlJc w:val="left"/>
      <w:lvlText w:val="(%1)"/>
      <w:numFmt w:val="lowerLetter"/>
      <w:start w:val="1"/>
    </w:lvl>
  </w:abstractNum>
  <w:abstractNum w:abstractNumId="4">
    <w:nsid w:val="3B0FD379"/>
    <w:multiLevelType w:val="hybridMultilevel"/>
    <w:lvl w:ilvl="0">
      <w:lvlJc w:val="left"/>
      <w:lvlText w:val="(%1)"/>
      <w:numFmt w:val="lowerLetter"/>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lowerLetter"/>
      <w:start w:val="1"/>
    </w:lvl>
  </w:abstractNum>
  <w:abstractNum w:abstractNumId="9">
    <w:nsid w:val="14330624"/>
    <w:multiLevelType w:val="hybridMultilevel"/>
    <w:lvl w:ilvl="0">
      <w:lvlJc w:val="left"/>
      <w:lvlText w:val="•"/>
      <w:numFmt w:val="bullet"/>
      <w:start w:val="1"/>
    </w:lvl>
    <w:lvl w:ilvl="1">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lowerLetter"/>
      <w:start w:val="1"/>
    </w:lvl>
  </w:abstractNum>
  <w:abstractNum w:abstractNumId="15">
    <w:nsid w:val="6EB5BD4"/>
    <w:multiLevelType w:val="hybridMultilevel"/>
    <w:lvl w:ilvl="0">
      <w:lvlJc w:val="left"/>
      <w:lvlText w:val="(%1)"/>
      <w:numFmt w:val="lowerLetter"/>
      <w:start w:val="1"/>
    </w:lvl>
  </w:abstractNum>
  <w:abstractNum w:abstractNumId="16">
    <w:nsid w:val="6F6DD9AC"/>
    <w:multiLevelType w:val="hybridMultilevel"/>
    <w:lvl w:ilvl="0">
      <w:lvlJc w:val="left"/>
      <w:lvlText w:val="(%1)"/>
      <w:numFmt w:val="lowerLetter"/>
      <w:start w:val="1"/>
    </w:lvl>
  </w:abstractNum>
  <w:abstractNum w:abstractNumId="17">
    <w:nsid w:val="94211F2"/>
    <w:multiLevelType w:val="hybridMultilevel"/>
    <w:lvl w:ilvl="0">
      <w:lvlJc w:val="left"/>
      <w:lvlText w:val="(%1)"/>
      <w:numFmt w:val="lowerLetter"/>
      <w:start w:val="1"/>
    </w:lvl>
  </w:abstractNum>
  <w:abstractNum w:abstractNumId="18">
    <w:nsid w:val="885E1B"/>
    <w:multiLevelType w:val="hybridMultilevel"/>
    <w:lvl w:ilvl="0">
      <w:lvlJc w:val="left"/>
      <w:lvlText w:val="(%1)"/>
      <w:numFmt w:val="lowerLetter"/>
      <w:start w:val="1"/>
    </w:lvl>
  </w:abstractNum>
  <w:abstractNum w:abstractNumId="19">
    <w:nsid w:val="76272110"/>
    <w:multiLevelType w:val="hybridMultilevel"/>
    <w:lvl w:ilvl="0">
      <w:lvlJc w:val="left"/>
      <w:lvlText w:val="(%1)"/>
      <w:numFmt w:val="lowerLetter"/>
      <w:start w:val="1"/>
    </w:lvl>
  </w:abstractNum>
  <w:abstractNum w:abstractNumId="20">
    <w:nsid w:val="4C04A8AF"/>
    <w:multiLevelType w:val="hybridMultilevel"/>
    <w:lvl w:ilvl="0">
      <w:lvlJc w:val="left"/>
      <w:lvlText w:val="(%1)"/>
      <w:numFmt w:val="lowerLetter"/>
      <w:start w:val="1"/>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1)"/>
      <w:numFmt w:val="lowerLetter"/>
      <w:start w:val="1"/>
    </w:lvl>
  </w:abstractNum>
  <w:abstractNum w:abstractNumId="25">
    <w:nsid w:val="68EBC550"/>
    <w:multiLevelType w:val="hybridMultilevel"/>
    <w:lvl w:ilvl="0">
      <w:lvlJc w:val="left"/>
      <w:lvlText w:val="(%1)"/>
      <w:numFmt w:val="lowerLetter"/>
      <w:start w:val="1"/>
    </w:lvl>
  </w:abstractNum>
  <w:abstractNum w:abstractNumId="26">
    <w:nsid w:val="2DF6D648"/>
    <w:multiLevelType w:val="hybridMultilevel"/>
    <w:lvl w:ilvl="0">
      <w:lvlJc w:val="left"/>
      <w:lvlText w:val="•"/>
      <w:numFmt w:val="bullet"/>
      <w:start w:val="1"/>
    </w:lvl>
    <w:lvl w:ilvl="1">
      <w:lvlJc w:val="left"/>
      <w:lvlText w:val="◦"/>
      <w:numFmt w:val="bullet"/>
      <w:start w:val="1"/>
    </w:lvl>
  </w:abstractNum>
  <w:abstractNum w:abstractNumId="27">
    <w:nsid w:val="46B7D447"/>
    <w:multiLevelType w:val="hybridMultilevel"/>
    <w:lvl w:ilvl="0">
      <w:lvlJc w:val="left"/>
      <w:lvlText w:val="•"/>
      <w:numFmt w:val="bullet"/>
      <w:start w:val="1"/>
    </w:lvl>
    <w:lvl w:ilvl="1">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lowerLetter"/>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1)"/>
      <w:numFmt w:val="lowerLetter"/>
      <w:start w:val="1"/>
    </w:lvl>
  </w:abstractNum>
  <w:abstractNum w:abstractNumId="36">
    <w:nsid w:val="49DA307D"/>
    <w:multiLevelType w:val="hybridMultilevel"/>
    <w:lvl w:ilvl="0">
      <w:lvlJc w:val="left"/>
      <w:lvlText w:val="(%1)"/>
      <w:numFmt w:val="lowerLetter"/>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1)"/>
      <w:numFmt w:val="lowerLetter"/>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lvl w:ilvl="1">
      <w:lvlJc w:val="left"/>
      <w:lvlText w:val="•"/>
      <w:numFmt w:val="bullet"/>
      <w:start w:val="1"/>
    </w:lvl>
  </w:abstractNum>
  <w:abstractNum w:abstractNumId="42">
    <w:nsid w:val="6AA78F7F"/>
    <w:multiLevelType w:val="hybridMultilevel"/>
    <w:lvl w:ilvl="0">
      <w:lvlJc w:val="left"/>
      <w:lvlText w:val="•"/>
      <w:numFmt w:val="bullet"/>
      <w:start w:val="1"/>
    </w:lvl>
    <w:lvl w:ilvl="1">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lvl w:ilvl="1">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1)"/>
      <w:numFmt w:val="lowerLetter"/>
      <w:start w:val="1"/>
    </w:lvl>
  </w:abstractNum>
  <w:abstractNum w:abstractNumId="53">
    <w:nsid w:val="6A3DD3E8"/>
    <w:multiLevelType w:val="hybridMultilevel"/>
    <w:lvl w:ilvl="0">
      <w:lvlJc w:val="left"/>
      <w:lvlText w:val="(%1)"/>
      <w:numFmt w:val="lowerLetter"/>
      <w:start w:val="1"/>
    </w:lvl>
  </w:abstractNum>
  <w:abstractNum w:abstractNumId="54">
    <w:nsid w:val="71C91298"/>
    <w:multiLevelType w:val="hybridMultilevel"/>
    <w:lvl w:ilvl="0">
      <w:lvlJc w:val="left"/>
      <w:lvlText w:val="(%1)"/>
      <w:numFmt w:val="lowerLetter"/>
      <w:start w:val="1"/>
    </w:lvl>
  </w:abstractNum>
  <w:abstractNum w:abstractNumId="55">
    <w:nsid w:val="9DAF632"/>
    <w:multiLevelType w:val="hybridMultilevel"/>
    <w:lvl w:ilvl="0">
      <w:lvlJc w:val="left"/>
      <w:lvlText w:val="(%1)"/>
      <w:numFmt w:val="lowerLetter"/>
      <w:start w:val="1"/>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Letter"/>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lowerLetter"/>
      <w:start w:val="1"/>
    </w:lvl>
  </w:abstractNum>
  <w:abstractNum w:abstractNumId="61">
    <w:nsid w:val="288F1A34"/>
    <w:multiLevelType w:val="hybridMultilevel"/>
    <w:lvl w:ilvl="0">
      <w:lvlJc w:val="left"/>
      <w:lvlText w:val="(%1)"/>
      <w:numFmt w:val="lowerLetter"/>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lvl w:ilvl="1">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lvl w:ilvl="1">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lowerLetter"/>
      <w:start w:val="1"/>
    </w:lvl>
  </w:abstractNum>
  <w:abstractNum w:abstractNumId="71">
    <w:nsid w:val="45E6D486"/>
    <w:multiLevelType w:val="hybridMultilevel"/>
    <w:lvl w:ilvl="0">
      <w:lvlJc w:val="left"/>
      <w:lvlText w:val="(%1)"/>
      <w:numFmt w:val="lowerLetter"/>
      <w:start w:val="1"/>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lowerLetter"/>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1)"/>
      <w:numFmt w:val="lowerLetter"/>
      <w:start w:val="1"/>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lowerLetter"/>
      <w:start w:val="1"/>
    </w:lvl>
  </w:abstractNum>
  <w:abstractNum w:abstractNumId="80">
    <w:nsid w:val="379E21B5"/>
    <w:multiLevelType w:val="hybridMultilevel"/>
    <w:lvl w:ilvl="0">
      <w:lvlJc w:val="left"/>
      <w:lvlText w:val="(%1)"/>
      <w:numFmt w:val="lowerLetter"/>
      <w:start w:val="1"/>
    </w:lvl>
  </w:abstractNum>
  <w:abstractNum w:abstractNumId="81">
    <w:nsid w:val="69E373"/>
    <w:multiLevelType w:val="hybridMultilevel"/>
    <w:lvl w:ilvl="0">
      <w:lvlJc w:val="left"/>
      <w:lvlText w:val="(%1)"/>
      <w:numFmt w:val="lowerLetter"/>
      <w:start w:val="1"/>
    </w:lvl>
  </w:abstractNum>
  <w:abstractNum w:abstractNumId="82">
    <w:nsid w:val="2C27173B"/>
    <w:multiLevelType w:val="hybridMultilevel"/>
    <w:lvl w:ilvl="0">
      <w:lvlJc w:val="left"/>
      <w:lvlText w:val="(%1)"/>
      <w:numFmt w:val="lowerLetter"/>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lowerLetter"/>
      <w:start w:val="1"/>
    </w:lvl>
  </w:abstractNum>
  <w:abstractNum w:abstractNumId="85">
    <w:nsid w:val="1DF029D3"/>
    <w:multiLevelType w:val="hybridMultilevel"/>
    <w:lvl w:ilvl="0">
      <w:lvlJc w:val="left"/>
      <w:lvlText w:val="(%1)"/>
      <w:numFmt w:val="lowerLetter"/>
      <w:start w:val="1"/>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Letter"/>
      <w:start w:val="1"/>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decimal"/>
      <w:start w:val="6"/>
    </w:lvl>
    <w:lvl w:ilvl="1">
      <w:lvlJc w:val="left"/>
      <w:lvlText w:val="•"/>
      <w:numFmt w:val="bullet"/>
      <w:start w:val="1"/>
    </w:lvl>
  </w:abstractNum>
  <w:abstractNum w:abstractNumId="92">
    <w:nsid w:val="4F97E3E4"/>
    <w:multiLevelType w:val="hybridMultilevel"/>
    <w:lvl w:ilvl="0">
      <w:lvlJc w:val="left"/>
      <w:lvlText w:val="(%1)"/>
      <w:numFmt w:val="lowerLetter"/>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1"/>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1)"/>
      <w:numFmt w:val="decimal"/>
      <w:start w:val="13"/>
    </w:lvl>
  </w:abstractNum>
  <w:abstractNum w:abstractNumId="98">
    <w:nsid w:val="2C6E4AFD"/>
    <w:multiLevelType w:val="hybridMultilevel"/>
    <w:lvl w:ilvl="0">
      <w:lvlJc w:val="left"/>
      <w:lvlText w:val="(%1)"/>
      <w:numFmt w:val="decimal"/>
      <w:start w:val="15"/>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1)"/>
      <w:numFmt w:val="lowerLetter"/>
      <w:start w:val="1"/>
    </w:lvl>
  </w:abstractNum>
  <w:abstractNum w:abstractNumId="101">
    <w:nsid w:val="5046B5A9"/>
    <w:multiLevelType w:val="hybridMultilevel"/>
    <w:lvl w:ilvl="0">
      <w:lvlJc w:val="left"/>
      <w:lvlText w:val="(%1)"/>
      <w:numFmt w:val="decimal"/>
      <w:start w:val="18"/>
    </w:lvl>
  </w:abstractNum>
  <w:abstractNum w:abstractNumId="102">
    <w:nsid w:val="5D888A08"/>
    <w:multiLevelType w:val="hybridMultilevel"/>
    <w:lvl w:ilvl="0">
      <w:lvlJc w:val="left"/>
      <w:lvlText w:val="(%1)"/>
      <w:numFmt w:val="lowerLetter"/>
      <w:start w:val="1"/>
    </w:lvl>
  </w:abstractNum>
  <w:abstractNum w:abstractNumId="103">
    <w:nsid w:val="2A082C70"/>
    <w:multiLevelType w:val="hybridMultilevel"/>
    <w:lvl w:ilvl="0">
      <w:lvlJc w:val="left"/>
      <w:lvlText w:val="(%1)"/>
      <w:numFmt w:val="lowerLetter"/>
      <w:start w:val="1"/>
    </w:lvl>
  </w:abstractNum>
  <w:abstractNum w:abstractNumId="104">
    <w:nsid w:val="5EC6AFD4"/>
    <w:multiLevelType w:val="hybridMultilevel"/>
    <w:lvl w:ilvl="0">
      <w:lvlJc w:val="left"/>
      <w:lvlText w:val="(%1)"/>
      <w:numFmt w:val="lowerLetter"/>
      <w:start w:val="1"/>
    </w:lvl>
  </w:abstractNum>
  <w:abstractNum w:abstractNumId="105">
    <w:nsid w:val="19E21BB2"/>
    <w:multiLevelType w:val="hybridMultilevel"/>
    <w:lvl w:ilvl="0">
      <w:lvlJc w:val="left"/>
      <w:lvlText w:val="(%1)"/>
      <w:numFmt w:val="decimal"/>
      <w:start w:val="19"/>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1)"/>
      <w:numFmt w:val="lowerLetter"/>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1)"/>
      <w:numFmt w:val="lowerLetter"/>
      <w:start w:val="1"/>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1."/>
      <w:numFmt w:val="decimal"/>
      <w:start w:val="2"/>
    </w:lvl>
  </w:abstractNum>
  <w:abstractNum w:abstractNumId="114">
    <w:nsid w:val="57D2F10E"/>
    <w:multiLevelType w:val="hybridMultilevel"/>
    <w:lvl w:ilvl="0">
      <w:lvlJc w:val="left"/>
      <w:lvlText w:val="%1."/>
      <w:numFmt w:val="decimal"/>
      <w:start w:val="3"/>
    </w:lvl>
  </w:abstractNum>
  <w:abstractNum w:abstractNumId="115">
    <w:nsid w:val="BFFAE18"/>
    <w:multiLevelType w:val="hybridMultilevel"/>
    <w:lvl w:ilvl="0">
      <w:lvlJc w:val="left"/>
      <w:lvlText w:val="%1"/>
      <w:numFmt w:val="decimal"/>
      <w:start w:val="21"/>
    </w:lvl>
  </w:abstractNum>
  <w:abstractNum w:abstractNumId="116">
    <w:nsid w:val="E3E47A8"/>
    <w:multiLevelType w:val="hybridMultilevel"/>
    <w:lvl w:ilvl="0">
      <w:lvlJc w:val="left"/>
      <w:lvlText w:val="%1"/>
      <w:numFmt w:val="decimal"/>
      <w:start w:val="95"/>
    </w:lvl>
  </w:abstractNum>
  <w:abstractNum w:abstractNumId="117">
    <w:nsid w:val="2E48F044"/>
    <w:multiLevelType w:val="hybridMultilevel"/>
    <w:lvl w:ilvl="0">
      <w:lvlJc w:val="left"/>
      <w:lvlText w:val="*"/>
      <w:numFmt w:val="bullet"/>
      <w:start w:val="1"/>
    </w:lvl>
    <w:lvl w:ilvl="1">
      <w:lvlJc w:val="left"/>
      <w:lvlText w:val="%2"/>
      <w:numFmt w:val="decimal"/>
      <w:start w:val="10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2"/>
    </w:lvl>
  </w:abstractNum>
  <w:abstractNum w:abstractNumId="120">
    <w:nsid w:val="5551B9F3"/>
    <w:multiLevelType w:val="hybridMultilevel"/>
    <w:lvl w:ilvl="0">
      <w:lvlJc w:val="left"/>
      <w:lvlText w:val="%1."/>
      <w:numFmt w:val="decimal"/>
      <w:start w:val="3"/>
    </w:lvl>
  </w:abstractNum>
  <w:abstractNum w:abstractNumId="121">
    <w:nsid w:val="24F6AB8E"/>
    <w:multiLevelType w:val="hybridMultilevel"/>
    <w:lvl w:ilvl="0">
      <w:lvlJc w:val="left"/>
      <w:lvlText w:val="%1."/>
      <w:numFmt w:val="decimal"/>
      <w:start w:val="4"/>
    </w:lvl>
  </w:abstractNum>
  <w:abstractNum w:abstractNumId="122">
    <w:nsid w:val="634C574C"/>
    <w:multiLevelType w:val="hybridMultilevel"/>
    <w:lvl w:ilvl="0">
      <w:lvlJc w:val="left"/>
      <w:lvlText w:val="%1."/>
      <w:numFmt w:val="decimal"/>
      <w:start w:val="5"/>
    </w:lvl>
  </w:abstractNum>
  <w:abstractNum w:abstractNumId="123">
    <w:nsid w:val="24E99DD7"/>
    <w:multiLevelType w:val="hybridMultilevel"/>
    <w:lvl w:ilvl="0">
      <w:lvlJc w:val="left"/>
      <w:lvlText w:val="%1."/>
      <w:numFmt w:val="decimal"/>
      <w:start w:val="6"/>
    </w:lvl>
  </w:abstractNum>
  <w:abstractNum w:abstractNumId="124">
    <w:nsid w:val="2A31B62D"/>
    <w:multiLevelType w:val="hybridMultilevel"/>
    <w:lvl w:ilvl="0">
      <w:lvlJc w:val="left"/>
      <w:lvlText w:val="%1."/>
      <w:numFmt w:val="decimal"/>
      <w:start w:val="7"/>
    </w:lvl>
  </w:abstractNum>
  <w:abstractNum w:abstractNumId="125">
    <w:nsid w:val="1849C29B"/>
    <w:multiLevelType w:val="hybridMultilevel"/>
    <w:lvl w:ilvl="0">
      <w:lvlJc w:val="left"/>
      <w:lvlText w:val="%1."/>
      <w:numFmt w:val="decimal"/>
      <w:start w:val="8"/>
    </w:lvl>
  </w:abstractNum>
  <w:abstractNum w:abstractNumId="126">
    <w:nsid w:val="7DFF9D09"/>
    <w:multiLevelType w:val="hybridMultilevel"/>
    <w:lvl w:ilvl="0">
      <w:lvlJc w:val="left"/>
      <w:lvlText w:val="%1."/>
      <w:numFmt w:val="decimal"/>
      <w:start w:val="9"/>
    </w:lvl>
  </w:abstractNum>
  <w:abstractNum w:abstractNumId="127">
    <w:nsid w:val="754342"/>
    <w:multiLevelType w:val="hybridMultilevel"/>
    <w:lvl w:ilvl="0">
      <w:lvlJc w:val="left"/>
      <w:lvlText w:val="(%1)"/>
      <w:numFmt w:val="lowerLetter"/>
      <w:start w:val="1"/>
    </w:lvl>
  </w:abstractNum>
  <w:abstractNum w:abstractNumId="128">
    <w:nsid w:val="69E7F3E5"/>
    <w:multiLevelType w:val="hybridMultilevel"/>
    <w:lvl w:ilvl="0">
      <w:lvlJc w:val="left"/>
      <w:lvlText w:val="(%1)"/>
      <w:numFmt w:val="lowerLetter"/>
      <w:start w:val="1"/>
    </w:lvl>
  </w:abstractNum>
  <w:abstractNum w:abstractNumId="129">
    <w:nsid w:val="2A6DE806"/>
    <w:multiLevelType w:val="hybridMultilevel"/>
    <w:lvl w:ilvl="0">
      <w:lvlJc w:val="left"/>
      <w:lvlText w:val="(%1)"/>
      <w:numFmt w:val="lowerLetter"/>
      <w:start w:val="3"/>
    </w:lvl>
  </w:abstractNum>
  <w:abstractNum w:abstractNumId="130">
    <w:nsid w:val="1816F8C4"/>
    <w:multiLevelType w:val="hybridMultilevel"/>
    <w:lvl w:ilvl="0">
      <w:lvlJc w:val="left"/>
      <w:lvlText w:val="(%1)"/>
      <w:numFmt w:val="lowerLetter"/>
      <w:start w:val="1"/>
    </w:lvl>
  </w:abstractNum>
  <w:abstractNum w:abstractNumId="131">
    <w:nsid w:val="37DF2233"/>
    <w:multiLevelType w:val="hybridMultilevel"/>
    <w:lvl w:ilvl="0">
      <w:lvlJc w:val="left"/>
      <w:lvlText w:val="(%1)"/>
      <w:numFmt w:val="lowerLetter"/>
      <w:start w:val="2"/>
    </w:lvl>
    <w:lvl w:ilvl="1">
      <w:lvlJc w:val="left"/>
      <w:lvlText w:val="(%2)"/>
      <w:numFmt w:val="lowerRoman"/>
      <w:start w:val="1"/>
    </w:lvl>
  </w:abstractNum>
  <w:abstractNum w:abstractNumId="132">
    <w:nsid w:val="7AB49DAF"/>
    <w:multiLevelType w:val="hybridMultilevel"/>
    <w:lvl w:ilvl="0">
      <w:lvlJc w:val="left"/>
      <w:lvlText w:val="(%1)"/>
      <w:numFmt w:val="lowerRoman"/>
      <w:start w:val="2"/>
    </w:lvl>
  </w:abstractNum>
  <w:abstractNum w:abstractNumId="133">
    <w:nsid w:val="759F82CD"/>
    <w:multiLevelType w:val="hybridMultilevel"/>
    <w:lvl w:ilvl="0">
      <w:lvlJc w:val="left"/>
      <w:lvlText w:val="(%1)"/>
      <w:numFmt w:val="lowerLetter"/>
      <w:start w:val="4"/>
    </w:lvl>
  </w:abstractNum>
  <w:abstractNum w:abstractNumId="134">
    <w:nsid w:val="61E74EA3"/>
    <w:multiLevelType w:val="hybridMultilevel"/>
    <w:lvl w:ilvl="0">
      <w:lvlJc w:val="left"/>
      <w:lvlText w:val="(%1)"/>
      <w:numFmt w:val="lowerLetter"/>
      <w:start w:val="1"/>
    </w:lvl>
  </w:abstractNum>
  <w:abstractNum w:abstractNumId="135">
    <w:nsid w:val="597B4D84"/>
    <w:multiLevelType w:val="hybridMultilevel"/>
    <w:lvl w:ilvl="0">
      <w:lvlJc w:val="left"/>
      <w:lvlText w:val="(%1)"/>
      <w:numFmt w:val="lowerLetter"/>
      <w:start w:val="4"/>
    </w:lvl>
  </w:abstractNum>
  <w:abstractNum w:abstractNumId="136">
    <w:nsid w:val="F819E7F"/>
    <w:multiLevelType w:val="hybridMultilevel"/>
    <w:lvl w:ilvl="0">
      <w:lvlJc w:val="left"/>
      <w:lvlText w:val="(%1)"/>
      <w:numFmt w:val="lowerLetter"/>
      <w:start w:val="1"/>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1)"/>
      <w:numFmt w:val="lowerLetter"/>
      <w:start w:val="2"/>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1"/>
    </w:lvl>
  </w:abstractNum>
  <w:abstractNum w:abstractNumId="141">
    <w:nsid w:val="75486E47"/>
    <w:multiLevelType w:val="hybridMultilevel"/>
    <w:lvl w:ilvl="0">
      <w:lvlJc w:val="left"/>
      <w:lvlText w:val="(%1)"/>
      <w:numFmt w:val="lowerLetter"/>
      <w:start w:val="2"/>
    </w:lvl>
  </w:abstractNum>
  <w:abstractNum w:abstractNumId="142">
    <w:nsid w:val="6E534CDE"/>
    <w:multiLevelType w:val="hybridMultilevel"/>
    <w:lvl w:ilvl="0">
      <w:lvlJc w:val="left"/>
      <w:lvlText w:val="(%1)"/>
      <w:numFmt w:val="lowerLetter"/>
      <w:start w:val="1"/>
    </w:lvl>
  </w:abstractNum>
  <w:abstractNum w:abstractNumId="143">
    <w:nsid w:val="1A0DDE32"/>
    <w:multiLevelType w:val="hybridMultilevel"/>
    <w:lvl w:ilvl="0">
      <w:lvlJc w:val="left"/>
      <w:lvlText w:val="(%1)"/>
      <w:numFmt w:val="lowerLetter"/>
      <w:start w:val="3"/>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decimal"/>
      <w:start w:val="2"/>
    </w:lvl>
    <w:lvl w:ilvl="1">
      <w:lvlJc w:val="left"/>
      <w:lvlText w:val="%2."/>
      <w:numFmt w:val="lowerLetter"/>
      <w:start w:val="2"/>
    </w:lvl>
  </w:abstractNum>
  <w:abstractNum w:abstractNumId="146">
    <w:nsid w:val="260D8C4A"/>
    <w:multiLevelType w:val="hybridMultilevel"/>
    <w:lvl w:ilvl="0">
      <w:lvlJc w:val="left"/>
      <w:lvlText w:val="%1."/>
      <w:numFmt w:val="decimal"/>
      <w:start w:val="3"/>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1."/>
      <w:numFmt w:val="decimal"/>
      <w:start w:val="1"/>
    </w:lvl>
    <w:lvl w:ilvl="1">
      <w:lvlJc w:val="left"/>
      <w:lvlText w:val="%2)"/>
      <w:numFmt w:val="lowerLetter"/>
      <w:start w:val="1"/>
    </w:lvl>
  </w:abstractNum>
  <w:abstractNum w:abstractNumId="149">
    <w:nsid w:val="6FDE8AF6"/>
    <w:multiLevelType w:val="hybridMultilevel"/>
    <w:lvl w:ilvl="0">
      <w:lvlJc w:val="left"/>
      <w:lvlText w:val="%1."/>
      <w:numFmt w:val="decimal"/>
      <w:start w:val="1"/>
    </w:lvl>
    <w:lvl w:ilvl="1">
      <w:lvlJc w:val="left"/>
      <w:lvlText w:val="%2)"/>
      <w:numFmt w:val="lowerLetter"/>
      <w:start w:val="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105" Type="http://schemas.openxmlformats.org/officeDocument/2006/relationships/image" Target="media/image46.png"/><Relationship Id="rId106" Type="http://schemas.openxmlformats.org/officeDocument/2006/relationships/image" Target="media/image47.png"/><Relationship Id="rId107" Type="http://schemas.openxmlformats.org/officeDocument/2006/relationships/image" Target="media/image48.png"/><Relationship Id="rId108" Type="http://schemas.openxmlformats.org/officeDocument/2006/relationships/image" Target="media/image49.png"/><Relationship Id="rId109" Type="http://schemas.openxmlformats.org/officeDocument/2006/relationships/image" Target="media/image50.png"/><Relationship Id="rId110" Type="http://schemas.openxmlformats.org/officeDocument/2006/relationships/image" Target="media/image51.png"/><Relationship Id="rId53" Type="http://schemas.openxmlformats.org/officeDocument/2006/relationships/hyperlink" Target="http://www.sec.gov/Archives/edgar/data/1130464/000113046415000133/ex21purchaseandsaleagr.htm" TargetMode="External"/><Relationship Id="rId54" Type="http://schemas.openxmlformats.org/officeDocument/2006/relationships/hyperlink" Target="http://www.sec.gov/Archives/edgar/data/1130464/000113046416000176/bkhex-221stamdpurchasesale.htm" TargetMode="External"/><Relationship Id="rId55" Type="http://schemas.openxmlformats.org/officeDocument/2006/relationships/hyperlink" Target="http://www.sec.gov/Archives/edgar/data/1130464/000113046415000133/ex22optionagreement.htm" TargetMode="External"/><Relationship Id="rId56" Type="http://schemas.openxmlformats.org/officeDocument/2006/relationships/hyperlink" Target="http://www.sec.gov/Archives/edgar/data/1130464/000113046418000007/bhcamendedarticles.htm" TargetMode="External"/><Relationship Id="rId57" Type="http://schemas.openxmlformats.org/officeDocument/2006/relationships/hyperlink" Target="http://www.sec.gov/Archives/edgar/data/1130464/000113046417000016/bkhexh3-amdrestatedbylawso.htm" TargetMode="External"/><Relationship Id="rId58" Type="http://schemas.openxmlformats.org/officeDocument/2006/relationships/hyperlink" Target="http://www.sec.gov/Archives/edgar/data/1130464/000113046403000214/ex4-1_10q603.htm" TargetMode="External"/><Relationship Id="rId59" Type="http://schemas.openxmlformats.org/officeDocument/2006/relationships/hyperlink" Target="http://www.sec.gov/Archives/edgar/data/1130464/000113046403000214/ex4-2_10q603.htm" TargetMode="External"/><Relationship Id="rId60" Type="http://schemas.openxmlformats.org/officeDocument/2006/relationships/hyperlink" Target="http://www.sec.gov/Archives/edgar/data/1130464/000110465909032244/a09-13238_3ex4.htm" TargetMode="External"/><Relationship Id="rId61" Type="http://schemas.openxmlformats.org/officeDocument/2006/relationships/hyperlink" Target="http://www.sec.gov/Archives/edgar/data/1130464/000110465910038202/a10-11184_5ex4.htm" TargetMode="External"/><Relationship Id="rId62" Type="http://schemas.openxmlformats.org/officeDocument/2006/relationships/hyperlink" Target="http://www.sec.gov/Archives/edgar/data/1130464/000110465913085420/a13-24110_4ex4.htm" TargetMode="External"/><Relationship Id="rId63" Type="http://schemas.openxmlformats.org/officeDocument/2006/relationships/hyperlink" Target="http://www.sec.gov/Archives/edgar/data/1130464/000110465916089656/a16-1059_4ex4d1.htm" TargetMode="External"/><Relationship Id="rId64" Type="http://schemas.openxmlformats.org/officeDocument/2006/relationships/hyperlink" Target="http://www.sec.gov/Archives/edgar/data/1130464/000110465916140657/a16-17027_1ex4d1.htm" TargetMode="External"/><Relationship Id="rId65" Type="http://schemas.openxmlformats.org/officeDocument/2006/relationships/hyperlink" Target="http://www.sec.gov/Archives/edgar/data/1130464/000110465918052602/a18-18564_4ex4d2.htm" TargetMode="External"/><Relationship Id="rId66" Type="http://schemas.openxmlformats.org/officeDocument/2006/relationships/hyperlink" Target="http://www.sec.gov/Archives/edgar/data/12400/000104746909009108/a2195001zex-4_19.htm" TargetMode="External"/><Relationship Id="rId67" Type="http://schemas.openxmlformats.org/officeDocument/2006/relationships/hyperlink" Target="http://www.sec.gov/Archives/edgar/data/12400/000104746909009108/a2195001zex-4_20.htm" TargetMode="External"/><Relationship Id="rId68" Type="http://schemas.openxmlformats.org/officeDocument/2006/relationships/hyperlink" Target="http://www.sec.gov/Archives/edgar/data/12400/000110465909060487/a09-31821_7ex4d21.htm" TargetMode="External"/><Relationship Id="rId69" Type="http://schemas.openxmlformats.org/officeDocument/2006/relationships/hyperlink" Target="http://www.sec.gov/Archives/edgar/data/12400/000113046414000164/ex_10-1thirdsuppindentureb.htm" TargetMode="External"/><Relationship Id="rId70" Type="http://schemas.openxmlformats.org/officeDocument/2006/relationships/hyperlink" Target="http://www.sec.gov/Archives/edgar/data/12400/000113046414000164/ex_10-2restatedindenture.htm" TargetMode="External"/><Relationship Id="rId71" Type="http://schemas.openxmlformats.org/officeDocument/2006/relationships/hyperlink" Target="http://www.sec.gov/Archives/edgar/data/12400/000113046414000164/ex_10-3clfpfirstsupplement.htm" TargetMode="External"/><Relationship Id="rId72" Type="http://schemas.openxmlformats.org/officeDocument/2006/relationships/hyperlink" Target="http://www.sec.gov/Archives/edgar/data/12400/000113046414000164/ex_10-4clfpsupplementalind.htm" TargetMode="External"/><Relationship Id="rId73" Type="http://schemas.openxmlformats.org/officeDocument/2006/relationships/hyperlink" Target="http://www.sec.gov/Archives/edgar/data/1130464/000001240001000024/0000012400-01-000024-0002.txt" TargetMode="External"/><Relationship Id="rId74" Type="http://schemas.openxmlformats.org/officeDocument/2006/relationships/hyperlink" Target="http://www.sec.gov/Archives/edgar/data/1130464/000113046402000010/ex10_11.txt" TargetMode="External"/><Relationship Id="rId75" Type="http://schemas.openxmlformats.org/officeDocument/2006/relationships/hyperlink" Target="http://www.sec.gov/Archives/edgar/data/1130464/000113046403000054/ex_amendpension10k.htm" TargetMode="External"/><Relationship Id="rId76" Type="http://schemas.openxmlformats.org/officeDocument/2006/relationships/hyperlink" Target="http://www.sec.gov/Archives/edgar/data/1130464/000113046409000099/ex10-2_pepamendment.htm" TargetMode="External"/><Relationship Id="rId77" Type="http://schemas.openxmlformats.org/officeDocument/2006/relationships/hyperlink" Target="http://www.sec.gov/Archives/edgar/data/1130464/000113046409000099/ex10-3_2005pepplan.htm" TargetMode="External"/><Relationship Id="rId78" Type="http://schemas.openxmlformats.org/officeDocument/2006/relationships/hyperlink" Target="http://www.sec.gov/Archives/edgar/data/1130464/000113046409000099/ex10-5_restorationplan.htm" TargetMode="External"/><Relationship Id="rId79" Type="http://schemas.openxmlformats.org/officeDocument/2006/relationships/hyperlink" Target="http://www.sec.gov/Archives/edgar/data/1130464/000113046411000066/exhibit102.htm" TargetMode="External"/><Relationship Id="rId80" Type="http://schemas.openxmlformats.org/officeDocument/2006/relationships/hyperlink" Target="http://www.sec.gov/Archives/edgar/data/1130464/000113046411000027/exhibit104.htm" TargetMode="External"/><Relationship Id="rId81" Type="http://schemas.openxmlformats.org/officeDocument/2006/relationships/hyperlink" Target="http://www.sec.gov/Archives/edgar/data/1130464/000110465905016238/a05-6134_1def14a.htm" TargetMode="External"/><Relationship Id="rId82" Type="http://schemas.openxmlformats.org/officeDocument/2006/relationships/hyperlink" Target="http://www.sec.gov/Archives/edgar/data/1130464/000113046409000099/ex10-11_2005omnibusplanamend.htm" TargetMode="External"/><Relationship Id="rId83" Type="http://schemas.openxmlformats.org/officeDocument/2006/relationships/hyperlink" Target="http://www.sec.gov/Archives/edgar/data/1130464/000113046410000055/ex10_omnibusplan-2ndamend.htm" TargetMode="External"/><Relationship Id="rId84" Type="http://schemas.openxmlformats.org/officeDocument/2006/relationships/hyperlink" Target="http://www.sec.gov/Archives/edgar/data/1130464/000113046415000110/blackhillscorporation2014.htm" TargetMode="External"/><Relationship Id="rId85" Type="http://schemas.openxmlformats.org/officeDocument/2006/relationships/hyperlink" Target="http://www.sec.gov/Archives/edgar/data/1130464/000113046414000056/bkhex-107122013.htm" TargetMode="External"/><Relationship Id="rId86" Type="http://schemas.openxmlformats.org/officeDocument/2006/relationships/hyperlink" Target="http://www.sec.gov/Archives/edgar/data/1130464/000113046416000176/bkhex-108stockoptionawarda.htm" TargetMode="External"/><Relationship Id="rId87" Type="http://schemas.openxmlformats.org/officeDocument/2006/relationships/hyperlink" Target="http://www.sec.gov/Archives/edgar/data/1130464/000113046416000176/bkhex-1010formofrestricted.htm" TargetMode="External"/><Relationship Id="rId88" Type="http://schemas.openxmlformats.org/officeDocument/2006/relationships/hyperlink" Target="http://www.sec.gov/Archives/edgar/data/1130464/000113046416000176/bkhex-1012formofrestricted.htm" TargetMode="External"/><Relationship Id="rId89" Type="http://schemas.openxmlformats.org/officeDocument/2006/relationships/hyperlink" Target="http://www.sec.gov/Archives/edgar/data/1130464/000113046416000199/bkhex-106pspawardagr2015om.htm" TargetMode="External"/><Relationship Id="rId90" Type="http://schemas.openxmlformats.org/officeDocument/2006/relationships/hyperlink" Target="http://www.sec.gov/Archives/edgar/data/1130464/000113046417000025/bkhex-10q12017pspawardagrmt.htm" TargetMode="External"/><Relationship Id="rId91" Type="http://schemas.openxmlformats.org/officeDocument/2006/relationships/hyperlink" Target="http://www.sec.gov/Archives/edgar/data/1130464/000113046416000199/bkhex-107formofstipawardag.htm" TargetMode="External"/><Relationship Id="rId92" Type="http://schemas.openxmlformats.org/officeDocument/2006/relationships/hyperlink" Target="http://www.sec.gov/Archives/edgar/data/1130464/000113046404000296/ex10-5sep3_8k.htm" TargetMode="External"/><Relationship Id="rId93" Type="http://schemas.openxmlformats.org/officeDocument/2006/relationships/hyperlink" Target="http://www.sec.gov/Archives/edgar/data/1130464/000113046416000220/ex101_ceocicagrmt.htm" TargetMode="External"/><Relationship Id="rId94" Type="http://schemas.openxmlformats.org/officeDocument/2006/relationships/hyperlink" Target="http://www.sec.gov/Archives/edgar/data/1130464/000113046416000220/ex102_othercicagrmt.htm" TargetMode="External"/><Relationship Id="rId95" Type="http://schemas.openxmlformats.org/officeDocument/2006/relationships/hyperlink" Target="http://www.sec.gov/Archives/edgar/data/1130464/000113046409000099/ex10-23_directorcompplan.htm" TargetMode="External"/><Relationship Id="rId96" Type="http://schemas.openxmlformats.org/officeDocument/2006/relationships/hyperlink" Target="http://www.sec.gov/Archives/edgar/data/1130464/000113046411000027/exhibit1016.htm" TargetMode="External"/><Relationship Id="rId97" Type="http://schemas.openxmlformats.org/officeDocument/2006/relationships/hyperlink" Target="http://www.sec.gov/Archives/edgar/data/1130464/000113046413000071/bkhex-1015122012.htm" TargetMode="External"/><Relationship Id="rId98" Type="http://schemas.openxmlformats.org/officeDocument/2006/relationships/hyperlink" Target="http://www.sec.gov/Archives/edgar/data/1130464/000113046415000083/bkhex-1016122014.htm" TargetMode="External"/><Relationship Id="rId99" Type="http://schemas.openxmlformats.org/officeDocument/2006/relationships/hyperlink" Target="http://www.sec.gov/Archives/edgar/data/1130464/000113046416000217/bkhex-104q32016fourthamddi.htm" TargetMode="External"/><Relationship Id="rId100" Type="http://schemas.openxmlformats.org/officeDocument/2006/relationships/hyperlink" Target="http://www.sec.gov/Archives/edgar/data/1130464/000113046418000014/bkhex-1016directorcompplan.htm" TargetMode="External"/><Relationship Id="rId101" Type="http://schemas.openxmlformats.org/officeDocument/2006/relationships/hyperlink" Target="http://www.sec.gov/Archives/edgar/data/1130464/000113046416000199/bkhex-108nonxdisclosureand.htm" TargetMode="External"/><Relationship Id="rId102" Type="http://schemas.openxmlformats.org/officeDocument/2006/relationships/hyperlink" Target="http://www.sec.gov/Archives/edgar/data/1130464/000110465917049625/a17-18806_4ex1d1.htm" TargetMode="External"/><Relationship Id="rId103" Type="http://schemas.openxmlformats.org/officeDocument/2006/relationships/hyperlink" Target="http://www.sec.gov/Archives/edgar/data/1130464/000110465918048322/a18-17931_1ex10d1.htm" TargetMode="External"/><Relationship Id="rId104" Type="http://schemas.openxmlformats.org/officeDocument/2006/relationships/hyperlink" Target="http://www.sec.gov/Archives/edgar/data/1130464/000110465918048322/a18-17931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2020-01-09T21:37:10Z</dcterms:created>
  <dcterms:modified xsi:type="dcterms:W3CDTF">2020-01-09T21:37:10Z</dcterms:modified>
</cp:coreProperties>
</file>