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262" w:lineRule="exact"/>
        <w:rPr>
          <w:sz w:val="24"/>
          <w:szCs w:val="24"/>
          <w:color w:val="auto"/>
        </w:rPr>
      </w:pPr>
    </w:p>
    <w:p>
      <w:pPr>
        <w:jc w:val="center"/>
        <w:ind w:left="3940" w:right="1400" w:hanging="2539"/>
        <w:spacing w:after="0" w:line="256" w:lineRule="auto"/>
        <w:tabs>
          <w:tab w:leader="none" w:pos="15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5" w:lineRule="exact"/>
        <w:rPr>
          <w:sz w:val="24"/>
          <w:szCs w:val="24"/>
          <w:color w:val="auto"/>
        </w:rPr>
      </w:pPr>
    </w:p>
    <w:p>
      <w:pPr>
        <w:jc w:val="center"/>
        <w:ind w:left="3520" w:right="1400" w:hanging="2122"/>
        <w:spacing w:after="0" w:line="270" w:lineRule="auto"/>
        <w:tabs>
          <w:tab w:leader="none" w:pos="158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Incorporated in South Dakota IRS Identification Number 46-0458824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32" w:lineRule="exact"/>
        <w:rPr>
          <w:sz w:val="24"/>
          <w:szCs w:val="24"/>
          <w:color w:val="auto"/>
        </w:rPr>
      </w:pPr>
    </w:p>
    <w:p>
      <w:pPr>
        <w:jc w:val="both"/>
        <w:ind w:right="400"/>
        <w:spacing w:after="0" w:line="18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1" w:lineRule="exact"/>
        <w:rPr>
          <w:sz w:val="24"/>
          <w:szCs w:val="24"/>
          <w:color w:val="auto"/>
        </w:rPr>
      </w:pPr>
    </w:p>
    <w:p>
      <w:pPr>
        <w:ind w:right="420"/>
        <w:spacing w:after="0" w:line="209"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40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Arial" w:cs="Arial" w:eastAsia="Arial" w:hAnsi="Arial"/>
                <w:sz w:val="16"/>
                <w:szCs w:val="16"/>
                <w:color w:val="auto"/>
              </w:rPr>
              <w:t>x</w:t>
            </w:r>
          </w:p>
        </w:tc>
        <w:tc>
          <w:tcPr>
            <w:tcW w:w="264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sectPr>
      </w:pPr>
    </w:p>
    <w:p>
      <w:pPr>
        <w:spacing w:after="0" w:line="32"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320" w:space="720"/>
            <w:col w:w="1460" w:space="720"/>
            <w:col w:w="4020"/>
          </w:cols>
          <w:pgMar w:left="320" w:top="233"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600" w:space="720"/>
            <w:col w:w="3380"/>
          </w:cols>
          <w:pgMar w:left="320" w:top="233" w:right="339" w:bottom="1440" w:gutter="0" w:footer="0" w:header="0"/>
          <w:type w:val="continuous"/>
        </w:sectPr>
      </w:pP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ind w:left="3900"/>
              <w:spacing w:after="0"/>
              <w:rPr>
                <w:sz w:val="20"/>
                <w:szCs w:val="20"/>
                <w:color w:val="auto"/>
              </w:rPr>
            </w:pPr>
            <w:r>
              <w:rPr>
                <w:rFonts w:ascii="Arial" w:cs="Arial" w:eastAsia="Arial" w:hAnsi="Arial"/>
                <w:sz w:val="16"/>
                <w:szCs w:val="16"/>
                <w:color w:val="auto"/>
              </w:rPr>
              <w:t>Class</w:t>
            </w:r>
          </w:p>
        </w:tc>
        <w:tc>
          <w:tcPr>
            <w:tcW w:w="5340" w:type="dxa"/>
            <w:vAlign w:val="bottom"/>
          </w:tcPr>
          <w:p>
            <w:pPr>
              <w:ind w:left="340"/>
              <w:spacing w:after="0"/>
              <w:rPr>
                <w:sz w:val="20"/>
                <w:szCs w:val="20"/>
                <w:color w:val="auto"/>
              </w:rPr>
            </w:pPr>
            <w:r>
              <w:rPr>
                <w:rFonts w:ascii="Arial" w:cs="Arial" w:eastAsia="Arial" w:hAnsi="Arial"/>
                <w:sz w:val="16"/>
                <w:szCs w:val="16"/>
                <w:color w:val="auto"/>
              </w:rPr>
              <w:t>Outstanding at April 29, 2022</w:t>
            </w:r>
          </w:p>
        </w:tc>
      </w:tr>
      <w:tr>
        <w:trPr>
          <w:trHeight w:val="216"/>
        </w:trPr>
        <w:tc>
          <w:tcPr>
            <w:tcW w:w="5900" w:type="dxa"/>
            <w:vAlign w:val="bottom"/>
          </w:tcPr>
          <w:p>
            <w:pPr>
              <w:ind w:left="3260"/>
              <w:spacing w:after="0"/>
              <w:rPr>
                <w:sz w:val="20"/>
                <w:szCs w:val="20"/>
                <w:color w:val="auto"/>
              </w:rPr>
            </w:pPr>
            <w:r>
              <w:rPr>
                <w:rFonts w:ascii="Arial" w:cs="Arial" w:eastAsia="Arial" w:hAnsi="Arial"/>
                <w:sz w:val="16"/>
                <w:szCs w:val="16"/>
                <w:color w:val="auto"/>
              </w:rPr>
              <w:t>Common stock, $1.00 par value</w:t>
            </w:r>
          </w:p>
        </w:tc>
        <w:tc>
          <w:tcPr>
            <w:tcW w:w="5340" w:type="dxa"/>
            <w:vAlign w:val="bottom"/>
          </w:tcPr>
          <w:p>
            <w:pPr>
              <w:ind w:left="520"/>
              <w:spacing w:after="0"/>
              <w:rPr>
                <w:sz w:val="20"/>
                <w:szCs w:val="20"/>
                <w:color w:val="auto"/>
              </w:rPr>
            </w:pPr>
            <w:r>
              <w:rPr>
                <w:rFonts w:ascii="Arial" w:cs="Arial" w:eastAsia="Arial" w:hAnsi="Arial"/>
                <w:sz w:val="16"/>
                <w:szCs w:val="16"/>
                <w:color w:val="auto"/>
              </w:rPr>
              <w:t>64,833,223 shares</w:t>
            </w:r>
          </w:p>
        </w:tc>
      </w:tr>
      <w:tr>
        <w:trPr>
          <w:trHeight w:val="1008"/>
        </w:trPr>
        <w:tc>
          <w:tcPr>
            <w:tcW w:w="59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20" w:type="dxa"/>
            <w:vAlign w:val="bottom"/>
            <w:gridSpan w:val="8"/>
          </w:tcPr>
          <w:p>
            <w:pPr>
              <w:ind w:left="60"/>
              <w:spacing w:after="0"/>
              <w:rPr>
                <w:sz w:val="20"/>
                <w:szCs w:val="20"/>
                <w:color w:val="auto"/>
              </w:rPr>
            </w:pPr>
            <w:r>
              <w:rPr>
                <w:rFonts w:ascii="Arial" w:cs="Arial" w:eastAsia="Arial" w:hAnsi="Arial"/>
                <w:sz w:val="16"/>
                <w:szCs w:val="16"/>
                <w:b w:val="1"/>
                <w:bCs w:val="1"/>
                <w:color w:val="auto"/>
              </w:rPr>
              <w:t>TABLE OF CONTENTS</w:t>
            </w:r>
          </w:p>
        </w:tc>
        <w:tc>
          <w:tcPr>
            <w:tcW w:w="1500" w:type="dxa"/>
            <w:vAlign w:val="bottom"/>
            <w:gridSpan w:val="3"/>
            <w:vMerge w:val="restart"/>
          </w:tcPr>
          <w:p>
            <w:pPr>
              <w:ind w:left="56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9"/>
        </w:trPr>
        <w:tc>
          <w:tcPr>
            <w:tcW w:w="20" w:type="dxa"/>
            <w:vAlign w:val="bottom"/>
            <w:tcBorders>
              <w:bottom w:val="single" w:sz="8" w:color="CEFFE7"/>
            </w:tcBorders>
          </w:tcPr>
          <w:p>
            <w:pPr>
              <w:spacing w:after="0"/>
              <w:rPr>
                <w:sz w:val="18"/>
                <w:szCs w:val="18"/>
                <w:color w:val="auto"/>
              </w:rPr>
            </w:pPr>
          </w:p>
        </w:tc>
        <w:tc>
          <w:tcPr>
            <w:tcW w:w="20" w:type="dxa"/>
            <w:vAlign w:val="bottom"/>
            <w:tcBorders>
              <w:bottom w:val="single" w:sz="8" w:color="CEFFE7"/>
            </w:tcBorders>
          </w:tcPr>
          <w:p>
            <w:pPr>
              <w:spacing w:after="0"/>
              <w:rPr>
                <w:sz w:val="18"/>
                <w:szCs w:val="18"/>
                <w:color w:val="auto"/>
              </w:rPr>
            </w:pPr>
          </w:p>
        </w:tc>
        <w:tc>
          <w:tcPr>
            <w:tcW w:w="1400" w:type="dxa"/>
            <w:vAlign w:val="bottom"/>
            <w:tcBorders>
              <w:bottom w:val="single" w:sz="8" w:color="CEFFE7"/>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80" w:type="dxa"/>
            <w:vAlign w:val="bottom"/>
            <w:tcBorders>
              <w:bottom w:val="single" w:sz="8" w:color="CEFFE7"/>
            </w:tcBorders>
          </w:tcPr>
          <w:p>
            <w:pPr>
              <w:spacing w:after="0"/>
              <w:rPr>
                <w:sz w:val="18"/>
                <w:szCs w:val="18"/>
                <w:color w:val="auto"/>
              </w:rPr>
            </w:pPr>
          </w:p>
        </w:tc>
        <w:tc>
          <w:tcPr>
            <w:tcW w:w="460" w:type="dxa"/>
            <w:vAlign w:val="bottom"/>
            <w:tcBorders>
              <w:bottom w:val="single" w:sz="8" w:color="CEFFE7"/>
            </w:tcBorders>
          </w:tcPr>
          <w:p>
            <w:pPr>
              <w:spacing w:after="0"/>
              <w:rPr>
                <w:sz w:val="18"/>
                <w:szCs w:val="18"/>
                <w:color w:val="auto"/>
              </w:rPr>
            </w:pPr>
          </w:p>
        </w:tc>
        <w:tc>
          <w:tcPr>
            <w:tcW w:w="52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380" w:type="dxa"/>
            <w:vAlign w:val="bottom"/>
            <w:tcBorders>
              <w:bottom w:val="single" w:sz="8" w:color="CEFFE7"/>
            </w:tcBorders>
          </w:tcPr>
          <w:p>
            <w:pPr>
              <w:spacing w:after="0"/>
              <w:rPr>
                <w:sz w:val="18"/>
                <w:szCs w:val="18"/>
                <w:color w:val="auto"/>
              </w:rPr>
            </w:pPr>
          </w:p>
        </w:tc>
        <w:tc>
          <w:tcPr>
            <w:tcW w:w="3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80" w:type="dxa"/>
            <w:vAlign w:val="bottom"/>
            <w:tcBorders>
              <w:bottom w:val="single" w:sz="8" w:color="CEFFE7"/>
            </w:tcBorders>
          </w:tcPr>
          <w:p>
            <w:pPr>
              <w:spacing w:after="0"/>
              <w:rPr>
                <w:sz w:val="18"/>
                <w:szCs w:val="18"/>
                <w:color w:val="auto"/>
              </w:rPr>
            </w:pPr>
          </w:p>
        </w:tc>
        <w:tc>
          <w:tcPr>
            <w:tcW w:w="100" w:type="dxa"/>
            <w:vAlign w:val="bottom"/>
            <w:tcBorders>
              <w:bottom w:val="single" w:sz="8" w:color="CEFFE7"/>
            </w:tcBorders>
          </w:tcPr>
          <w:p>
            <w:pPr>
              <w:spacing w:after="0"/>
              <w:rPr>
                <w:sz w:val="18"/>
                <w:szCs w:val="18"/>
                <w:color w:val="auto"/>
              </w:rPr>
            </w:pPr>
          </w:p>
        </w:tc>
        <w:tc>
          <w:tcPr>
            <w:tcW w:w="220" w:type="dxa"/>
            <w:vAlign w:val="bottom"/>
            <w:tcBorders>
              <w:bottom w:val="single" w:sz="8" w:color="CEFFE7"/>
            </w:tcBorders>
          </w:tcPr>
          <w:p>
            <w:pPr>
              <w:spacing w:after="0"/>
              <w:rPr>
                <w:sz w:val="18"/>
                <w:szCs w:val="18"/>
                <w:color w:val="auto"/>
              </w:rPr>
            </w:pPr>
          </w:p>
        </w:tc>
        <w:tc>
          <w:tcPr>
            <w:tcW w:w="20" w:type="dxa"/>
            <w:vAlign w:val="bottom"/>
            <w:tcBorders>
              <w:bottom w:val="single" w:sz="8" w:color="CEFFE7"/>
            </w:tcBorders>
          </w:tcPr>
          <w:p>
            <w:pPr>
              <w:spacing w:after="0"/>
              <w:rPr>
                <w:sz w:val="18"/>
                <w:szCs w:val="18"/>
                <w:color w:val="auto"/>
              </w:rPr>
            </w:pPr>
          </w:p>
        </w:tc>
        <w:tc>
          <w:tcPr>
            <w:tcW w:w="320" w:type="dxa"/>
            <w:vAlign w:val="bottom"/>
            <w:tcBorders>
              <w:bottom w:val="single" w:sz="8" w:color="CEFFE7"/>
            </w:tcBorders>
          </w:tcPr>
          <w:p>
            <w:pPr>
              <w:spacing w:after="0"/>
              <w:rPr>
                <w:sz w:val="18"/>
                <w:szCs w:val="18"/>
                <w:color w:val="auto"/>
              </w:rPr>
            </w:pPr>
          </w:p>
        </w:tc>
        <w:tc>
          <w:tcPr>
            <w:tcW w:w="140" w:type="dxa"/>
            <w:vAlign w:val="bottom"/>
            <w:tcBorders>
              <w:bottom w:val="single" w:sz="8" w:color="CEFFE7"/>
            </w:tcBorders>
          </w:tcPr>
          <w:p>
            <w:pPr>
              <w:spacing w:after="0"/>
              <w:rPr>
                <w:sz w:val="18"/>
                <w:szCs w:val="18"/>
                <w:color w:val="auto"/>
              </w:rPr>
            </w:pPr>
          </w:p>
        </w:tc>
        <w:tc>
          <w:tcPr>
            <w:tcW w:w="60" w:type="dxa"/>
            <w:vAlign w:val="bottom"/>
            <w:tcBorders>
              <w:bottom w:val="single" w:sz="8" w:color="CEFFE7"/>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80" w:type="dxa"/>
            <w:vAlign w:val="bottom"/>
            <w:tcBorders>
              <w:bottom w:val="single" w:sz="8" w:color="CEFFE7"/>
            </w:tcBorders>
          </w:tcPr>
          <w:p>
            <w:pPr>
              <w:spacing w:after="0"/>
              <w:rPr>
                <w:sz w:val="18"/>
                <w:szCs w:val="18"/>
                <w:color w:val="auto"/>
              </w:rPr>
            </w:pPr>
          </w:p>
        </w:tc>
        <w:tc>
          <w:tcPr>
            <w:tcW w:w="32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60" w:type="dxa"/>
            <w:vAlign w:val="bottom"/>
            <w:tcBorders>
              <w:bottom w:val="single" w:sz="8" w:color="CEFFE7"/>
            </w:tcBorders>
          </w:tcPr>
          <w:p>
            <w:pPr>
              <w:spacing w:after="0"/>
              <w:rPr>
                <w:sz w:val="18"/>
                <w:szCs w:val="18"/>
                <w:color w:val="auto"/>
              </w:rPr>
            </w:pPr>
          </w:p>
        </w:tc>
        <w:tc>
          <w:tcPr>
            <w:tcW w:w="600" w:type="dxa"/>
            <w:vAlign w:val="bottom"/>
            <w:tcBorders>
              <w:bottom w:val="single" w:sz="8" w:color="CEFFE7"/>
            </w:tcBorders>
          </w:tcPr>
          <w:p>
            <w:pPr>
              <w:spacing w:after="0"/>
              <w:rPr>
                <w:sz w:val="18"/>
                <w:szCs w:val="18"/>
                <w:color w:val="auto"/>
              </w:rPr>
            </w:pPr>
          </w:p>
        </w:tc>
        <w:tc>
          <w:tcPr>
            <w:tcW w:w="3520" w:type="dxa"/>
            <w:vAlign w:val="bottom"/>
            <w:tcBorders>
              <w:bottom w:val="single" w:sz="8" w:color="CEFFE7"/>
            </w:tcBorders>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9700" w:type="dxa"/>
            <w:vAlign w:val="bottom"/>
            <w:gridSpan w:val="29"/>
            <w:shd w:val="clear" w:color="auto" w:fill="CEFFE7"/>
          </w:tcPr>
          <w:p>
            <w:pPr>
              <w:ind w:left="20"/>
              <w:spacing w:after="0" w:line="170" w:lineRule="exact"/>
              <w:rPr>
                <w:sz w:val="20"/>
                <w:szCs w:val="20"/>
                <w:color w:val="auto"/>
              </w:rPr>
            </w:pPr>
            <w:r>
              <w:rPr>
                <w:rFonts w:ascii="Arial" w:cs="Arial" w:eastAsia="Arial" w:hAnsi="Arial"/>
                <w:sz w:val="16"/>
                <w:szCs w:val="16"/>
                <w:color w:val="0000FF"/>
              </w:rPr>
              <w:t>Glossary of Terms and Abbreviations</w:t>
            </w:r>
          </w:p>
        </w:tc>
        <w:tc>
          <w:tcPr>
            <w:tcW w:w="840" w:type="dxa"/>
            <w:vAlign w:val="bottom"/>
            <w:tcBorders>
              <w:right w:val="single" w:sz="8" w:color="CEFFE7"/>
            </w:tcBorders>
            <w:gridSpan w:val="2"/>
            <w:shd w:val="clear" w:color="auto" w:fill="CEFFE7"/>
          </w:tcPr>
          <w:p>
            <w:pPr>
              <w:jc w:val="center"/>
              <w:ind w:left="579"/>
              <w:spacing w:after="0" w:line="170" w:lineRule="exact"/>
              <w:rPr>
                <w:sz w:val="20"/>
                <w:szCs w:val="20"/>
                <w:color w:val="auto"/>
              </w:rPr>
            </w:pPr>
            <w:r>
              <w:rPr>
                <w:rFonts w:ascii="Arial" w:cs="Arial" w:eastAsia="Arial" w:hAnsi="Arial"/>
                <w:sz w:val="16"/>
                <w:szCs w:val="16"/>
                <w:color w:val="0000FF"/>
              </w:rPr>
              <w:t>4</w:t>
            </w:r>
          </w:p>
        </w:tc>
        <w:tc>
          <w:tcPr>
            <w:tcW w:w="66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EFFE7"/>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20" w:type="dxa"/>
            <w:vAlign w:val="bottom"/>
            <w:tcBorders>
              <w:top w:val="single" w:sz="8" w:color="0000FF"/>
            </w:tcBorders>
            <w:gridSpan w:val="6"/>
          </w:tcPr>
          <w:p>
            <w:pPr>
              <w:spacing w:after="0" w:line="175" w:lineRule="exact"/>
              <w:rPr>
                <w:sz w:val="20"/>
                <w:szCs w:val="20"/>
                <w:color w:val="auto"/>
              </w:rPr>
            </w:pPr>
            <w:r>
              <w:rPr>
                <w:rFonts w:ascii="Arial" w:cs="Arial" w:eastAsia="Arial" w:hAnsi="Arial"/>
                <w:sz w:val="16"/>
                <w:szCs w:val="16"/>
                <w:color w:val="0000FF"/>
              </w:rPr>
              <w:t>Forward-Looking Information</w:t>
            </w:r>
          </w:p>
        </w:tc>
        <w:tc>
          <w:tcPr>
            <w:tcW w:w="7040" w:type="dxa"/>
            <w:vAlign w:val="bottom"/>
            <w:tcBorders>
              <w:top w:val="single" w:sz="8" w:color="CEFFE7"/>
            </w:tcBorders>
            <w:gridSpan w:val="21"/>
          </w:tcPr>
          <w:p>
            <w:pPr>
              <w:spacing w:after="0"/>
              <w:rPr>
                <w:sz w:val="15"/>
                <w:szCs w:val="15"/>
                <w:color w:val="auto"/>
              </w:rPr>
            </w:pPr>
          </w:p>
        </w:tc>
        <w:tc>
          <w:tcPr>
            <w:tcW w:w="700" w:type="dxa"/>
            <w:vAlign w:val="bottom"/>
            <w:tcBorders>
              <w:top w:val="single" w:sz="8" w:color="CEFFE7"/>
            </w:tcBorders>
          </w:tcPr>
          <w:p>
            <w:pPr>
              <w:spacing w:after="0"/>
              <w:rPr>
                <w:sz w:val="15"/>
                <w:szCs w:val="15"/>
                <w:color w:val="auto"/>
              </w:rPr>
            </w:pPr>
          </w:p>
        </w:tc>
        <w:tc>
          <w:tcPr>
            <w:tcW w:w="140" w:type="dxa"/>
            <w:vAlign w:val="bottom"/>
            <w:tcBorders>
              <w:top w:val="single" w:sz="8" w:color="0000FF"/>
            </w:tcBorders>
          </w:tcPr>
          <w:p>
            <w:pPr>
              <w:jc w:val="center"/>
              <w:spacing w:after="0" w:line="175" w:lineRule="exact"/>
              <w:rPr>
                <w:sz w:val="20"/>
                <w:szCs w:val="20"/>
                <w:color w:val="auto"/>
              </w:rPr>
            </w:pPr>
            <w:r>
              <w:rPr>
                <w:rFonts w:ascii="Arial" w:cs="Arial" w:eastAsia="Arial" w:hAnsi="Arial"/>
                <w:sz w:val="16"/>
                <w:szCs w:val="16"/>
                <w:color w:val="0000FF"/>
              </w:rPr>
              <w:t>6</w:t>
            </w:r>
          </w:p>
        </w:tc>
        <w:tc>
          <w:tcPr>
            <w:tcW w:w="660" w:type="dxa"/>
            <w:vAlign w:val="bottom"/>
            <w:tcBorders>
              <w:top w:val="single" w:sz="8" w:color="CEFFE7"/>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520" w:type="dxa"/>
            <w:vAlign w:val="bottom"/>
            <w:gridSpan w:val="2"/>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700" w:type="dxa"/>
            <w:vAlign w:val="bottom"/>
            <w:tcBorders>
              <w:right w:val="single" w:sz="8" w:color="CEFFE7"/>
            </w:tcBorders>
            <w:shd w:val="clear" w:color="auto" w:fill="CEFFE7"/>
          </w:tcPr>
          <w:p>
            <w:pPr>
              <w:spacing w:after="0"/>
              <w:rPr>
                <w:sz w:val="23"/>
                <w:szCs w:val="23"/>
                <w:color w:val="auto"/>
              </w:rPr>
            </w:pPr>
          </w:p>
        </w:tc>
        <w:tc>
          <w:tcPr>
            <w:tcW w:w="140" w:type="dxa"/>
            <w:vAlign w:val="bottom"/>
            <w:tcBorders>
              <w:right w:val="single" w:sz="8" w:color="CEFFE7"/>
            </w:tcBorders>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9700" w:type="dxa"/>
            <w:vAlign w:val="bottom"/>
            <w:gridSpan w:val="29"/>
          </w:tcPr>
          <w:p>
            <w:pPr>
              <w:ind w:left="20"/>
              <w:spacing w:after="0" w:line="175" w:lineRule="exact"/>
              <w:rPr>
                <w:sz w:val="20"/>
                <w:szCs w:val="20"/>
                <w:color w:val="auto"/>
              </w:rPr>
            </w:pPr>
            <w:r>
              <w:rPr>
                <w:rFonts w:ascii="Arial" w:cs="Arial" w:eastAsia="Arial" w:hAnsi="Arial"/>
                <w:sz w:val="16"/>
                <w:szCs w:val="16"/>
                <w:color w:val="0000FF"/>
              </w:rPr>
              <w:t>PART I. FINANCIAL INFORMATION</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700" w:type="dxa"/>
            <w:vAlign w:val="bottom"/>
            <w:tcBorders>
              <w:right w:val="single" w:sz="8" w:color="CEFFE7"/>
            </w:tcBorders>
            <w:shd w:val="clear" w:color="auto" w:fill="CEFFE7"/>
          </w:tcPr>
          <w:p>
            <w:pPr>
              <w:spacing w:after="0"/>
              <w:rPr>
                <w:sz w:val="23"/>
                <w:szCs w:val="23"/>
                <w:color w:val="auto"/>
              </w:rPr>
            </w:pPr>
          </w:p>
        </w:tc>
        <w:tc>
          <w:tcPr>
            <w:tcW w:w="140" w:type="dxa"/>
            <w:vAlign w:val="bottom"/>
            <w:tcBorders>
              <w:right w:val="single" w:sz="8" w:color="CEFFE7"/>
            </w:tcBorders>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44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1.</w:t>
            </w:r>
          </w:p>
        </w:tc>
        <w:tc>
          <w:tcPr>
            <w:tcW w:w="8260" w:type="dxa"/>
            <w:vAlign w:val="bottom"/>
            <w:gridSpan w:val="26"/>
          </w:tcPr>
          <w:p>
            <w:pPr>
              <w:spacing w:after="0" w:line="175" w:lineRule="exact"/>
              <w:rPr>
                <w:sz w:val="20"/>
                <w:szCs w:val="20"/>
                <w:color w:val="auto"/>
              </w:rPr>
            </w:pPr>
            <w:r>
              <w:rPr>
                <w:rFonts w:ascii="Arial" w:cs="Arial" w:eastAsia="Arial" w:hAnsi="Arial"/>
                <w:sz w:val="16"/>
                <w:szCs w:val="16"/>
                <w:color w:val="0000FF"/>
              </w:rPr>
              <w:t>Financial Statements - unaudited</w:t>
            </w:r>
          </w:p>
        </w:tc>
        <w:tc>
          <w:tcPr>
            <w:tcW w:w="840" w:type="dxa"/>
            <w:vAlign w:val="bottom"/>
            <w:gridSpan w:val="2"/>
          </w:tcPr>
          <w:p>
            <w:pPr>
              <w:jc w:val="center"/>
              <w:ind w:left="579"/>
              <w:spacing w:after="0" w:line="175" w:lineRule="exact"/>
              <w:rPr>
                <w:sz w:val="20"/>
                <w:szCs w:val="20"/>
                <w:color w:val="auto"/>
              </w:rPr>
            </w:pPr>
            <w:r>
              <w:rPr>
                <w:rFonts w:ascii="Arial" w:cs="Arial" w:eastAsia="Arial" w:hAnsi="Arial"/>
                <w:sz w:val="16"/>
                <w:szCs w:val="16"/>
                <w:color w:val="0000FF"/>
              </w:rPr>
              <w:t>7</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Statements of Income</w:t>
            </w:r>
          </w:p>
        </w:tc>
        <w:tc>
          <w:tcPr>
            <w:tcW w:w="840" w:type="dxa"/>
            <w:vAlign w:val="bottom"/>
            <w:tcBorders>
              <w:right w:val="single" w:sz="8" w:color="CEFFE7"/>
            </w:tcBorders>
            <w:gridSpan w:val="2"/>
            <w:shd w:val="clear" w:color="auto" w:fill="CEFFE7"/>
          </w:tcPr>
          <w:p>
            <w:pPr>
              <w:jc w:val="center"/>
              <w:ind w:left="579"/>
              <w:spacing w:after="0" w:line="175" w:lineRule="exact"/>
              <w:rPr>
                <w:sz w:val="20"/>
                <w:szCs w:val="20"/>
                <w:color w:val="auto"/>
              </w:rPr>
            </w:pPr>
            <w:r>
              <w:rPr>
                <w:rFonts w:ascii="Arial" w:cs="Arial" w:eastAsia="Arial" w:hAnsi="Arial"/>
                <w:sz w:val="16"/>
                <w:szCs w:val="16"/>
                <w:color w:val="0000FF"/>
              </w:rPr>
              <w:t>7</w:t>
            </w:r>
          </w:p>
        </w:tc>
        <w:tc>
          <w:tcPr>
            <w:tcW w:w="6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sz w:val="20"/>
                <w:szCs w:val="20"/>
                <w:color w:val="auto"/>
              </w:rPr>
            </w:pPr>
            <w:r>
              <w:rPr>
                <w:rFonts w:ascii="Arial" w:cs="Arial" w:eastAsia="Arial" w:hAnsi="Arial"/>
                <w:sz w:val="16"/>
                <w:szCs w:val="16"/>
                <w:color w:val="0000FF"/>
              </w:rPr>
              <w:t>Condensed Consolidated Statements of Comprehensive Income</w:t>
            </w:r>
          </w:p>
        </w:tc>
        <w:tc>
          <w:tcPr>
            <w:tcW w:w="840" w:type="dxa"/>
            <w:vAlign w:val="bottom"/>
            <w:gridSpan w:val="2"/>
          </w:tcPr>
          <w:p>
            <w:pPr>
              <w:jc w:val="center"/>
              <w:ind w:left="579"/>
              <w:spacing w:after="0" w:line="175" w:lineRule="exact"/>
              <w:rPr>
                <w:sz w:val="20"/>
                <w:szCs w:val="20"/>
                <w:color w:val="auto"/>
              </w:rPr>
            </w:pPr>
            <w:r>
              <w:rPr>
                <w:rFonts w:ascii="Arial" w:cs="Arial" w:eastAsia="Arial" w:hAnsi="Arial"/>
                <w:sz w:val="16"/>
                <w:szCs w:val="16"/>
                <w:color w:val="0000FF"/>
              </w:rPr>
              <w:t>8</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Balance Sheets</w:t>
            </w:r>
          </w:p>
        </w:tc>
        <w:tc>
          <w:tcPr>
            <w:tcW w:w="840" w:type="dxa"/>
            <w:vAlign w:val="bottom"/>
            <w:tcBorders>
              <w:right w:val="single" w:sz="8" w:color="CEFFE7"/>
            </w:tcBorders>
            <w:gridSpan w:val="2"/>
            <w:shd w:val="clear" w:color="auto" w:fill="CEFFE7"/>
          </w:tcPr>
          <w:p>
            <w:pPr>
              <w:jc w:val="center"/>
              <w:ind w:left="579"/>
              <w:spacing w:after="0" w:line="175" w:lineRule="exact"/>
              <w:rPr>
                <w:sz w:val="20"/>
                <w:szCs w:val="20"/>
                <w:color w:val="auto"/>
              </w:rPr>
            </w:pPr>
            <w:r>
              <w:rPr>
                <w:rFonts w:ascii="Arial" w:cs="Arial" w:eastAsia="Arial" w:hAnsi="Arial"/>
                <w:sz w:val="16"/>
                <w:szCs w:val="16"/>
                <w:color w:val="0000FF"/>
              </w:rPr>
              <w:t>9</w:t>
            </w:r>
          </w:p>
        </w:tc>
        <w:tc>
          <w:tcPr>
            <w:tcW w:w="6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sz w:val="20"/>
                <w:szCs w:val="20"/>
                <w:color w:val="auto"/>
              </w:rPr>
            </w:pPr>
            <w:r>
              <w:rPr>
                <w:rFonts w:ascii="Arial" w:cs="Arial" w:eastAsia="Arial" w:hAnsi="Arial"/>
                <w:sz w:val="16"/>
                <w:szCs w:val="16"/>
                <w:color w:val="0000FF"/>
              </w:rPr>
              <w:t>Condensed Consolidated Statements of Cash Flows</w:t>
            </w:r>
          </w:p>
        </w:tc>
        <w:tc>
          <w:tcPr>
            <w:tcW w:w="840" w:type="dxa"/>
            <w:vAlign w:val="bottom"/>
            <w:gridSpan w:val="2"/>
          </w:tcPr>
          <w:p>
            <w:pPr>
              <w:jc w:val="center"/>
              <w:ind w:left="579"/>
              <w:spacing w:after="0" w:line="175" w:lineRule="exact"/>
              <w:rPr>
                <w:sz w:val="20"/>
                <w:szCs w:val="20"/>
                <w:color w:val="auto"/>
              </w:rPr>
            </w:pPr>
            <w:r>
              <w:rPr>
                <w:rFonts w:ascii="Arial" w:cs="Arial" w:eastAsia="Arial" w:hAnsi="Arial"/>
                <w:sz w:val="16"/>
                <w:szCs w:val="16"/>
                <w:color w:val="0000FF"/>
              </w:rPr>
              <w:t>11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sz w:val="20"/>
                <w:szCs w:val="20"/>
                <w:color w:val="auto"/>
              </w:rPr>
            </w:pPr>
            <w:r>
              <w:rPr>
                <w:rFonts w:ascii="Arial" w:cs="Arial" w:eastAsia="Arial" w:hAnsi="Arial"/>
                <w:sz w:val="16"/>
                <w:szCs w:val="16"/>
                <w:color w:val="0000FF"/>
              </w:rPr>
              <w:t>Condensed Consolidated Statements of Equity</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12</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sz w:val="20"/>
                <w:szCs w:val="20"/>
                <w:color w:val="auto"/>
              </w:rPr>
            </w:pPr>
            <w:r>
              <w:rPr>
                <w:rFonts w:ascii="Arial" w:cs="Arial" w:eastAsia="Arial" w:hAnsi="Arial"/>
                <w:sz w:val="16"/>
                <w:szCs w:val="16"/>
                <w:color w:val="0000FF"/>
              </w:rPr>
              <w:t>Notes to Condensed Consolidated Financial Statements</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sz w:val="20"/>
                <w:szCs w:val="20"/>
                <w:color w:val="auto"/>
              </w:rPr>
            </w:pPr>
            <w:r>
              <w:rPr>
                <w:rFonts w:ascii="Arial" w:cs="Arial" w:eastAsia="Arial" w:hAnsi="Arial"/>
                <w:sz w:val="16"/>
                <w:szCs w:val="16"/>
                <w:color w:val="0000FF"/>
              </w:rPr>
              <w:t>Note 1. Management’s Statement</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12"/>
          </w:tcPr>
          <w:p>
            <w:pPr>
              <w:spacing w:after="0" w:line="175" w:lineRule="exact"/>
              <w:rPr>
                <w:sz w:val="20"/>
                <w:szCs w:val="20"/>
                <w:color w:val="auto"/>
              </w:rPr>
            </w:pPr>
            <w:r>
              <w:rPr>
                <w:rFonts w:ascii="Arial" w:cs="Arial" w:eastAsia="Arial" w:hAnsi="Arial"/>
                <w:sz w:val="16"/>
                <w:szCs w:val="16"/>
                <w:color w:val="0000FF"/>
              </w:rPr>
              <w:t>Note 2. Regulatory Matters</w:t>
            </w:r>
          </w:p>
        </w:tc>
        <w:tc>
          <w:tcPr>
            <w:tcW w:w="5660" w:type="dxa"/>
            <w:vAlign w:val="bottom"/>
            <w:gridSpan w:val="12"/>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w w:val="78"/>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sz w:val="20"/>
                <w:szCs w:val="20"/>
                <w:color w:val="auto"/>
              </w:rPr>
            </w:pPr>
            <w:r>
              <w:rPr>
                <w:rFonts w:ascii="Arial" w:cs="Arial" w:eastAsia="Arial" w:hAnsi="Arial"/>
                <w:sz w:val="16"/>
                <w:szCs w:val="16"/>
                <w:color w:val="0000FF"/>
              </w:rPr>
              <w:t>Note 3. Commitments, Contingencies and Guarantees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15</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80" w:type="dxa"/>
            <w:vAlign w:val="bottom"/>
            <w:gridSpan w:val="21"/>
          </w:tcPr>
          <w:p>
            <w:pPr>
              <w:spacing w:after="0" w:line="175" w:lineRule="exact"/>
              <w:rPr>
                <w:sz w:val="20"/>
                <w:szCs w:val="20"/>
                <w:color w:val="auto"/>
              </w:rPr>
            </w:pPr>
            <w:r>
              <w:rPr>
                <w:rFonts w:ascii="Arial" w:cs="Arial" w:eastAsia="Arial" w:hAnsi="Arial"/>
                <w:sz w:val="16"/>
                <w:szCs w:val="16"/>
                <w:color w:val="0000FF"/>
              </w:rPr>
              <w:t>Note 4. Revenue</w:t>
            </w:r>
          </w:p>
        </w:tc>
        <w:tc>
          <w:tcPr>
            <w:tcW w:w="4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w w:val="78"/>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sz w:val="20"/>
                <w:szCs w:val="20"/>
                <w:color w:val="auto"/>
              </w:rPr>
            </w:pPr>
            <w:r>
              <w:rPr>
                <w:rFonts w:ascii="Arial" w:cs="Arial" w:eastAsia="Arial" w:hAnsi="Arial"/>
                <w:sz w:val="16"/>
                <w:szCs w:val="16"/>
                <w:color w:val="0000FF"/>
              </w:rPr>
              <w:t>Note 5. Financing</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17</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CEFFE7"/>
            </w:tcBorders>
            <w:shd w:val="clear" w:color="auto" w:fill="CEFFE7"/>
          </w:tcPr>
          <w:p>
            <w:pPr>
              <w:spacing w:after="0" w:line="20" w:lineRule="exact"/>
              <w:rPr>
                <w:sz w:val="1"/>
                <w:szCs w:val="1"/>
                <w:color w:val="auto"/>
              </w:rPr>
            </w:pPr>
          </w:p>
        </w:tc>
        <w:tc>
          <w:tcPr>
            <w:tcW w:w="3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60" w:type="dxa"/>
            <w:vAlign w:val="bottom"/>
            <w:gridSpan w:val="24"/>
          </w:tcPr>
          <w:p>
            <w:pPr>
              <w:spacing w:after="0" w:line="175" w:lineRule="exact"/>
              <w:rPr>
                <w:sz w:val="20"/>
                <w:szCs w:val="20"/>
                <w:color w:val="auto"/>
              </w:rPr>
            </w:pPr>
            <w:r>
              <w:rPr>
                <w:rFonts w:ascii="Arial" w:cs="Arial" w:eastAsia="Arial" w:hAnsi="Arial"/>
                <w:sz w:val="16"/>
                <w:szCs w:val="16"/>
                <w:color w:val="0000FF"/>
              </w:rPr>
              <w:t>Note 6. Earnings Per Share</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3040" w:type="dxa"/>
            <w:vAlign w:val="bottom"/>
            <w:gridSpan w:val="16"/>
            <w:shd w:val="clear" w:color="auto" w:fill="CEFFE7"/>
          </w:tcPr>
          <w:p>
            <w:pPr>
              <w:spacing w:after="0" w:line="175" w:lineRule="exact"/>
              <w:rPr>
                <w:sz w:val="20"/>
                <w:szCs w:val="20"/>
                <w:color w:val="auto"/>
              </w:rPr>
            </w:pPr>
            <w:r>
              <w:rPr>
                <w:rFonts w:ascii="Arial" w:cs="Arial" w:eastAsia="Arial" w:hAnsi="Arial"/>
                <w:sz w:val="16"/>
                <w:szCs w:val="16"/>
                <w:color w:val="0000FF"/>
              </w:rPr>
              <w:t>Note 7. Risk Management and Derivatives</w:t>
            </w:r>
          </w:p>
        </w:tc>
        <w:tc>
          <w:tcPr>
            <w:tcW w:w="5020" w:type="dxa"/>
            <w:vAlign w:val="bottom"/>
            <w:gridSpan w:val="8"/>
            <w:shd w:val="clear" w:color="auto" w:fill="CEFFE7"/>
          </w:tcPr>
          <w:p>
            <w:pPr>
              <w:spacing w:after="0"/>
              <w:rPr>
                <w:sz w:val="15"/>
                <w:szCs w:val="15"/>
                <w:color w:val="auto"/>
              </w:rPr>
            </w:pPr>
          </w:p>
        </w:tc>
        <w:tc>
          <w:tcPr>
            <w:tcW w:w="700" w:type="dxa"/>
            <w:vAlign w:val="bottom"/>
            <w:tcBorders>
              <w:right w:val="single" w:sz="8" w:color="CEFFE7"/>
            </w:tcBorders>
            <w:shd w:val="clear" w:color="auto" w:fill="CEFFE7"/>
          </w:tcPr>
          <w:p>
            <w:pPr>
              <w:spacing w:after="0"/>
              <w:rPr>
                <w:sz w:val="15"/>
                <w:szCs w:val="15"/>
                <w:color w:val="auto"/>
              </w:rPr>
            </w:pPr>
          </w:p>
        </w:tc>
        <w:tc>
          <w:tcPr>
            <w:tcW w:w="80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w w:val="78"/>
              </w:rPr>
              <w:t>18</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16"/>
          </w:tcPr>
          <w:p>
            <w:pPr>
              <w:spacing w:after="0" w:line="175" w:lineRule="exact"/>
              <w:rPr>
                <w:sz w:val="20"/>
                <w:szCs w:val="20"/>
                <w:color w:val="auto"/>
              </w:rPr>
            </w:pPr>
            <w:r>
              <w:rPr>
                <w:rFonts w:ascii="Arial" w:cs="Arial" w:eastAsia="Arial" w:hAnsi="Arial"/>
                <w:sz w:val="16"/>
                <w:szCs w:val="16"/>
                <w:color w:val="0000FF"/>
              </w:rPr>
              <w:t>Note 8. Fair Value Measurements</w:t>
            </w:r>
          </w:p>
        </w:tc>
        <w:tc>
          <w:tcPr>
            <w:tcW w:w="502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w w:val="78"/>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sz w:val="20"/>
                <w:szCs w:val="20"/>
                <w:color w:val="auto"/>
              </w:rPr>
            </w:pPr>
            <w:r>
              <w:rPr>
                <w:rFonts w:ascii="Arial" w:cs="Arial" w:eastAsia="Arial" w:hAnsi="Arial"/>
                <w:sz w:val="16"/>
                <w:szCs w:val="16"/>
                <w:color w:val="0000FF"/>
              </w:rPr>
              <w:t>Note 9. Other Comprehensive Income</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23</w:t>
            </w:r>
          </w:p>
        </w:tc>
        <w:tc>
          <w:tcPr>
            <w:tcW w:w="0" w:type="dxa"/>
            <w:vAlign w:val="bottom"/>
          </w:tcPr>
          <w:p>
            <w:pPr>
              <w:spacing w:after="0"/>
              <w:rPr>
                <w:sz w:val="1"/>
                <w:szCs w:val="1"/>
                <w:color w:val="auto"/>
              </w:rPr>
            </w:pPr>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13"/>
          </w:tcPr>
          <w:p>
            <w:pPr>
              <w:spacing w:after="0" w:line="175" w:lineRule="exact"/>
              <w:rPr>
                <w:sz w:val="20"/>
                <w:szCs w:val="20"/>
                <w:color w:val="auto"/>
              </w:rPr>
            </w:pPr>
            <w:r>
              <w:rPr>
                <w:rFonts w:ascii="Arial" w:cs="Arial" w:eastAsia="Arial" w:hAnsi="Arial"/>
                <w:sz w:val="16"/>
                <w:szCs w:val="16"/>
                <w:color w:val="0000FF"/>
              </w:rPr>
              <w:t>Note 10. Employee Benefit Plans</w:t>
            </w:r>
          </w:p>
        </w:tc>
        <w:tc>
          <w:tcPr>
            <w:tcW w:w="5340" w:type="dxa"/>
            <w:vAlign w:val="bottom"/>
            <w:gridSpan w:val="11"/>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w w:val="78"/>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sz w:val="20"/>
                <w:szCs w:val="20"/>
                <w:color w:val="auto"/>
              </w:rPr>
            </w:pPr>
            <w:r>
              <w:rPr>
                <w:rFonts w:ascii="Arial" w:cs="Arial" w:eastAsia="Arial" w:hAnsi="Arial"/>
                <w:sz w:val="16"/>
                <w:szCs w:val="16"/>
                <w:color w:val="0000FF"/>
              </w:rPr>
              <w:t>Note 11. Income Taxes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25</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60" w:type="dxa"/>
            <w:vAlign w:val="bottom"/>
            <w:gridSpan w:val="24"/>
          </w:tcPr>
          <w:p>
            <w:pPr>
              <w:spacing w:after="0" w:line="175" w:lineRule="exact"/>
              <w:rPr>
                <w:sz w:val="20"/>
                <w:szCs w:val="20"/>
                <w:color w:val="auto"/>
              </w:rPr>
            </w:pPr>
            <w:r>
              <w:rPr>
                <w:rFonts w:ascii="Arial" w:cs="Arial" w:eastAsia="Arial" w:hAnsi="Arial"/>
                <w:sz w:val="16"/>
                <w:szCs w:val="16"/>
                <w:color w:val="0000FF"/>
              </w:rPr>
              <w:t>Note 12. Business Segment Information</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sz w:val="20"/>
                <w:szCs w:val="20"/>
                <w:color w:val="auto"/>
              </w:rPr>
            </w:pPr>
            <w:r>
              <w:rPr>
                <w:rFonts w:ascii="Arial" w:cs="Arial" w:eastAsia="Arial" w:hAnsi="Arial"/>
                <w:sz w:val="16"/>
                <w:szCs w:val="16"/>
                <w:color w:val="0000FF"/>
              </w:rPr>
              <w:t>Note 13. Selected Balance Sheet Information</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27</w:t>
            </w:r>
          </w:p>
        </w:tc>
        <w:tc>
          <w:tcPr>
            <w:tcW w:w="0" w:type="dxa"/>
            <w:vAlign w:val="bottom"/>
          </w:tcPr>
          <w:p>
            <w:pPr>
              <w:spacing w:after="0"/>
              <w:rPr>
                <w:sz w:val="1"/>
                <w:szCs w:val="1"/>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380" w:type="dxa"/>
            <w:vAlign w:val="bottom"/>
            <w:tcBorders>
              <w:top w:val="single" w:sz="8" w:color="0000FF"/>
            </w:tcBorders>
            <w:shd w:val="clear" w:color="auto" w:fill="CEFFE7"/>
          </w:tcPr>
          <w:p>
            <w:pPr>
              <w:spacing w:after="0" w:line="20" w:lineRule="exact"/>
              <w:rPr>
                <w:sz w:val="1"/>
                <w:szCs w:val="1"/>
                <w:color w:val="auto"/>
              </w:rPr>
            </w:pPr>
          </w:p>
        </w:tc>
        <w:tc>
          <w:tcPr>
            <w:tcW w:w="3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17"/>
          </w:tcPr>
          <w:p>
            <w:pPr>
              <w:spacing w:after="0" w:line="175" w:lineRule="exact"/>
              <w:rPr>
                <w:sz w:val="20"/>
                <w:szCs w:val="20"/>
                <w:color w:val="auto"/>
              </w:rPr>
            </w:pPr>
            <w:r>
              <w:rPr>
                <w:rFonts w:ascii="Arial" w:cs="Arial" w:eastAsia="Arial" w:hAnsi="Arial"/>
                <w:sz w:val="16"/>
                <w:szCs w:val="16"/>
                <w:color w:val="0000FF"/>
              </w:rPr>
              <w:t>Note 14. Subsequent Events</w:t>
            </w:r>
          </w:p>
        </w:tc>
        <w:tc>
          <w:tcPr>
            <w:tcW w:w="482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w w:val="78"/>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sz w:val="20"/>
                <w:szCs w:val="20"/>
                <w:color w:val="auto"/>
              </w:rPr>
            </w:pPr>
            <w:r>
              <w:rPr>
                <w:rFonts w:ascii="Arial" w:cs="Arial" w:eastAsia="Arial" w:hAnsi="Arial"/>
                <w:sz w:val="16"/>
                <w:szCs w:val="16"/>
                <w:b w:val="1"/>
                <w:bCs w:val="1"/>
                <w:color w:val="0000FF"/>
              </w:rPr>
              <w:t>Table of Contents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1"/>
        </w:trPr>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gridSpan w:val="5"/>
          </w:tcPr>
          <w:p>
            <w:pPr>
              <w:ind w:left="240"/>
              <w:spacing w:after="0"/>
              <w:rPr>
                <w:sz w:val="20"/>
                <w:szCs w:val="20"/>
                <w:color w:val="auto"/>
              </w:rPr>
            </w:pPr>
            <w:r>
              <w:rPr>
                <w:rFonts w:ascii="Arial" w:cs="Arial" w:eastAsia="Arial" w:hAnsi="Arial"/>
                <w:sz w:val="16"/>
                <w:szCs w:val="16"/>
                <w:b w:val="1"/>
                <w:bCs w:val="1"/>
                <w:color w:val="auto"/>
              </w:rPr>
              <w:t>TABLE OF CONTENTS</w:t>
            </w:r>
          </w:p>
        </w:tc>
        <w:tc>
          <w:tcPr>
            <w:tcW w:w="1520" w:type="dxa"/>
            <w:vAlign w:val="bottom"/>
            <w:gridSpan w:val="4"/>
            <w:vMerge w:val="restart"/>
          </w:tcPr>
          <w:p>
            <w:pPr>
              <w:jc w:val="center"/>
              <w:ind w:right="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0" w:type="dxa"/>
            <w:vAlign w:val="bottom"/>
            <w:tcBorders>
              <w:right w:val="single" w:sz="8" w:color="CEFFE7"/>
            </w:tcBorders>
          </w:tcPr>
          <w:p>
            <w:pPr>
              <w:spacing w:after="0"/>
              <w:rPr>
                <w:sz w:val="14"/>
                <w:szCs w:val="14"/>
                <w:color w:val="auto"/>
              </w:rPr>
            </w:pPr>
          </w:p>
        </w:tc>
        <w:tc>
          <w:tcPr>
            <w:tcW w:w="1420" w:type="dxa"/>
            <w:vAlign w:val="bottom"/>
            <w:tcBorders>
              <w:top w:val="single" w:sz="8" w:color="CEFFE7"/>
            </w:tcBorders>
            <w:gridSpan w:val="3"/>
            <w:shd w:val="clear" w:color="auto" w:fill="CEFFE7"/>
          </w:tcPr>
          <w:p>
            <w:pPr>
              <w:spacing w:after="0" w:line="170" w:lineRule="exact"/>
              <w:rPr>
                <w:sz w:val="20"/>
                <w:szCs w:val="20"/>
                <w:color w:val="auto"/>
              </w:rPr>
            </w:pPr>
            <w:r>
              <w:rPr>
                <w:rFonts w:ascii="Arial" w:cs="Arial" w:eastAsia="Arial" w:hAnsi="Arial"/>
                <w:sz w:val="16"/>
                <w:szCs w:val="16"/>
                <w:color w:val="auto"/>
              </w:rPr>
              <w:t>Item 2.</w:t>
            </w:r>
          </w:p>
        </w:tc>
        <w:tc>
          <w:tcPr>
            <w:tcW w:w="8260" w:type="dxa"/>
            <w:vAlign w:val="bottom"/>
            <w:tcBorders>
              <w:top w:val="single" w:sz="8" w:color="CEFFE7"/>
            </w:tcBorders>
            <w:gridSpan w:val="27"/>
            <w:shd w:val="clear" w:color="auto" w:fill="CEFFE7"/>
          </w:tcPr>
          <w:p>
            <w:pPr>
              <w:spacing w:after="0" w:line="170" w:lineRule="exact"/>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500" w:type="dxa"/>
            <w:vAlign w:val="bottom"/>
            <w:tcBorders>
              <w:top w:val="single" w:sz="8" w:color="auto"/>
            </w:tcBorders>
            <w:gridSpan w:val="3"/>
            <w:shd w:val="clear" w:color="auto" w:fill="CEFFE7"/>
          </w:tcPr>
          <w:p>
            <w:pPr>
              <w:jc w:val="center"/>
              <w:spacing w:after="0" w:line="170" w:lineRule="exact"/>
              <w:rPr>
                <w:sz w:val="20"/>
                <w:szCs w:val="20"/>
                <w:color w:val="auto"/>
              </w:rPr>
            </w:pPr>
            <w:r>
              <w:rPr>
                <w:rFonts w:ascii="Arial" w:cs="Arial" w:eastAsia="Arial" w:hAnsi="Arial"/>
                <w:sz w:val="16"/>
                <w:szCs w:val="16"/>
                <w:color w:val="0000FF"/>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0000FF"/>
            </w:tcBorders>
            <w:shd w:val="clear" w:color="auto" w:fill="CEFFE7"/>
          </w:tcPr>
          <w:p>
            <w:pPr>
              <w:spacing w:after="0" w:line="20" w:lineRule="exact"/>
              <w:rPr>
                <w:sz w:val="1"/>
                <w:szCs w:val="1"/>
                <w:color w:val="auto"/>
              </w:rPr>
            </w:pPr>
          </w:p>
        </w:tc>
        <w:tc>
          <w:tcPr>
            <w:tcW w:w="900" w:type="dxa"/>
            <w:vAlign w:val="bottom"/>
            <w:tcBorders>
              <w:top w:val="single" w:sz="8" w:color="0000FF"/>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60" w:type="dxa"/>
            <w:vAlign w:val="bottom"/>
            <w:gridSpan w:val="26"/>
          </w:tcPr>
          <w:p>
            <w:pPr>
              <w:ind w:left="120"/>
              <w:spacing w:after="0" w:line="175" w:lineRule="exact"/>
              <w:rPr>
                <w:sz w:val="20"/>
                <w:szCs w:val="20"/>
                <w:color w:val="auto"/>
              </w:rPr>
            </w:pPr>
            <w:r>
              <w:rPr>
                <w:rFonts w:ascii="Arial" w:cs="Arial" w:eastAsia="Arial" w:hAnsi="Arial"/>
                <w:sz w:val="16"/>
                <w:szCs w:val="16"/>
                <w:color w:val="0000FF"/>
              </w:rPr>
              <w:t>Executive Summary</w:t>
            </w: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Recent Developments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27"/>
          </w:tcPr>
          <w:p>
            <w:pPr>
              <w:ind w:left="120"/>
              <w:spacing w:after="0" w:line="175" w:lineRule="exact"/>
              <w:rPr>
                <w:sz w:val="20"/>
                <w:szCs w:val="20"/>
                <w:color w:val="auto"/>
              </w:rPr>
            </w:pPr>
            <w:r>
              <w:rPr>
                <w:rFonts w:ascii="Arial" w:cs="Arial" w:eastAsia="Arial" w:hAnsi="Arial"/>
                <w:sz w:val="16"/>
                <w:szCs w:val="16"/>
                <w:color w:val="0000FF"/>
              </w:rPr>
              <w:t>Results of Operations</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ind w:left="20"/>
              <w:spacing w:after="0" w:line="175" w:lineRule="exact"/>
              <w:rPr>
                <w:sz w:val="20"/>
                <w:szCs w:val="20"/>
                <w:color w:val="auto"/>
              </w:rPr>
            </w:pPr>
            <w:r>
              <w:rPr>
                <w:rFonts w:ascii="Arial" w:cs="Arial" w:eastAsia="Arial" w:hAnsi="Arial"/>
                <w:sz w:val="16"/>
                <w:szCs w:val="16"/>
                <w:color w:val="0000FF"/>
              </w:rPr>
              <w:t>Consolidated Summary and Overview</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5"/>
          </w:tcPr>
          <w:p>
            <w:pPr>
              <w:ind w:left="20"/>
              <w:spacing w:after="0" w:line="175" w:lineRule="exact"/>
              <w:rPr>
                <w:sz w:val="20"/>
                <w:szCs w:val="20"/>
                <w:color w:val="auto"/>
              </w:rPr>
            </w:pPr>
            <w:r>
              <w:rPr>
                <w:rFonts w:ascii="Arial" w:cs="Arial" w:eastAsia="Arial" w:hAnsi="Arial"/>
                <w:sz w:val="16"/>
                <w:szCs w:val="16"/>
                <w:color w:val="0000FF"/>
              </w:rPr>
              <w:t>Non-GAAP Financial Measure</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100" w:type="dxa"/>
            <w:vAlign w:val="bottom"/>
            <w:gridSpan w:val="7"/>
            <w:shd w:val="clear" w:color="auto" w:fill="CEFFE7"/>
          </w:tcPr>
          <w:p>
            <w:pPr>
              <w:spacing w:after="0" w:line="175" w:lineRule="exact"/>
              <w:rPr>
                <w:sz w:val="20"/>
                <w:szCs w:val="20"/>
                <w:color w:val="auto"/>
              </w:rPr>
            </w:pPr>
            <w:r>
              <w:rPr>
                <w:rFonts w:ascii="Arial" w:cs="Arial" w:eastAsia="Arial" w:hAnsi="Arial"/>
                <w:sz w:val="16"/>
                <w:szCs w:val="16"/>
                <w:color w:val="0000FF"/>
                <w:w w:val="99"/>
              </w:rPr>
              <w:t>Electric Utilities</w:t>
            </w:r>
          </w:p>
        </w:tc>
        <w:tc>
          <w:tcPr>
            <w:tcW w:w="6840" w:type="dxa"/>
            <w:vAlign w:val="bottom"/>
            <w:gridSpan w:val="18"/>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7"/>
          </w:tcPr>
          <w:p>
            <w:pPr>
              <w:spacing w:after="0" w:line="175" w:lineRule="exact"/>
              <w:rPr>
                <w:sz w:val="20"/>
                <w:szCs w:val="20"/>
                <w:color w:val="auto"/>
              </w:rPr>
            </w:pPr>
            <w:r>
              <w:rPr>
                <w:rFonts w:ascii="Arial" w:cs="Arial" w:eastAsia="Arial" w:hAnsi="Arial"/>
                <w:sz w:val="16"/>
                <w:szCs w:val="16"/>
                <w:color w:val="0000FF"/>
              </w:rPr>
              <w:t>Gas Utilities</w:t>
            </w:r>
          </w:p>
        </w:tc>
        <w:tc>
          <w:tcPr>
            <w:tcW w:w="6840" w:type="dxa"/>
            <w:vAlign w:val="bottom"/>
            <w:gridSpan w:val="18"/>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spacing w:after="0" w:line="175" w:lineRule="exact"/>
              <w:rPr>
                <w:sz w:val="20"/>
                <w:szCs w:val="20"/>
                <w:color w:val="auto"/>
              </w:rPr>
            </w:pPr>
            <w:r>
              <w:rPr>
                <w:rFonts w:ascii="Arial" w:cs="Arial" w:eastAsia="Arial" w:hAnsi="Arial"/>
                <w:sz w:val="16"/>
                <w:szCs w:val="16"/>
                <w:color w:val="0000FF"/>
              </w:rPr>
              <w:t>Corporate and Other</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5"/>
          </w:tcPr>
          <w:p>
            <w:pPr>
              <w:spacing w:after="0" w:line="175" w:lineRule="exact"/>
              <w:rPr>
                <w:sz w:val="20"/>
                <w:szCs w:val="20"/>
                <w:color w:val="auto"/>
              </w:rPr>
            </w:pPr>
            <w:r>
              <w:rPr>
                <w:rFonts w:ascii="Arial" w:cs="Arial" w:eastAsia="Arial" w:hAnsi="Arial"/>
                <w:sz w:val="16"/>
                <w:szCs w:val="16"/>
                <w:color w:val="0000FF"/>
              </w:rPr>
              <w:t>Consolidated Interest Expense, Other Income and Income Tax Expense</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Liquidity and Capital Resources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17"/>
          </w:tcPr>
          <w:p>
            <w:pPr>
              <w:spacing w:after="0" w:line="175" w:lineRule="exact"/>
              <w:rPr>
                <w:sz w:val="20"/>
                <w:szCs w:val="20"/>
                <w:color w:val="auto"/>
              </w:rPr>
            </w:pPr>
            <w:r>
              <w:rPr>
                <w:rFonts w:ascii="Arial" w:cs="Arial" w:eastAsia="Arial" w:hAnsi="Arial"/>
                <w:sz w:val="16"/>
                <w:szCs w:val="16"/>
                <w:color w:val="0000FF"/>
              </w:rPr>
              <w:t>Cash Flow Activities</w:t>
            </w:r>
          </w:p>
        </w:tc>
        <w:tc>
          <w:tcPr>
            <w:tcW w:w="586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5"/>
            <w:shd w:val="clear" w:color="auto" w:fill="CEFFE7"/>
          </w:tcPr>
          <w:p>
            <w:pPr>
              <w:spacing w:after="0" w:line="175" w:lineRule="exact"/>
              <w:rPr>
                <w:sz w:val="20"/>
                <w:szCs w:val="20"/>
                <w:color w:val="auto"/>
              </w:rPr>
            </w:pPr>
            <w:r>
              <w:rPr>
                <w:rFonts w:ascii="Arial" w:cs="Arial" w:eastAsia="Arial" w:hAnsi="Arial"/>
                <w:sz w:val="16"/>
                <w:szCs w:val="16"/>
                <w:color w:val="0000FF"/>
              </w:rPr>
              <w:t>Capital Resources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9"/>
          </w:tcPr>
          <w:p>
            <w:pPr>
              <w:spacing w:after="0" w:line="175" w:lineRule="exact"/>
              <w:rPr>
                <w:sz w:val="20"/>
                <w:szCs w:val="20"/>
                <w:color w:val="auto"/>
              </w:rPr>
            </w:pPr>
            <w:r>
              <w:rPr>
                <w:rFonts w:ascii="Arial" w:cs="Arial" w:eastAsia="Arial" w:hAnsi="Arial"/>
                <w:sz w:val="16"/>
                <w:szCs w:val="16"/>
                <w:color w:val="0000FF"/>
              </w:rPr>
              <w:t>Credit Ratings</w:t>
            </w:r>
          </w:p>
        </w:tc>
        <w:tc>
          <w:tcPr>
            <w:tcW w:w="6620" w:type="dxa"/>
            <w:vAlign w:val="bottom"/>
            <w:gridSpan w:val="16"/>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560" w:type="dxa"/>
            <w:vAlign w:val="bottom"/>
            <w:gridSpan w:val="15"/>
            <w:shd w:val="clear" w:color="auto" w:fill="CEFFE7"/>
          </w:tcPr>
          <w:p>
            <w:pPr>
              <w:spacing w:after="0" w:line="175" w:lineRule="exact"/>
              <w:rPr>
                <w:sz w:val="20"/>
                <w:szCs w:val="20"/>
                <w:color w:val="auto"/>
              </w:rPr>
            </w:pPr>
            <w:r>
              <w:rPr>
                <w:rFonts w:ascii="Arial" w:cs="Arial" w:eastAsia="Arial" w:hAnsi="Arial"/>
                <w:sz w:val="16"/>
                <w:szCs w:val="16"/>
                <w:color w:val="0000FF"/>
              </w:rPr>
              <w:t>Capital Requirements</w:t>
            </w:r>
          </w:p>
        </w:tc>
        <w:tc>
          <w:tcPr>
            <w:tcW w:w="6380" w:type="dxa"/>
            <w:vAlign w:val="bottom"/>
            <w:gridSpan w:val="10"/>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27"/>
          </w:tcPr>
          <w:p>
            <w:pPr>
              <w:ind w:left="120"/>
              <w:spacing w:after="0" w:line="175" w:lineRule="exact"/>
              <w:rPr>
                <w:sz w:val="20"/>
                <w:szCs w:val="20"/>
                <w:color w:val="auto"/>
              </w:rPr>
            </w:pPr>
            <w:r>
              <w:rPr>
                <w:rFonts w:ascii="Arial" w:cs="Arial" w:eastAsia="Arial" w:hAnsi="Arial"/>
                <w:sz w:val="16"/>
                <w:szCs w:val="16"/>
                <w:color w:val="0000FF"/>
              </w:rPr>
              <w:t>Critical Accounting Estimates</w:t>
            </w:r>
          </w:p>
        </w:tc>
        <w:tc>
          <w:tcPr>
            <w:tcW w:w="1500" w:type="dxa"/>
            <w:vAlign w:val="bottom"/>
            <w:gridSpan w:val="3"/>
          </w:tcPr>
          <w:p>
            <w:pPr>
              <w:jc w:val="center"/>
              <w:spacing w:after="0" w:line="175"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5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8260" w:type="dxa"/>
            <w:vAlign w:val="bottom"/>
            <w:gridSpan w:val="27"/>
            <w:shd w:val="clear" w:color="auto" w:fill="CEFFE7"/>
          </w:tcPr>
          <w:p>
            <w:pPr>
              <w:ind w:left="120"/>
              <w:spacing w:after="0" w:line="175" w:lineRule="exact"/>
              <w:rPr>
                <w:sz w:val="20"/>
                <w:szCs w:val="20"/>
                <w:color w:val="auto"/>
              </w:rPr>
            </w:pPr>
            <w:r>
              <w:rPr>
                <w:rFonts w:ascii="Arial" w:cs="Arial" w:eastAsia="Arial" w:hAnsi="Arial"/>
                <w:sz w:val="16"/>
                <w:szCs w:val="16"/>
                <w:color w:val="0000FF"/>
              </w:rPr>
              <w:t>New Accounting Pronouncements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180" w:type="dxa"/>
            <w:vAlign w:val="bottom"/>
            <w:tcBorders>
              <w:top w:val="single" w:sz="8" w:color="CEFFE7"/>
            </w:tcBorders>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1100" w:type="dxa"/>
            <w:vAlign w:val="bottom"/>
            <w:tcBorders>
              <w:top w:val="single" w:sz="8" w:color="CEFFE7"/>
            </w:tcBorders>
          </w:tcPr>
          <w:p>
            <w:pPr>
              <w:spacing w:after="0"/>
              <w:rPr>
                <w:sz w:val="23"/>
                <w:szCs w:val="23"/>
                <w:color w:val="auto"/>
              </w:rPr>
            </w:pPr>
          </w:p>
        </w:tc>
        <w:tc>
          <w:tcPr>
            <w:tcW w:w="900" w:type="dxa"/>
            <w:vAlign w:val="bottom"/>
            <w:tcBorders>
              <w:top w:val="single" w:sz="8" w:color="CEFFE7"/>
            </w:tcBorders>
          </w:tcPr>
          <w:p>
            <w:pPr>
              <w:spacing w:after="0"/>
              <w:rPr>
                <w:sz w:val="23"/>
                <w:szCs w:val="23"/>
                <w:color w:val="auto"/>
              </w:rPr>
            </w:pPr>
          </w:p>
        </w:tc>
        <w:tc>
          <w:tcPr>
            <w:tcW w:w="190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3.</w:t>
            </w:r>
          </w:p>
        </w:tc>
        <w:tc>
          <w:tcPr>
            <w:tcW w:w="4240" w:type="dxa"/>
            <w:vAlign w:val="bottom"/>
            <w:gridSpan w:val="23"/>
            <w:shd w:val="clear" w:color="auto" w:fill="CEFFE7"/>
          </w:tcPr>
          <w:p>
            <w:pPr>
              <w:spacing w:after="0" w:line="175" w:lineRule="exact"/>
              <w:rPr>
                <w:sz w:val="20"/>
                <w:szCs w:val="20"/>
                <w:color w:val="auto"/>
              </w:rPr>
            </w:pPr>
            <w:r>
              <w:rPr>
                <w:rFonts w:ascii="Arial" w:cs="Arial" w:eastAsia="Arial" w:hAnsi="Arial"/>
                <w:sz w:val="16"/>
                <w:szCs w:val="16"/>
                <w:color w:val="0000FF"/>
              </w:rPr>
              <w:t>Quantitative and Qualitative Disclosures About Market Risk</w:t>
            </w:r>
          </w:p>
        </w:tc>
        <w:tc>
          <w:tcPr>
            <w:tcW w:w="4020" w:type="dxa"/>
            <w:vAlign w:val="bottom"/>
            <w:gridSpan w:val="4"/>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4.</w:t>
            </w:r>
          </w:p>
        </w:tc>
        <w:tc>
          <w:tcPr>
            <w:tcW w:w="4240" w:type="dxa"/>
            <w:vAlign w:val="bottom"/>
            <w:gridSpan w:val="23"/>
          </w:tcPr>
          <w:p>
            <w:pPr>
              <w:spacing w:after="0" w:line="175" w:lineRule="exact"/>
              <w:rPr>
                <w:sz w:val="20"/>
                <w:szCs w:val="20"/>
                <w:color w:val="auto"/>
              </w:rPr>
            </w:pPr>
            <w:r>
              <w:rPr>
                <w:rFonts w:ascii="Arial" w:cs="Arial" w:eastAsia="Arial" w:hAnsi="Arial"/>
                <w:sz w:val="16"/>
                <w:szCs w:val="16"/>
                <w:color w:val="0000FF"/>
              </w:rPr>
              <w:t>Controls and Procedures</w:t>
            </w:r>
          </w:p>
        </w:tc>
        <w:tc>
          <w:tcPr>
            <w:tcW w:w="402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EFFE7"/>
            </w:tcBorders>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760" w:type="dxa"/>
            <w:vAlign w:val="bottom"/>
            <w:gridSpan w:val="3"/>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100" w:type="dxa"/>
            <w:vAlign w:val="bottom"/>
            <w:shd w:val="clear" w:color="auto" w:fill="CEFFE7"/>
          </w:tcPr>
          <w:p>
            <w:pPr>
              <w:spacing w:after="0"/>
              <w:rPr>
                <w:sz w:val="23"/>
                <w:szCs w:val="23"/>
                <w:color w:val="auto"/>
              </w:rPr>
            </w:pPr>
          </w:p>
        </w:tc>
        <w:tc>
          <w:tcPr>
            <w:tcW w:w="900" w:type="dxa"/>
            <w:vAlign w:val="bottom"/>
            <w:shd w:val="clear" w:color="auto" w:fill="CEFFE7"/>
          </w:tcPr>
          <w:p>
            <w:pPr>
              <w:spacing w:after="0"/>
              <w:rPr>
                <w:sz w:val="23"/>
                <w:szCs w:val="23"/>
                <w:color w:val="auto"/>
              </w:rPr>
            </w:pPr>
          </w:p>
        </w:tc>
        <w:tc>
          <w:tcPr>
            <w:tcW w:w="190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9680" w:type="dxa"/>
            <w:vAlign w:val="bottom"/>
            <w:gridSpan w:val="30"/>
          </w:tcPr>
          <w:p>
            <w:pPr>
              <w:spacing w:after="0" w:line="175" w:lineRule="exact"/>
              <w:rPr>
                <w:sz w:val="20"/>
                <w:szCs w:val="20"/>
                <w:color w:val="auto"/>
              </w:rPr>
            </w:pPr>
            <w:r>
              <w:rPr>
                <w:rFonts w:ascii="Arial" w:cs="Arial" w:eastAsia="Arial" w:hAnsi="Arial"/>
                <w:sz w:val="16"/>
                <w:szCs w:val="16"/>
                <w:color w:val="0000FF"/>
              </w:rPr>
              <w:t>PART II. OTHER INFORMATION</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1.</w:t>
            </w:r>
          </w:p>
        </w:tc>
        <w:tc>
          <w:tcPr>
            <w:tcW w:w="134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w w:val="99"/>
              </w:rPr>
              <w:t>Legal Proceedings</w:t>
            </w:r>
          </w:p>
        </w:tc>
        <w:tc>
          <w:tcPr>
            <w:tcW w:w="6920" w:type="dxa"/>
            <w:vAlign w:val="bottom"/>
            <w:gridSpan w:val="19"/>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1A.</w:t>
            </w:r>
          </w:p>
        </w:tc>
        <w:tc>
          <w:tcPr>
            <w:tcW w:w="1340" w:type="dxa"/>
            <w:vAlign w:val="bottom"/>
            <w:gridSpan w:val="8"/>
          </w:tcPr>
          <w:p>
            <w:pPr>
              <w:spacing w:after="0" w:line="175" w:lineRule="exact"/>
              <w:rPr>
                <w:sz w:val="20"/>
                <w:szCs w:val="20"/>
                <w:color w:val="auto"/>
              </w:rPr>
            </w:pPr>
            <w:r>
              <w:rPr>
                <w:rFonts w:ascii="Arial" w:cs="Arial" w:eastAsia="Arial" w:hAnsi="Arial"/>
                <w:sz w:val="16"/>
                <w:szCs w:val="16"/>
                <w:color w:val="0000FF"/>
              </w:rPr>
              <w:t>Risk Factors</w:t>
            </w:r>
          </w:p>
        </w:tc>
        <w:tc>
          <w:tcPr>
            <w:tcW w:w="692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2.</w:t>
            </w:r>
          </w:p>
        </w:tc>
        <w:tc>
          <w:tcPr>
            <w:tcW w:w="8260" w:type="dxa"/>
            <w:vAlign w:val="bottom"/>
            <w:gridSpan w:val="27"/>
            <w:shd w:val="clear" w:color="auto" w:fill="CEFFE7"/>
          </w:tcPr>
          <w:p>
            <w:pPr>
              <w:spacing w:after="0" w:line="175" w:lineRule="exact"/>
              <w:rPr>
                <w:sz w:val="20"/>
                <w:szCs w:val="20"/>
                <w:color w:val="auto"/>
              </w:rPr>
            </w:pPr>
            <w:r>
              <w:rPr>
                <w:rFonts w:ascii="Arial" w:cs="Arial" w:eastAsia="Arial" w:hAnsi="Arial"/>
                <w:sz w:val="16"/>
                <w:szCs w:val="16"/>
                <w:color w:val="0000FF"/>
              </w:rPr>
              <w:t>Unregistered Sales of Equity Securities and Use of Proceeds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100" w:type="dxa"/>
            <w:vAlign w:val="bottom"/>
            <w:tcBorders>
              <w:top w:val="single" w:sz="8" w:color="CEFFE7"/>
            </w:tcBorders>
            <w:shd w:val="clear" w:color="auto" w:fill="CEFFE7"/>
          </w:tcPr>
          <w:p>
            <w:pPr>
              <w:spacing w:after="0" w:line="20" w:lineRule="exact"/>
              <w:rPr>
                <w:sz w:val="1"/>
                <w:szCs w:val="1"/>
                <w:color w:val="auto"/>
              </w:rPr>
            </w:pPr>
          </w:p>
        </w:tc>
        <w:tc>
          <w:tcPr>
            <w:tcW w:w="900" w:type="dxa"/>
            <w:vAlign w:val="bottom"/>
            <w:tcBorders>
              <w:top w:val="single" w:sz="8" w:color="CEFFE7"/>
            </w:tcBorders>
            <w:shd w:val="clear" w:color="auto" w:fill="CEFFE7"/>
          </w:tcPr>
          <w:p>
            <w:pPr>
              <w:spacing w:after="0" w:line="20" w:lineRule="exact"/>
              <w:rPr>
                <w:sz w:val="1"/>
                <w:szCs w:val="1"/>
                <w:color w:val="auto"/>
              </w:rPr>
            </w:pPr>
          </w:p>
        </w:tc>
        <w:tc>
          <w:tcPr>
            <w:tcW w:w="190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4.</w:t>
            </w:r>
          </w:p>
        </w:tc>
        <w:tc>
          <w:tcPr>
            <w:tcW w:w="4360" w:type="dxa"/>
            <w:vAlign w:val="bottom"/>
            <w:gridSpan w:val="24"/>
          </w:tcPr>
          <w:p>
            <w:pPr>
              <w:spacing w:after="0" w:line="175" w:lineRule="exact"/>
              <w:rPr>
                <w:sz w:val="20"/>
                <w:szCs w:val="20"/>
                <w:color w:val="auto"/>
              </w:rPr>
            </w:pPr>
            <w:r>
              <w:rPr>
                <w:rFonts w:ascii="Arial" w:cs="Arial" w:eastAsia="Arial" w:hAnsi="Arial"/>
                <w:sz w:val="16"/>
                <w:szCs w:val="16"/>
                <w:color w:val="0000FF"/>
              </w:rPr>
              <w:t>Mine Safety Disclosures</w:t>
            </w:r>
          </w:p>
        </w:tc>
        <w:tc>
          <w:tcPr>
            <w:tcW w:w="390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sz w:val="20"/>
                <w:szCs w:val="20"/>
                <w:color w:val="auto"/>
              </w:rPr>
            </w:pPr>
            <w:r>
              <w:rPr>
                <w:rFonts w:ascii="Arial" w:cs="Arial" w:eastAsia="Arial" w:hAnsi="Arial"/>
                <w:sz w:val="16"/>
                <w:szCs w:val="16"/>
                <w:color w:val="0000FF"/>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6.</w:t>
            </w:r>
          </w:p>
        </w:tc>
        <w:tc>
          <w:tcPr>
            <w:tcW w:w="8260" w:type="dxa"/>
            <w:vAlign w:val="bottom"/>
            <w:gridSpan w:val="27"/>
            <w:shd w:val="clear" w:color="auto" w:fill="CEFFE7"/>
          </w:tcPr>
          <w:p>
            <w:pPr>
              <w:spacing w:after="0" w:line="175" w:lineRule="exact"/>
              <w:rPr>
                <w:sz w:val="20"/>
                <w:szCs w:val="20"/>
                <w:color w:val="auto"/>
              </w:rPr>
            </w:pPr>
            <w:r>
              <w:rPr>
                <w:rFonts w:ascii="Arial" w:cs="Arial" w:eastAsia="Arial" w:hAnsi="Arial"/>
                <w:sz w:val="16"/>
                <w:szCs w:val="16"/>
                <w:color w:val="0000FF"/>
              </w:rPr>
              <w:t>Exhibits</w:t>
            </w: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34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220" w:type="dxa"/>
            <w:vAlign w:val="bottom"/>
            <w:tcBorders>
              <w:top w:val="single" w:sz="8" w:color="CEFFE7"/>
            </w:tcBorders>
          </w:tcPr>
          <w:p>
            <w:pPr>
              <w:spacing w:after="0"/>
              <w:rPr>
                <w:sz w:val="23"/>
                <w:szCs w:val="23"/>
                <w:color w:val="auto"/>
              </w:rPr>
            </w:pPr>
          </w:p>
        </w:tc>
        <w:tc>
          <w:tcPr>
            <w:tcW w:w="16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4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40" w:type="dxa"/>
            <w:vAlign w:val="bottom"/>
            <w:tcBorders>
              <w:top w:val="single" w:sz="8" w:color="CEFFE7"/>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340" w:type="dxa"/>
            <w:vAlign w:val="bottom"/>
            <w:tcBorders>
              <w:top w:val="single" w:sz="8" w:color="CEFFE7"/>
            </w:tcBorders>
          </w:tcPr>
          <w:p>
            <w:pPr>
              <w:spacing w:after="0"/>
              <w:rPr>
                <w:sz w:val="23"/>
                <w:szCs w:val="23"/>
                <w:color w:val="auto"/>
              </w:rPr>
            </w:pPr>
          </w:p>
        </w:tc>
        <w:tc>
          <w:tcPr>
            <w:tcW w:w="18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180" w:type="dxa"/>
            <w:vAlign w:val="bottom"/>
            <w:tcBorders>
              <w:top w:val="single" w:sz="8" w:color="CEFFE7"/>
            </w:tcBorders>
          </w:tcPr>
          <w:p>
            <w:pPr>
              <w:spacing w:after="0"/>
              <w:rPr>
                <w:sz w:val="23"/>
                <w:szCs w:val="23"/>
                <w:color w:val="auto"/>
              </w:rPr>
            </w:pPr>
          </w:p>
        </w:tc>
        <w:tc>
          <w:tcPr>
            <w:tcW w:w="120" w:type="dxa"/>
            <w:vAlign w:val="bottom"/>
            <w:tcBorders>
              <w:top w:val="single" w:sz="8" w:color="CEFFE7"/>
            </w:tcBorders>
          </w:tcPr>
          <w:p>
            <w:pPr>
              <w:spacing w:after="0"/>
              <w:rPr>
                <w:sz w:val="23"/>
                <w:szCs w:val="23"/>
                <w:color w:val="auto"/>
              </w:rPr>
            </w:pPr>
          </w:p>
        </w:tc>
        <w:tc>
          <w:tcPr>
            <w:tcW w:w="1100" w:type="dxa"/>
            <w:vAlign w:val="bottom"/>
            <w:tcBorders>
              <w:top w:val="single" w:sz="8" w:color="CEFFE7"/>
            </w:tcBorders>
          </w:tcPr>
          <w:p>
            <w:pPr>
              <w:spacing w:after="0"/>
              <w:rPr>
                <w:sz w:val="23"/>
                <w:szCs w:val="23"/>
                <w:color w:val="auto"/>
              </w:rPr>
            </w:pPr>
          </w:p>
        </w:tc>
        <w:tc>
          <w:tcPr>
            <w:tcW w:w="900" w:type="dxa"/>
            <w:vAlign w:val="bottom"/>
            <w:tcBorders>
              <w:top w:val="single" w:sz="8" w:color="CEFFE7"/>
            </w:tcBorders>
          </w:tcPr>
          <w:p>
            <w:pPr>
              <w:spacing w:after="0"/>
              <w:rPr>
                <w:sz w:val="23"/>
                <w:szCs w:val="23"/>
                <w:color w:val="auto"/>
              </w:rPr>
            </w:pPr>
          </w:p>
        </w:tc>
        <w:tc>
          <w:tcPr>
            <w:tcW w:w="190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0000FF"/>
              </w:rPr>
              <w:t>Signatures</w:t>
            </w:r>
          </w:p>
        </w:tc>
        <w:tc>
          <w:tcPr>
            <w:tcW w:w="12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4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500" w:type="dxa"/>
            <w:vAlign w:val="bottom"/>
            <w:shd w:val="clear" w:color="auto" w:fill="CEFFE7"/>
          </w:tcPr>
          <w:p>
            <w:pPr>
              <w:spacing w:after="0"/>
              <w:rPr>
                <w:sz w:val="17"/>
                <w:szCs w:val="17"/>
                <w:color w:val="auto"/>
              </w:rPr>
            </w:pPr>
          </w:p>
        </w:tc>
        <w:tc>
          <w:tcPr>
            <w:tcW w:w="1180" w:type="dxa"/>
            <w:vAlign w:val="bottom"/>
            <w:shd w:val="clear" w:color="auto" w:fill="CEFFE7"/>
          </w:tcPr>
          <w:p>
            <w:pPr>
              <w:spacing w:after="0"/>
              <w:rPr>
                <w:sz w:val="17"/>
                <w:szCs w:val="17"/>
                <w:color w:val="auto"/>
              </w:rPr>
            </w:pPr>
          </w:p>
        </w:tc>
        <w:tc>
          <w:tcPr>
            <w:tcW w:w="120" w:type="dxa"/>
            <w:vAlign w:val="bottom"/>
            <w:shd w:val="clear" w:color="auto" w:fill="CEFFE7"/>
          </w:tcPr>
          <w:p>
            <w:pPr>
              <w:spacing w:after="0"/>
              <w:rPr>
                <w:sz w:val="17"/>
                <w:szCs w:val="17"/>
                <w:color w:val="auto"/>
              </w:rPr>
            </w:pPr>
          </w:p>
        </w:tc>
        <w:tc>
          <w:tcPr>
            <w:tcW w:w="110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1900" w:type="dxa"/>
            <w:vAlign w:val="bottom"/>
            <w:shd w:val="clear" w:color="auto" w:fill="CEFFE7"/>
          </w:tcPr>
          <w:p>
            <w:pPr>
              <w:spacing w:after="0"/>
              <w:rPr>
                <w:sz w:val="17"/>
                <w:szCs w:val="17"/>
                <w:color w:val="auto"/>
              </w:rPr>
            </w:pPr>
          </w:p>
        </w:tc>
        <w:tc>
          <w:tcPr>
            <w:tcW w:w="1500" w:type="dxa"/>
            <w:vAlign w:val="bottom"/>
            <w:gridSpan w:val="3"/>
            <w:shd w:val="clear" w:color="auto" w:fill="CEFFE7"/>
          </w:tcPr>
          <w:p>
            <w:pPr>
              <w:jc w:val="center"/>
              <w:spacing w:after="0" w:line="175" w:lineRule="exact"/>
              <w:rPr>
                <w:sz w:val="20"/>
                <w:szCs w:val="20"/>
                <w:color w:val="auto"/>
              </w:rPr>
            </w:pPr>
            <w:r>
              <w:rPr>
                <w:rFonts w:ascii="Arial" w:cs="Arial" w:eastAsia="Arial" w:hAnsi="Arial"/>
                <w:sz w:val="16"/>
                <w:szCs w:val="16"/>
                <w:color w:val="0000FF"/>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4240" w:type="dxa"/>
            <w:vAlign w:val="bottom"/>
            <w:tcBorders>
              <w:top w:val="single" w:sz="8" w:color="CEFFE7"/>
            </w:tcBorders>
            <w:gridSpan w:val="23"/>
          </w:tcPr>
          <w:p>
            <w:pPr>
              <w:ind w:left="4120"/>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EFFE7"/>
            </w:tcBorders>
          </w:tcPr>
          <w:p>
            <w:pPr>
              <w:spacing w:after="0"/>
              <w:rPr>
                <w:sz w:val="24"/>
                <w:szCs w:val="24"/>
                <w:color w:val="auto"/>
              </w:rPr>
            </w:pPr>
          </w:p>
        </w:tc>
        <w:tc>
          <w:tcPr>
            <w:tcW w:w="1100" w:type="dxa"/>
            <w:vAlign w:val="bottom"/>
            <w:tcBorders>
              <w:top w:val="single" w:sz="8" w:color="CEFFE7"/>
            </w:tcBorders>
          </w:tcPr>
          <w:p>
            <w:pPr>
              <w:spacing w:after="0"/>
              <w:rPr>
                <w:sz w:val="24"/>
                <w:szCs w:val="24"/>
                <w:color w:val="auto"/>
              </w:rPr>
            </w:pPr>
          </w:p>
        </w:tc>
        <w:tc>
          <w:tcPr>
            <w:tcW w:w="900" w:type="dxa"/>
            <w:vAlign w:val="bottom"/>
            <w:tcBorders>
              <w:top w:val="single" w:sz="8" w:color="CEFFE7"/>
            </w:tcBorders>
          </w:tcPr>
          <w:p>
            <w:pPr>
              <w:spacing w:after="0"/>
              <w:rPr>
                <w:sz w:val="24"/>
                <w:szCs w:val="24"/>
                <w:color w:val="auto"/>
              </w:rPr>
            </w:pPr>
          </w:p>
        </w:tc>
        <w:tc>
          <w:tcPr>
            <w:tcW w:w="1900" w:type="dxa"/>
            <w:vAlign w:val="bottom"/>
            <w:tcBorders>
              <w:top w:val="single" w:sz="8" w:color="CEFFE7"/>
            </w:tcBorders>
          </w:tcPr>
          <w:p>
            <w:pPr>
              <w:spacing w:after="0"/>
              <w:rPr>
                <w:sz w:val="24"/>
                <w:szCs w:val="24"/>
                <w:color w:val="auto"/>
              </w:rPr>
            </w:pPr>
          </w:p>
        </w:tc>
        <w:tc>
          <w:tcPr>
            <w:tcW w:w="660" w:type="dxa"/>
            <w:vAlign w:val="bottom"/>
            <w:tcBorders>
              <w:top w:val="single" w:sz="8" w:color="CEFFE7"/>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CEFFE7"/>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00" w:type="dxa"/>
            <w:vAlign w:val="bottom"/>
          </w:tcPr>
          <w:p>
            <w:pPr>
              <w:spacing w:after="0"/>
              <w:rPr>
                <w:sz w:val="19"/>
                <w:szCs w:val="19"/>
                <w:color w:val="auto"/>
              </w:rPr>
            </w:pPr>
          </w:p>
        </w:tc>
        <w:tc>
          <w:tcPr>
            <w:tcW w:w="8540" w:type="dxa"/>
            <w:vAlign w:val="bottom"/>
          </w:tcPr>
          <w:p>
            <w:pPr>
              <w:ind w:left="114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424"/>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10"/>
        </w:trPr>
        <w:tc>
          <w:tcPr>
            <w:tcW w:w="2700" w:type="dxa"/>
            <w:vAlign w:val="bottom"/>
          </w:tcPr>
          <w:p>
            <w:pPr>
              <w:spacing w:after="0"/>
              <w:rPr>
                <w:sz w:val="9"/>
                <w:szCs w:val="9"/>
                <w:color w:val="auto"/>
              </w:rPr>
            </w:pPr>
          </w:p>
        </w:tc>
        <w:tc>
          <w:tcPr>
            <w:tcW w:w="8540" w:type="dxa"/>
            <w:vAlign w:val="bottom"/>
          </w:tcPr>
          <w:p>
            <w:pPr>
              <w:spacing w:after="0"/>
              <w:rPr>
                <w:sz w:val="9"/>
                <w:szCs w:val="9"/>
                <w:color w:val="auto"/>
              </w:rPr>
            </w:pPr>
          </w:p>
        </w:tc>
      </w:tr>
      <w:tr>
        <w:trPr>
          <w:trHeight w:val="216"/>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AFUDC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AOCI</w:t>
            </w:r>
          </w:p>
        </w:tc>
        <w:tc>
          <w:tcPr>
            <w:tcW w:w="854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APSC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Arkansas Public Service Commission</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Arkansas Gas</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Accounting Standards Codification</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ASU</w:t>
            </w:r>
          </w:p>
        </w:tc>
        <w:tc>
          <w:tcPr>
            <w:tcW w:w="8540" w:type="dxa"/>
            <w:vAlign w:val="bottom"/>
          </w:tcPr>
          <w:p>
            <w:pPr>
              <w:ind w:left="160"/>
              <w:spacing w:after="0"/>
              <w:rPr>
                <w:sz w:val="20"/>
                <w:szCs w:val="20"/>
                <w:color w:val="auto"/>
              </w:rPr>
            </w:pPr>
            <w:r>
              <w:rPr>
                <w:rFonts w:ascii="Arial" w:cs="Arial" w:eastAsia="Arial" w:hAnsi="Arial"/>
                <w:sz w:val="16"/>
                <w:szCs w:val="16"/>
                <w:color w:val="auto"/>
              </w:rPr>
              <w:t>Accounting Standards Update issued by the FASB</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ATM</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Availability</w:t>
            </w:r>
          </w:p>
        </w:tc>
        <w:tc>
          <w:tcPr>
            <w:tcW w:w="8540" w:type="dxa"/>
            <w:vAlign w:val="bottom"/>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BHC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Black Hills Colorado IPP</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Black Hills Electric Generation</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Black Hills Energy</w:t>
            </w:r>
          </w:p>
        </w:tc>
        <w:tc>
          <w:tcPr>
            <w:tcW w:w="8540" w:type="dxa"/>
            <w:vAlign w:val="bottom"/>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Black Hills Energy Services</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 providing</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natural gas commodity supply for the Choice Gas Programs (doing business as Black Hills Energy).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Black Hills Non-regulated Holdings</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Black Hills Utility Holdings</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Utility Holdings, Inc., a direct, wholly-owned subsidiary of Black Hills Corporation (doing business as</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Energy)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Cheyenne Light</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electric service in the Cheyenne, Wyoming area (doing business as Black Hills Energy). Also known as Wyoming</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Electric.</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Chief Operating Decision Maker</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Chief Executive Officer</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(CODM)</w:t>
            </w:r>
          </w:p>
        </w:tc>
        <w:tc>
          <w:tcPr>
            <w:tcW w:w="8540" w:type="dxa"/>
            <w:vAlign w:val="bottom"/>
          </w:tcPr>
          <w:p>
            <w:pPr>
              <w:spacing w:after="0"/>
              <w:rPr>
                <w:sz w:val="18"/>
                <w:szCs w:val="18"/>
                <w:color w:val="auto"/>
              </w:rPr>
            </w:pP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Choice Gas Program</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Regulator-approved programs in Wyoming and Nebraska that allow certain utility customers to select their natural</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gas commodity supplier, providing for the unbundling of the commodity service from the distribution delivery service.</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Colorado Electric</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Black Hills Colorado Electric, LLC, a direct, wholly-owned subsidiary of Black Hills Utility Holdings, providing electric</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service to customers in Colorado (doing business as Black Hills Energy).</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Colorado Gas</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Black Hills Colorado Gas, Inc., an indirect, wholly-owned subsidiary of Black Hills Utility Holdings, providing natural</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gas services to customers in Colorado (doing business as Black Hills Energy).</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Common Use System</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The Common Use System is a jointly operated transmission system we participate in with Basin Electric Power</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Cooperative and Powder River Energy Corporation. The Common Use System provides transmission service over</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these utilities' combined 230-kilovolt (kV) and limited 69-kV transmission facilities within areas of southwestern South</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Dakota and northeastern Wyoming.</w:t>
            </w:r>
          </w:p>
        </w:tc>
      </w:tr>
      <w:tr>
        <w:trPr>
          <w:trHeight w:val="163"/>
        </w:trPr>
        <w:tc>
          <w:tcPr>
            <w:tcW w:w="270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Consolidated Indebtedness to</w:t>
            </w:r>
          </w:p>
        </w:tc>
        <w:tc>
          <w:tcPr>
            <w:tcW w:w="8540" w:type="dxa"/>
            <w:vAlign w:val="bottom"/>
            <w:shd w:val="clear" w:color="auto" w:fill="CEFFE7"/>
          </w:tcPr>
          <w:p>
            <w:pPr>
              <w:ind w:left="160"/>
              <w:spacing w:after="0" w:line="163"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 net worth</w:t>
            </w:r>
          </w:p>
        </w:tc>
      </w:tr>
      <w:tr>
        <w:trPr>
          <w:trHeight w:val="162"/>
        </w:trPr>
        <w:tc>
          <w:tcPr>
            <w:tcW w:w="2700" w:type="dxa"/>
            <w:vAlign w:val="bottom"/>
            <w:shd w:val="clear" w:color="auto" w:fill="CEFFE7"/>
          </w:tcPr>
          <w:p>
            <w:pPr>
              <w:ind w:left="20"/>
              <w:spacing w:after="0" w:line="162" w:lineRule="exact"/>
              <w:rPr>
                <w:sz w:val="20"/>
                <w:szCs w:val="20"/>
                <w:color w:val="auto"/>
              </w:rPr>
            </w:pPr>
            <w:r>
              <w:rPr>
                <w:rFonts w:ascii="Arial" w:cs="Arial" w:eastAsia="Arial" w:hAnsi="Arial"/>
                <w:sz w:val="16"/>
                <w:szCs w:val="16"/>
                <w:color w:val="auto"/>
              </w:rPr>
              <w:t>Capitalization Ratio</w:t>
            </w: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(excluding non-controlling interest) plus consolidated indebtedness (including letters of credit and certain guarantees</w:t>
            </w:r>
          </w:p>
        </w:tc>
      </w:tr>
      <w:tr>
        <w:trPr>
          <w:trHeight w:val="216"/>
        </w:trPr>
        <w:tc>
          <w:tcPr>
            <w:tcW w:w="2700" w:type="dxa"/>
            <w:vAlign w:val="bottom"/>
            <w:shd w:val="clear" w:color="auto" w:fill="CEFFE7"/>
          </w:tcPr>
          <w:p>
            <w:pPr>
              <w:spacing w:after="0"/>
              <w:rPr>
                <w:sz w:val="18"/>
                <w:szCs w:val="18"/>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issued) as defined within the current Revolving Credit Facility.</w:t>
            </w:r>
          </w:p>
        </w:tc>
      </w:tr>
      <w:tr>
        <w:trPr>
          <w:trHeight w:val="162"/>
        </w:trPr>
        <w:tc>
          <w:tcPr>
            <w:tcW w:w="2700" w:type="dxa"/>
            <w:vAlign w:val="bottom"/>
          </w:tcPr>
          <w:p>
            <w:pPr>
              <w:ind w:left="20"/>
              <w:spacing w:after="0" w:line="162" w:lineRule="exact"/>
              <w:rPr>
                <w:sz w:val="20"/>
                <w:szCs w:val="20"/>
                <w:color w:val="auto"/>
              </w:rPr>
            </w:pPr>
            <w:r>
              <w:rPr>
                <w:rFonts w:ascii="Arial" w:cs="Arial" w:eastAsia="Arial" w:hAnsi="Arial"/>
                <w:sz w:val="16"/>
                <w:szCs w:val="16"/>
                <w:color w:val="auto"/>
              </w:rPr>
              <w:t>Cooling Degree Day (CDD)</w:t>
            </w: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A cooling degree day is equivalent to each degree that the average of the high and low temperatures for a day is</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above 65 degrees. The warmer the climate, the greater the number of cooling degree days. Cooling degree days are</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used in the utility industry to measure the relative warmth and to compare relative temperatures between one</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15"/>
        </w:trPr>
        <w:tc>
          <w:tcPr>
            <w:tcW w:w="2700" w:type="dxa"/>
            <w:vAlign w:val="bottom"/>
          </w:tcPr>
          <w:p>
            <w:pPr>
              <w:spacing w:after="0"/>
              <w:rPr>
                <w:sz w:val="18"/>
                <w:szCs w:val="18"/>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locations.</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CPCN</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Certificate of Public Convenience and Necessity</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CP Program</w:t>
            </w:r>
          </w:p>
        </w:tc>
        <w:tc>
          <w:tcPr>
            <w:tcW w:w="8540" w:type="dxa"/>
            <w:vAlign w:val="bottom"/>
          </w:tcPr>
          <w:p>
            <w:pPr>
              <w:ind w:left="160"/>
              <w:spacing w:after="0"/>
              <w:rPr>
                <w:sz w:val="20"/>
                <w:szCs w:val="20"/>
                <w:color w:val="auto"/>
              </w:rPr>
            </w:pPr>
            <w:r>
              <w:rPr>
                <w:rFonts w:ascii="Arial" w:cs="Arial" w:eastAsia="Arial" w:hAnsi="Arial"/>
                <w:sz w:val="16"/>
                <w:szCs w:val="16"/>
                <w:color w:val="auto"/>
              </w:rPr>
              <w:t>Commercial Paper Program</w:t>
            </w:r>
          </w:p>
        </w:tc>
      </w:tr>
      <w:tr>
        <w:trPr>
          <w:trHeight w:val="217"/>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CPUC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Colorado Public Utilities Commission</w:t>
            </w:r>
          </w:p>
        </w:tc>
      </w:tr>
      <w:tr>
        <w:trPr>
          <w:trHeight w:val="633"/>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6"/>
                <w:szCs w:val="16"/>
                <w:color w:val="auto"/>
              </w:rPr>
              <w:t>4</w:t>
            </w:r>
          </w:p>
        </w:tc>
      </w:tr>
      <w:tr>
        <w:trPr>
          <w:trHeight w:val="346"/>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780" w:type="dxa"/>
            <w:vAlign w:val="bottom"/>
          </w:tcPr>
          <w:p>
            <w:pPr>
              <w:spacing w:after="0"/>
              <w:rPr>
                <w:sz w:val="16"/>
                <w:szCs w:val="16"/>
                <w:color w:val="auto"/>
              </w:rPr>
            </w:pPr>
          </w:p>
        </w:tc>
      </w:tr>
      <w:tr>
        <w:trPr>
          <w:trHeight w:val="924"/>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Dth</w:t>
            </w:r>
          </w:p>
        </w:tc>
        <w:tc>
          <w:tcPr>
            <w:tcW w:w="1100" w:type="dxa"/>
            <w:vAlign w:val="bottom"/>
          </w:tcPr>
          <w:p>
            <w:pPr>
              <w:spacing w:after="0"/>
              <w:rPr>
                <w:sz w:val="24"/>
                <w:szCs w:val="24"/>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Dekatherm. A unit of energy equal to 10 therms or approximately one million British thermal units (MMBtu)</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FASB</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Financial Accounting Standards Board</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Fitch</w:t>
            </w:r>
          </w:p>
        </w:tc>
        <w:tc>
          <w:tcPr>
            <w:tcW w:w="8780" w:type="dxa"/>
            <w:vAlign w:val="bottom"/>
          </w:tcPr>
          <w:p>
            <w:pPr>
              <w:ind w:left="400"/>
              <w:spacing w:after="0"/>
              <w:rPr>
                <w:sz w:val="20"/>
                <w:szCs w:val="20"/>
                <w:color w:val="auto"/>
              </w:rPr>
            </w:pPr>
            <w:r>
              <w:rPr>
                <w:rFonts w:ascii="Arial" w:cs="Arial" w:eastAsia="Arial" w:hAnsi="Arial"/>
                <w:sz w:val="16"/>
                <w:szCs w:val="16"/>
                <w:color w:val="auto"/>
              </w:rPr>
              <w:t>Fitch Ratings Inc.</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GAAP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Heating Degree Day (HDD)</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 for a day is</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below 65 degrees. The colder the climate, the greater the number of heating degree days. Heating degree days are</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used in the utility industry to measure the relative coldness and to compare relative temperatures between one</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locations.</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Integrated Generation</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Non-regulated power generation and mining businesses that are vertically integrated within our Electric Utilities</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segment.</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Iowa Gas</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 providing</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natural gas services to customers in Iowa (doing business as Black Hills Energy).</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IPP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Independent Power Producer</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IRS</w:t>
            </w:r>
          </w:p>
        </w:tc>
        <w:tc>
          <w:tcPr>
            <w:tcW w:w="8780" w:type="dxa"/>
            <w:vAlign w:val="bottom"/>
          </w:tcPr>
          <w:p>
            <w:pPr>
              <w:ind w:left="400"/>
              <w:spacing w:after="0"/>
              <w:rPr>
                <w:sz w:val="20"/>
                <w:szCs w:val="20"/>
                <w:color w:val="auto"/>
              </w:rPr>
            </w:pPr>
            <w:r>
              <w:rPr>
                <w:rFonts w:ascii="Arial" w:cs="Arial" w:eastAsia="Arial" w:hAnsi="Arial"/>
                <w:sz w:val="16"/>
                <w:szCs w:val="16"/>
                <w:color w:val="auto"/>
              </w:rPr>
              <w:t>United States Internal Revenue Service</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Kansas Gas</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KCC</w:t>
            </w:r>
          </w:p>
        </w:tc>
        <w:tc>
          <w:tcPr>
            <w:tcW w:w="8780" w:type="dxa"/>
            <w:vAlign w:val="bottom"/>
          </w:tcPr>
          <w:p>
            <w:pPr>
              <w:ind w:left="400"/>
              <w:spacing w:after="0"/>
              <w:rPr>
                <w:sz w:val="20"/>
                <w:szCs w:val="20"/>
                <w:color w:val="auto"/>
              </w:rPr>
            </w:pPr>
            <w:r>
              <w:rPr>
                <w:rFonts w:ascii="Arial" w:cs="Arial" w:eastAsia="Arial" w:hAnsi="Arial"/>
                <w:sz w:val="16"/>
                <w:szCs w:val="16"/>
                <w:color w:val="auto"/>
              </w:rPr>
              <w:t>Kansas Corporation Commission</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kV</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Kilovolt</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LIBOR</w:t>
            </w:r>
          </w:p>
        </w:tc>
        <w:tc>
          <w:tcPr>
            <w:tcW w:w="8780" w:type="dxa"/>
            <w:vAlign w:val="bottom"/>
          </w:tcPr>
          <w:p>
            <w:pPr>
              <w:ind w:left="400"/>
              <w:spacing w:after="0"/>
              <w:rPr>
                <w:sz w:val="20"/>
                <w:szCs w:val="20"/>
                <w:color w:val="auto"/>
              </w:rPr>
            </w:pPr>
            <w:r>
              <w:rPr>
                <w:rFonts w:ascii="Arial" w:cs="Arial" w:eastAsia="Arial" w:hAnsi="Arial"/>
                <w:sz w:val="16"/>
                <w:szCs w:val="16"/>
                <w:color w:val="auto"/>
              </w:rPr>
              <w:t>London Interbank Offered Rate</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MEAN</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Municipal Energy Agency of Nebraska</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MMBtu</w:t>
            </w:r>
          </w:p>
        </w:tc>
        <w:tc>
          <w:tcPr>
            <w:tcW w:w="8780" w:type="dxa"/>
            <w:vAlign w:val="bottom"/>
          </w:tcPr>
          <w:p>
            <w:pPr>
              <w:ind w:left="400"/>
              <w:spacing w:after="0"/>
              <w:rPr>
                <w:sz w:val="20"/>
                <w:szCs w:val="20"/>
                <w:color w:val="auto"/>
              </w:rPr>
            </w:pPr>
            <w:r>
              <w:rPr>
                <w:rFonts w:ascii="Arial" w:cs="Arial" w:eastAsia="Arial" w:hAnsi="Arial"/>
                <w:sz w:val="16"/>
                <w:szCs w:val="16"/>
                <w:color w:val="auto"/>
              </w:rPr>
              <w:t>Million British thermal units</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Moody’s</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Moody’s Investors Service, Inc.</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MW</w:t>
            </w:r>
          </w:p>
        </w:tc>
        <w:tc>
          <w:tcPr>
            <w:tcW w:w="8780" w:type="dxa"/>
            <w:vAlign w:val="bottom"/>
          </w:tcPr>
          <w:p>
            <w:pPr>
              <w:ind w:left="400"/>
              <w:spacing w:after="0"/>
              <w:rPr>
                <w:sz w:val="20"/>
                <w:szCs w:val="20"/>
                <w:color w:val="auto"/>
              </w:rPr>
            </w:pPr>
            <w:r>
              <w:rPr>
                <w:rFonts w:ascii="Arial" w:cs="Arial" w:eastAsia="Arial" w:hAnsi="Arial"/>
                <w:sz w:val="16"/>
                <w:szCs w:val="16"/>
                <w:color w:val="auto"/>
              </w:rPr>
              <w:t>Megawatts</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MWh</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Megawatt-hours</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Nebraska Gas</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Black Hills Nebraska Gas, LLC, an indirect, wholly-owned subsidiary of Black Hills Utility Holdings, providing natural</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gas services to customers in Nebraska (doing business as Black Hills Energy).</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Neil Simpson II</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A mine-mouth, coal-fired power plant owned and operated by South Dakota Electric with a total capacity of 90 MW</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located at our Gillette, Wyoming energy complex.</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OCI</w:t>
            </w:r>
          </w:p>
        </w:tc>
        <w:tc>
          <w:tcPr>
            <w:tcW w:w="8780" w:type="dxa"/>
            <w:vAlign w:val="bottom"/>
          </w:tcPr>
          <w:p>
            <w:pPr>
              <w:ind w:left="400"/>
              <w:spacing w:after="0"/>
              <w:rPr>
                <w:sz w:val="20"/>
                <w:szCs w:val="20"/>
                <w:color w:val="auto"/>
              </w:rPr>
            </w:pPr>
            <w:r>
              <w:rPr>
                <w:rFonts w:ascii="Arial" w:cs="Arial" w:eastAsia="Arial" w:hAnsi="Arial"/>
                <w:sz w:val="16"/>
                <w:szCs w:val="16"/>
                <w:color w:val="auto"/>
              </w:rPr>
              <w:t>Other Comprehensive Income</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PPA</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Power Purchase Agreement</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PRPA</w:t>
            </w:r>
          </w:p>
        </w:tc>
        <w:tc>
          <w:tcPr>
            <w:tcW w:w="8780" w:type="dxa"/>
            <w:vAlign w:val="bottom"/>
          </w:tcPr>
          <w:p>
            <w:pPr>
              <w:ind w:left="400"/>
              <w:spacing w:after="0"/>
              <w:rPr>
                <w:sz w:val="20"/>
                <w:szCs w:val="20"/>
                <w:color w:val="auto"/>
              </w:rPr>
            </w:pPr>
            <w:r>
              <w:rPr>
                <w:rFonts w:ascii="Arial" w:cs="Arial" w:eastAsia="Arial" w:hAnsi="Arial"/>
                <w:sz w:val="16"/>
                <w:szCs w:val="16"/>
                <w:color w:val="auto"/>
              </w:rPr>
              <w:t>Platte River Power Authority</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Pueblo Airport Generation</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The 420 MW combined cycle gas-fired power generating plants jointly owned by Colorado Electric (220 MW) and</w:t>
            </w:r>
          </w:p>
        </w:tc>
      </w:tr>
      <w:tr>
        <w:trPr>
          <w:trHeight w:val="162"/>
        </w:trPr>
        <w:tc>
          <w:tcPr>
            <w:tcW w:w="1360" w:type="dxa"/>
            <w:vAlign w:val="bottom"/>
            <w:shd w:val="clear" w:color="auto" w:fill="CEFFE7"/>
          </w:tcPr>
          <w:p>
            <w:pPr>
              <w:spacing w:after="0"/>
              <w:rPr>
                <w:sz w:val="14"/>
                <w:szCs w:val="14"/>
                <w:color w:val="auto"/>
              </w:rPr>
            </w:pPr>
          </w:p>
        </w:tc>
        <w:tc>
          <w:tcPr>
            <w:tcW w:w="110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Black Hills Colorado IPP (200 MW). Black Hills Colorado IPP operates this facility. The plants commenced operation</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on January 1, 2012.</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i w:val="1"/>
                <w:iCs w:val="1"/>
                <w:color w:val="auto"/>
              </w:rPr>
              <w:t>Ready Wyoming</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A 260-mile, multi-phase transmission expansion project in Wyoming. This transmission project will serve the growing</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needs of customers by enhancing resiliency of Wyoming Electric’s overall electric system and expanding access to</w:t>
            </w:r>
          </w:p>
        </w:tc>
      </w:tr>
      <w:tr>
        <w:trPr>
          <w:trHeight w:val="162"/>
        </w:trPr>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power markets and renewable resources. The project will help Wyoming Electric maintain top-quartile reliability and</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enable economic development in the Cheyenne, Wyoming region.</w:t>
            </w:r>
          </w:p>
        </w:tc>
      </w:tr>
      <w:tr>
        <w:trPr>
          <w:trHeight w:val="163"/>
        </w:trPr>
        <w:tc>
          <w:tcPr>
            <w:tcW w:w="246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Renewable Ready</w:t>
            </w:r>
          </w:p>
        </w:tc>
        <w:tc>
          <w:tcPr>
            <w:tcW w:w="8780" w:type="dxa"/>
            <w:vAlign w:val="bottom"/>
            <w:shd w:val="clear" w:color="auto" w:fill="CEFFE7"/>
          </w:tcPr>
          <w:p>
            <w:pPr>
              <w:ind w:left="400"/>
              <w:spacing w:after="0" w:line="163" w:lineRule="exact"/>
              <w:rPr>
                <w:sz w:val="20"/>
                <w:szCs w:val="20"/>
                <w:color w:val="auto"/>
              </w:rPr>
            </w:pPr>
            <w:r>
              <w:rPr>
                <w:rFonts w:ascii="Arial" w:cs="Arial" w:eastAsia="Arial" w:hAnsi="Arial"/>
                <w:sz w:val="16"/>
                <w:szCs w:val="16"/>
                <w:color w:val="auto"/>
              </w:rPr>
              <w:t>Voluntary renewable energy subscription program for large commercial, industrial and governmental agency</w:t>
            </w:r>
          </w:p>
        </w:tc>
      </w:tr>
      <w:tr>
        <w:trPr>
          <w:trHeight w:val="216"/>
        </w:trPr>
        <w:tc>
          <w:tcPr>
            <w:tcW w:w="136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customers in South Dakota and Wyoming.</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Revolving Credit Facility</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 purposes,</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which was amended and restated on July 19, 2021, and now terminates on July 19, 2026.</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SEC</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United States Securities and Exchange Commission</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Service Guard Comfort Plan</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agreements to residential utility customers.</w:t>
            </w: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S&amp;P</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S&amp;P Global Ratings, a division of S&amp;P Global Inc.</w:t>
            </w: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South Dakota Electric</w:t>
            </w: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 service to</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customers in Montana, South Dakota and Wyoming (doing business as Black Hills Energy).</w:t>
            </w:r>
          </w:p>
        </w:tc>
      </w:tr>
      <w:tr>
        <w:trPr>
          <w:trHeight w:val="620"/>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6"/>
                <w:szCs w:val="16"/>
                <w:color w:val="auto"/>
              </w:rPr>
              <w:t>5</w:t>
            </w:r>
          </w:p>
        </w:tc>
      </w:tr>
      <w:tr>
        <w:trPr>
          <w:trHeight w:val="346"/>
        </w:trPr>
        <w:tc>
          <w:tcPr>
            <w:tcW w:w="1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22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9020" w:type="dxa"/>
            <w:vAlign w:val="bottom"/>
          </w:tcPr>
          <w:p>
            <w:pPr>
              <w:spacing w:after="0"/>
              <w:rPr>
                <w:sz w:val="16"/>
                <w:szCs w:val="16"/>
                <w:color w:val="auto"/>
              </w:rPr>
            </w:pPr>
          </w:p>
        </w:tc>
      </w:tr>
      <w:tr>
        <w:trPr>
          <w:trHeight w:val="709"/>
        </w:trPr>
        <w:tc>
          <w:tcPr>
            <w:tcW w:w="136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216"/>
        </w:trPr>
        <w:tc>
          <w:tcPr>
            <w:tcW w:w="2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SPP</w:t>
            </w: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Southwest Power Pool</w:t>
            </w:r>
          </w:p>
        </w:tc>
      </w:tr>
      <w:tr>
        <w:trPr>
          <w:trHeight w:val="215"/>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TCJA</w:t>
            </w:r>
          </w:p>
        </w:tc>
        <w:tc>
          <w:tcPr>
            <w:tcW w:w="9020" w:type="dxa"/>
            <w:vAlign w:val="bottom"/>
          </w:tcPr>
          <w:p>
            <w:pPr>
              <w:ind w:left="640"/>
              <w:spacing w:after="0"/>
              <w:rPr>
                <w:sz w:val="20"/>
                <w:szCs w:val="20"/>
                <w:color w:val="auto"/>
              </w:rPr>
            </w:pPr>
            <w:r>
              <w:rPr>
                <w:rFonts w:ascii="Arial" w:cs="Arial" w:eastAsia="Arial" w:hAnsi="Arial"/>
                <w:sz w:val="16"/>
                <w:szCs w:val="16"/>
                <w:color w:val="auto"/>
              </w:rPr>
              <w:t>Tax Cuts and Jobs Act</w:t>
            </w:r>
          </w:p>
        </w:tc>
      </w:tr>
      <w:tr>
        <w:trPr>
          <w:trHeight w:val="163"/>
        </w:trPr>
        <w:tc>
          <w:tcPr>
            <w:tcW w:w="222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Tech Services</w:t>
            </w:r>
          </w:p>
        </w:tc>
        <w:tc>
          <w:tcPr>
            <w:tcW w:w="9020" w:type="dxa"/>
            <w:vAlign w:val="bottom"/>
            <w:shd w:val="clear" w:color="auto" w:fill="CEFFE7"/>
          </w:tcPr>
          <w:p>
            <w:pPr>
              <w:ind w:left="640"/>
              <w:spacing w:after="0" w:line="163"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 services to large</w:t>
            </w:r>
          </w:p>
        </w:tc>
      </w:tr>
      <w:tr>
        <w:trPr>
          <w:trHeight w:val="162"/>
        </w:trPr>
        <w:tc>
          <w:tcPr>
            <w:tcW w:w="1360" w:type="dxa"/>
            <w:vAlign w:val="bottom"/>
            <w:shd w:val="clear" w:color="auto" w:fill="CEFFE7"/>
          </w:tcPr>
          <w:p>
            <w:pPr>
              <w:spacing w:after="0"/>
              <w:rPr>
                <w:sz w:val="14"/>
                <w:szCs w:val="14"/>
                <w:color w:val="auto"/>
              </w:rPr>
            </w:pPr>
          </w:p>
        </w:tc>
        <w:tc>
          <w:tcPr>
            <w:tcW w:w="860" w:type="dxa"/>
            <w:vAlign w:val="bottom"/>
            <w:shd w:val="clear" w:color="auto" w:fill="CEFFE7"/>
          </w:tcPr>
          <w:p>
            <w:pPr>
              <w:spacing w:after="0"/>
              <w:rPr>
                <w:sz w:val="14"/>
                <w:szCs w:val="14"/>
                <w:color w:val="auto"/>
              </w:rPr>
            </w:pPr>
          </w:p>
        </w:tc>
        <w:tc>
          <w:tcPr>
            <w:tcW w:w="9020" w:type="dxa"/>
            <w:vAlign w:val="bottom"/>
            <w:shd w:val="clear" w:color="auto" w:fill="CEFFE7"/>
          </w:tcPr>
          <w:p>
            <w:pPr>
              <w:ind w:left="640"/>
              <w:spacing w:after="0" w:line="162" w:lineRule="exact"/>
              <w:rPr>
                <w:sz w:val="20"/>
                <w:szCs w:val="20"/>
                <w:color w:val="auto"/>
              </w:rPr>
            </w:pPr>
            <w:r>
              <w:rPr>
                <w:rFonts w:ascii="Arial" w:cs="Arial" w:eastAsia="Arial" w:hAnsi="Arial"/>
                <w:sz w:val="16"/>
                <w:szCs w:val="16"/>
                <w:color w:val="auto"/>
              </w:rPr>
              <w:t>industrial customers of our electric utilities, and 2) serve gas transportation customers throughout its service territory</w:t>
            </w:r>
          </w:p>
        </w:tc>
      </w:tr>
      <w:tr>
        <w:trPr>
          <w:trHeight w:val="216"/>
        </w:trPr>
        <w:tc>
          <w:tcPr>
            <w:tcW w:w="13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by constructing and maintaining customer-owned gas infrastructure facilities, typically through one-time contracts.</w:t>
            </w:r>
          </w:p>
        </w:tc>
      </w:tr>
      <w:tr>
        <w:trPr>
          <w:trHeight w:val="215"/>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Utilities</w:t>
            </w:r>
          </w:p>
        </w:tc>
        <w:tc>
          <w:tcPr>
            <w:tcW w:w="9020" w:type="dxa"/>
            <w:vAlign w:val="bottom"/>
          </w:tcPr>
          <w:p>
            <w:pPr>
              <w:ind w:left="640"/>
              <w:spacing w:after="0"/>
              <w:rPr>
                <w:sz w:val="20"/>
                <w:szCs w:val="20"/>
                <w:color w:val="auto"/>
              </w:rPr>
            </w:pPr>
            <w:r>
              <w:rPr>
                <w:rFonts w:ascii="Arial" w:cs="Arial" w:eastAsia="Arial" w:hAnsi="Arial"/>
                <w:sz w:val="16"/>
                <w:szCs w:val="16"/>
                <w:color w:val="auto"/>
              </w:rPr>
              <w:t>Black Hills’ Electric and Gas Utilities</w:t>
            </w:r>
          </w:p>
        </w:tc>
      </w:tr>
      <w:tr>
        <w:trPr>
          <w:trHeight w:val="217"/>
        </w:trPr>
        <w:tc>
          <w:tcPr>
            <w:tcW w:w="2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Wind Capacity Factor</w:t>
            </w: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 potential.</w:t>
            </w:r>
          </w:p>
        </w:tc>
      </w:tr>
      <w:tr>
        <w:trPr>
          <w:trHeight w:val="162"/>
        </w:trPr>
        <w:tc>
          <w:tcPr>
            <w:tcW w:w="2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Winter Storm Uri</w:t>
            </w: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February 2021 winter weather event that caused extreme cold temperatures in the central United States and led to</w:t>
            </w:r>
          </w:p>
        </w:tc>
      </w:tr>
      <w:tr>
        <w:trPr>
          <w:trHeight w:val="215"/>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unprecedented fluctuations in customer demand and market pricing for natural gas and energy.</w:t>
            </w:r>
          </w:p>
        </w:tc>
      </w:tr>
      <w:tr>
        <w:trPr>
          <w:trHeight w:val="217"/>
        </w:trPr>
        <w:tc>
          <w:tcPr>
            <w:tcW w:w="22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WPSC</w:t>
            </w: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Wyoming Public Service Commission</w:t>
            </w:r>
          </w:p>
        </w:tc>
      </w:tr>
      <w:tr>
        <w:trPr>
          <w:trHeight w:val="162"/>
        </w:trPr>
        <w:tc>
          <w:tcPr>
            <w:tcW w:w="2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Wygen II</w:t>
            </w: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A mine-mouth, coal-fired power plant owned by Wyoming Electric with a total capacity of 95 MW located at our</w:t>
            </w:r>
          </w:p>
        </w:tc>
      </w:tr>
      <w:tr>
        <w:trPr>
          <w:trHeight w:val="215"/>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Gillette, Wyoming energy complex.</w:t>
            </w:r>
          </w:p>
        </w:tc>
      </w:tr>
      <w:tr>
        <w:trPr>
          <w:trHeight w:val="163"/>
        </w:trPr>
        <w:tc>
          <w:tcPr>
            <w:tcW w:w="2220" w:type="dxa"/>
            <w:vAlign w:val="bottom"/>
            <w:gridSpan w:val="2"/>
            <w:shd w:val="clear" w:color="auto" w:fill="CEFFE7"/>
          </w:tcPr>
          <w:p>
            <w:pPr>
              <w:ind w:left="20"/>
              <w:spacing w:after="0" w:line="163" w:lineRule="exact"/>
              <w:rPr>
                <w:sz w:val="20"/>
                <w:szCs w:val="20"/>
                <w:color w:val="auto"/>
              </w:rPr>
            </w:pPr>
            <w:r>
              <w:rPr>
                <w:rFonts w:ascii="Arial" w:cs="Arial" w:eastAsia="Arial" w:hAnsi="Arial"/>
                <w:sz w:val="16"/>
                <w:szCs w:val="16"/>
                <w:color w:val="auto"/>
              </w:rPr>
              <w:t>Wyoming Electric</w:t>
            </w:r>
          </w:p>
        </w:tc>
        <w:tc>
          <w:tcPr>
            <w:tcW w:w="9020" w:type="dxa"/>
            <w:vAlign w:val="bottom"/>
            <w:shd w:val="clear" w:color="auto" w:fill="CEFFE7"/>
          </w:tcPr>
          <w:p>
            <w:pPr>
              <w:ind w:left="640"/>
              <w:spacing w:after="0" w:line="163"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216"/>
        </w:trPr>
        <w:tc>
          <w:tcPr>
            <w:tcW w:w="13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9020" w:type="dxa"/>
            <w:vAlign w:val="bottom"/>
            <w:shd w:val="clear" w:color="auto" w:fill="CEFFE7"/>
          </w:tcPr>
          <w:p>
            <w:pPr>
              <w:ind w:left="640"/>
              <w:spacing w:after="0"/>
              <w:rPr>
                <w:sz w:val="20"/>
                <w:szCs w:val="20"/>
                <w:color w:val="auto"/>
              </w:rPr>
            </w:pPr>
            <w:r>
              <w:rPr>
                <w:rFonts w:ascii="Arial" w:cs="Arial" w:eastAsia="Arial" w:hAnsi="Arial"/>
                <w:sz w:val="16"/>
                <w:szCs w:val="16"/>
                <w:color w:val="auto"/>
              </w:rPr>
              <w:t>electric service to customers in the Cheyenne, Wyoming area (doing business as Black Hills Energy).</w:t>
            </w:r>
          </w:p>
        </w:tc>
      </w:tr>
      <w:tr>
        <w:trPr>
          <w:trHeight w:val="162"/>
        </w:trPr>
        <w:tc>
          <w:tcPr>
            <w:tcW w:w="22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Wyoming Gas</w:t>
            </w:r>
          </w:p>
        </w:tc>
        <w:tc>
          <w:tcPr>
            <w:tcW w:w="9020" w:type="dxa"/>
            <w:vAlign w:val="bottom"/>
          </w:tcPr>
          <w:p>
            <w:pPr>
              <w:ind w:left="640"/>
              <w:spacing w:after="0" w:line="162" w:lineRule="exact"/>
              <w:rPr>
                <w:sz w:val="20"/>
                <w:szCs w:val="20"/>
                <w:color w:val="auto"/>
              </w:rPr>
            </w:pPr>
            <w:r>
              <w:rPr>
                <w:rFonts w:ascii="Arial" w:cs="Arial" w:eastAsia="Arial" w:hAnsi="Arial"/>
                <w:sz w:val="16"/>
                <w:szCs w:val="16"/>
                <w:color w:val="auto"/>
              </w:rPr>
              <w:t>Black Hills Wyoming Gas, LLC, an indirect and wholly-owned subsidiary of Black Hills Utility Holdings, providing</w:t>
            </w:r>
          </w:p>
        </w:tc>
      </w:tr>
      <w:tr>
        <w:trPr>
          <w:trHeight w:val="215"/>
        </w:trPr>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64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534"/>
        </w:trPr>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20" w:type="dxa"/>
            <w:vAlign w:val="bottom"/>
          </w:tcPr>
          <w:p>
            <w:pPr>
              <w:ind w:left="2000"/>
              <w:spacing w:after="0"/>
              <w:rPr>
                <w:sz w:val="20"/>
                <w:szCs w:val="20"/>
                <w:color w:val="auto"/>
              </w:rPr>
            </w:pPr>
            <w:r>
              <w:rPr>
                <w:rFonts w:ascii="Arial" w:cs="Arial" w:eastAsia="Arial" w:hAnsi="Arial"/>
                <w:sz w:val="16"/>
                <w:szCs w:val="16"/>
                <w:b w:val="1"/>
                <w:bCs w:val="1"/>
                <w:color w:val="auto"/>
              </w:rPr>
              <w:t>FORWARD-LOOKING INFORMATION</w:t>
            </w:r>
          </w:p>
        </w:tc>
      </w:tr>
    </w:tbl>
    <w:p>
      <w:pPr>
        <w:spacing w:after="0" w:line="22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This Quarterly Report on Form 10-Q includes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We make these forward-looking statements in reliance on the safe harbor protections provided under the Private Securities Litigation Reform Act of 1995.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2021 Annual Report on Form 10-K, Part II,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of this Quarterly Report on Form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10-Q and other reports that we file with the SEC from time to time, and the following:</w:t>
      </w:r>
    </w:p>
    <w:p>
      <w:pPr>
        <w:spacing w:after="0" w:line="246" w:lineRule="exact"/>
        <w:rPr>
          <w:sz w:val="20"/>
          <w:szCs w:val="20"/>
          <w:color w:val="auto"/>
        </w:rPr>
      </w:pPr>
    </w:p>
    <w:p>
      <w:pPr>
        <w:ind w:left="340" w:right="320" w:hanging="332"/>
        <w:spacing w:after="0" w:line="266" w:lineRule="auto"/>
        <w:tabs>
          <w:tab w:leader="none" w:pos="32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adequate cost recovery for our utility operations through regulatory proceedings and favorable rulings on periodic applications to recover costs for capital additions, plant retirements and decommissioning, fuel, transmission, purchased power, and other operating costs and the timing in which new rates would go into effect;</w:t>
      </w:r>
    </w:p>
    <w:p>
      <w:pPr>
        <w:spacing w:after="0" w:line="21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complete our capital program in a cost-effective and timely manner;</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on our strategy;</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execute our financing plans;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our greenhouse gas emissions intensity reduction goals;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Board of Directors’ approval of any future quarterly dividends;</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future governmental regulation;</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overcome the impacts of supply chain disruptions on availability and cost of materials;</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inflation and volatile energy prices; and</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discussed from time to time in our filings with the SEC.</w:t>
      </w:r>
    </w:p>
    <w:p>
      <w:pPr>
        <w:spacing w:after="0" w:line="248"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(unaudited)</w:t>
            </w:r>
          </w:p>
        </w:tc>
        <w:tc>
          <w:tcPr>
            <w:tcW w:w="420" w:type="dxa"/>
            <w:vAlign w:val="bottom"/>
          </w:tcPr>
          <w:p>
            <w:pPr>
              <w:spacing w:after="0"/>
              <w:rPr>
                <w:sz w:val="18"/>
                <w:szCs w:val="18"/>
                <w:color w:val="auto"/>
              </w:rPr>
            </w:pPr>
          </w:p>
        </w:tc>
        <w:tc>
          <w:tcPr>
            <w:tcW w:w="4060" w:type="dxa"/>
            <w:vAlign w:val="bottom"/>
            <w:gridSpan w:val="3"/>
          </w:tcPr>
          <w:p>
            <w:pPr>
              <w:jc w:val="right"/>
              <w:ind w:right="101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17"/>
        </w:trPr>
        <w:tc>
          <w:tcPr>
            <w:tcW w:w="67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2022</w:t>
            </w: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60" w:type="dxa"/>
            <w:vAlign w:val="bottom"/>
            <w:gridSpan w:val="3"/>
          </w:tcPr>
          <w:p>
            <w:pPr>
              <w:jc w:val="right"/>
              <w:ind w:right="659"/>
              <w:spacing w:after="0"/>
              <w:rPr>
                <w:sz w:val="20"/>
                <w:szCs w:val="20"/>
                <w:color w:val="auto"/>
              </w:rPr>
            </w:pPr>
            <w:r>
              <w:rPr>
                <w:rFonts w:ascii="Arial" w:cs="Arial" w:eastAsia="Arial" w:hAnsi="Arial"/>
                <w:sz w:val="16"/>
                <w:szCs w:val="16"/>
                <w:color w:val="auto"/>
              </w:rPr>
              <w:t>(in thousands, except per share amounts)</w:t>
            </w:r>
          </w:p>
        </w:tc>
        <w:tc>
          <w:tcPr>
            <w:tcW w:w="0" w:type="dxa"/>
            <w:vAlign w:val="bottom"/>
          </w:tcPr>
          <w:p>
            <w:pPr>
              <w:spacing w:after="0"/>
              <w:rPr>
                <w:sz w:val="1"/>
                <w:szCs w:val="1"/>
                <w:color w:val="auto"/>
              </w:rPr>
            </w:pPr>
          </w:p>
        </w:tc>
      </w:tr>
      <w:tr>
        <w:trPr>
          <w:trHeight w:val="150"/>
        </w:trPr>
        <w:tc>
          <w:tcPr>
            <w:tcW w:w="6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4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823,570</w:t>
            </w:r>
          </w:p>
        </w:tc>
        <w:tc>
          <w:tcPr>
            <w:tcW w:w="52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633,432</w:t>
            </w:r>
          </w:p>
        </w:tc>
        <w:tc>
          <w:tcPr>
            <w:tcW w:w="0" w:type="dxa"/>
            <w:vAlign w:val="bottom"/>
          </w:tcPr>
          <w:p>
            <w:pPr>
              <w:spacing w:after="0"/>
              <w:rPr>
                <w:sz w:val="1"/>
                <w:szCs w:val="1"/>
                <w:color w:val="auto"/>
              </w:rPr>
            </w:pPr>
          </w:p>
        </w:tc>
      </w:tr>
      <w:tr>
        <w:trPr>
          <w:trHeight w:val="129"/>
        </w:trPr>
        <w:tc>
          <w:tcPr>
            <w:tcW w:w="6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shd w:val="clear" w:color="auto" w:fill="CEFFE7"/>
          </w:tcPr>
          <w:p>
            <w:pPr>
              <w:spacing w:after="0"/>
              <w:rPr>
                <w:sz w:val="18"/>
                <w:szCs w:val="18"/>
                <w:color w:val="auto"/>
              </w:rPr>
            </w:pPr>
          </w:p>
        </w:tc>
        <w:tc>
          <w:tcPr>
            <w:tcW w:w="1820" w:type="dxa"/>
            <w:vAlign w:val="bottom"/>
            <w:shd w:val="clear" w:color="auto" w:fill="CEFFE7"/>
          </w:tcPr>
          <w:p>
            <w:pPr>
              <w:spacing w:after="0"/>
              <w:rPr>
                <w:sz w:val="18"/>
                <w:szCs w:val="18"/>
                <w:color w:val="auto"/>
              </w:rPr>
            </w:pPr>
          </w:p>
        </w:tc>
        <w:tc>
          <w:tcPr>
            <w:tcW w:w="520" w:type="dxa"/>
            <w:vAlign w:val="bottom"/>
            <w:shd w:val="clear" w:color="auto" w:fill="CEFFE7"/>
          </w:tcPr>
          <w:p>
            <w:pPr>
              <w:spacing w:after="0"/>
              <w:rPr>
                <w:sz w:val="18"/>
                <w:szCs w:val="18"/>
                <w:color w:val="auto"/>
              </w:rPr>
            </w:pPr>
          </w:p>
        </w:tc>
        <w:tc>
          <w:tcPr>
            <w:tcW w:w="17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436,926</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293,147</w:t>
            </w:r>
          </w:p>
        </w:tc>
        <w:tc>
          <w:tcPr>
            <w:tcW w:w="0" w:type="dxa"/>
            <w:vAlign w:val="bottom"/>
          </w:tcPr>
          <w:p>
            <w:pPr>
              <w:spacing w:after="0"/>
              <w:rPr>
                <w:sz w:val="1"/>
                <w:szCs w:val="1"/>
                <w:color w:val="auto"/>
              </w:rPr>
            </w:pPr>
          </w:p>
        </w:tc>
      </w:tr>
      <w:tr>
        <w:trPr>
          <w:trHeight w:val="217"/>
        </w:trPr>
        <w:tc>
          <w:tcPr>
            <w:tcW w:w="6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420" w:type="dxa"/>
            <w:vAlign w:val="bottom"/>
            <w:shd w:val="clear" w:color="auto" w:fill="CEFFE7"/>
          </w:tcPr>
          <w:p>
            <w:pPr>
              <w:spacing w:after="0"/>
              <w:rPr>
                <w:sz w:val="18"/>
                <w:szCs w:val="18"/>
                <w:color w:val="auto"/>
              </w:rPr>
            </w:pPr>
          </w:p>
        </w:tc>
        <w:tc>
          <w:tcPr>
            <w:tcW w:w="1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136,132</w:t>
            </w:r>
          </w:p>
        </w:tc>
        <w:tc>
          <w:tcPr>
            <w:tcW w:w="520" w:type="dxa"/>
            <w:vAlign w:val="bottom"/>
            <w:shd w:val="clear" w:color="auto" w:fill="CEFFE7"/>
          </w:tcPr>
          <w:p>
            <w:pPr>
              <w:spacing w:after="0"/>
              <w:rPr>
                <w:sz w:val="18"/>
                <w:szCs w:val="18"/>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129,679</w:t>
            </w:r>
          </w:p>
        </w:tc>
        <w:tc>
          <w:tcPr>
            <w:tcW w:w="0" w:type="dxa"/>
            <w:vAlign w:val="bottom"/>
          </w:tcPr>
          <w:p>
            <w:pPr>
              <w:spacing w:after="0"/>
              <w:rPr>
                <w:sz w:val="1"/>
                <w:szCs w:val="1"/>
                <w:color w:val="auto"/>
              </w:rPr>
            </w:pPr>
          </w:p>
        </w:tc>
      </w:tr>
      <w:tr>
        <w:trPr>
          <w:trHeight w:val="242"/>
        </w:trPr>
        <w:tc>
          <w:tcPr>
            <w:tcW w:w="676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4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60,463</w:t>
            </w:r>
          </w:p>
        </w:tc>
        <w:tc>
          <w:tcPr>
            <w:tcW w:w="5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57,269</w:t>
            </w:r>
          </w:p>
        </w:tc>
        <w:tc>
          <w:tcPr>
            <w:tcW w:w="0" w:type="dxa"/>
            <w:vAlign w:val="bottom"/>
          </w:tcPr>
          <w:p>
            <w:pPr>
              <w:spacing w:after="0"/>
              <w:rPr>
                <w:sz w:val="1"/>
                <w:szCs w:val="1"/>
                <w:color w:val="auto"/>
              </w:rPr>
            </w:pPr>
          </w:p>
        </w:tc>
      </w:tr>
      <w:tr>
        <w:trPr>
          <w:trHeight w:val="217"/>
        </w:trPr>
        <w:tc>
          <w:tcPr>
            <w:tcW w:w="6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420" w:type="dxa"/>
            <w:vAlign w:val="bottom"/>
            <w:tcBorders>
              <w:bottom w:val="single" w:sz="8" w:color="auto"/>
            </w:tcBorders>
            <w:shd w:val="clear" w:color="auto" w:fill="CEFFE7"/>
          </w:tcPr>
          <w:p>
            <w:pPr>
              <w:spacing w:after="0"/>
              <w:rPr>
                <w:sz w:val="18"/>
                <w:szCs w:val="18"/>
                <w:color w:val="auto"/>
              </w:rPr>
            </w:pP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16,696</w:t>
            </w:r>
          </w:p>
        </w:tc>
        <w:tc>
          <w:tcPr>
            <w:tcW w:w="52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15,022</w:t>
            </w:r>
          </w:p>
        </w:tc>
        <w:tc>
          <w:tcPr>
            <w:tcW w:w="0" w:type="dxa"/>
            <w:vAlign w:val="bottom"/>
          </w:tcPr>
          <w:p>
            <w:pPr>
              <w:spacing w:after="0"/>
              <w:rPr>
                <w:sz w:val="1"/>
                <w:szCs w:val="1"/>
                <w:color w:val="auto"/>
              </w:rPr>
            </w:pPr>
          </w:p>
        </w:tc>
      </w:tr>
      <w:tr>
        <w:trPr>
          <w:trHeight w:val="209"/>
        </w:trPr>
        <w:tc>
          <w:tcPr>
            <w:tcW w:w="6760" w:type="dxa"/>
            <w:vAlign w:val="bottom"/>
          </w:tcPr>
          <w:p>
            <w:pPr>
              <w:ind w:left="480"/>
              <w:spacing w:after="0"/>
              <w:rPr>
                <w:sz w:val="20"/>
                <w:szCs w:val="20"/>
                <w:color w:val="auto"/>
              </w:rPr>
            </w:pPr>
            <w:r>
              <w:rPr>
                <w:rFonts w:ascii="Arial" w:cs="Arial" w:eastAsia="Arial" w:hAnsi="Arial"/>
                <w:sz w:val="16"/>
                <w:szCs w:val="16"/>
                <w:color w:val="auto"/>
              </w:rPr>
              <w:t>Total operating expenses</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650,217</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495,117</w:t>
            </w:r>
          </w:p>
        </w:tc>
        <w:tc>
          <w:tcPr>
            <w:tcW w:w="0" w:type="dxa"/>
            <w:vAlign w:val="bottom"/>
          </w:tcPr>
          <w:p>
            <w:pPr>
              <w:spacing w:after="0"/>
              <w:rPr>
                <w:sz w:val="1"/>
                <w:szCs w:val="1"/>
                <w:color w:val="auto"/>
              </w:rPr>
            </w:pPr>
          </w:p>
        </w:tc>
      </w:tr>
      <w:tr>
        <w:trPr>
          <w:trHeight w:val="149"/>
        </w:trPr>
        <w:tc>
          <w:tcPr>
            <w:tcW w:w="6760" w:type="dxa"/>
            <w:vAlign w:val="bottom"/>
            <w:shd w:val="clear" w:color="auto" w:fill="CEFFE7"/>
          </w:tcPr>
          <w:p>
            <w:pPr>
              <w:spacing w:after="0"/>
              <w:rPr>
                <w:sz w:val="12"/>
                <w:szCs w:val="12"/>
                <w:color w:val="auto"/>
              </w:rPr>
            </w:pPr>
          </w:p>
        </w:tc>
        <w:tc>
          <w:tcPr>
            <w:tcW w:w="420" w:type="dxa"/>
            <w:vAlign w:val="bottom"/>
            <w:shd w:val="clear" w:color="auto" w:fill="CEFFE7"/>
          </w:tcPr>
          <w:p>
            <w:pPr>
              <w:spacing w:after="0"/>
              <w:rPr>
                <w:sz w:val="12"/>
                <w:szCs w:val="12"/>
                <w:color w:val="auto"/>
              </w:rPr>
            </w:pPr>
          </w:p>
        </w:tc>
        <w:tc>
          <w:tcPr>
            <w:tcW w:w="1820" w:type="dxa"/>
            <w:vAlign w:val="bottom"/>
            <w:shd w:val="clear" w:color="auto" w:fill="CEFFE7"/>
          </w:tcPr>
          <w:p>
            <w:pPr>
              <w:spacing w:after="0"/>
              <w:rPr>
                <w:sz w:val="12"/>
                <w:szCs w:val="12"/>
                <w:color w:val="auto"/>
              </w:rPr>
            </w:pPr>
          </w:p>
        </w:tc>
        <w:tc>
          <w:tcPr>
            <w:tcW w:w="520" w:type="dxa"/>
            <w:vAlign w:val="bottom"/>
            <w:shd w:val="clear" w:color="auto" w:fill="CEFFE7"/>
          </w:tcPr>
          <w:p>
            <w:pPr>
              <w:spacing w:after="0"/>
              <w:rPr>
                <w:sz w:val="12"/>
                <w:szCs w:val="12"/>
                <w:color w:val="auto"/>
              </w:rPr>
            </w:pPr>
          </w:p>
        </w:tc>
        <w:tc>
          <w:tcPr>
            <w:tcW w:w="1720" w:type="dxa"/>
            <w:vAlign w:val="bottom"/>
            <w:shd w:val="clear" w:color="auto" w:fill="CEFFE7"/>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7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173,353</w:t>
            </w: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138,315</w:t>
            </w:r>
          </w:p>
        </w:tc>
        <w:tc>
          <w:tcPr>
            <w:tcW w:w="0" w:type="dxa"/>
            <w:vAlign w:val="bottom"/>
          </w:tcPr>
          <w:p>
            <w:pPr>
              <w:spacing w:after="0"/>
              <w:rPr>
                <w:sz w:val="1"/>
                <w:szCs w:val="1"/>
                <w:color w:val="auto"/>
              </w:rPr>
            </w:pPr>
          </w:p>
        </w:tc>
      </w:tr>
      <w:tr>
        <w:trPr>
          <w:trHeight w:val="129"/>
        </w:trPr>
        <w:tc>
          <w:tcPr>
            <w:tcW w:w="6760" w:type="dxa"/>
            <w:vAlign w:val="bottom"/>
            <w:shd w:val="clear" w:color="auto" w:fill="CEFFE7"/>
          </w:tcPr>
          <w:p>
            <w:pPr>
              <w:spacing w:after="0"/>
              <w:rPr>
                <w:sz w:val="11"/>
                <w:szCs w:val="11"/>
                <w:color w:val="auto"/>
              </w:rPr>
            </w:pPr>
          </w:p>
        </w:tc>
        <w:tc>
          <w:tcPr>
            <w:tcW w:w="420" w:type="dxa"/>
            <w:vAlign w:val="bottom"/>
            <w:shd w:val="clear" w:color="auto" w:fill="CEFFE7"/>
          </w:tcPr>
          <w:p>
            <w:pPr>
              <w:spacing w:after="0"/>
              <w:rPr>
                <w:sz w:val="11"/>
                <w:szCs w:val="11"/>
                <w:color w:val="auto"/>
              </w:rPr>
            </w:pPr>
          </w:p>
        </w:tc>
        <w:tc>
          <w:tcPr>
            <w:tcW w:w="1820" w:type="dxa"/>
            <w:vAlign w:val="bottom"/>
            <w:shd w:val="clear" w:color="auto" w:fill="CEFFE7"/>
          </w:tcPr>
          <w:p>
            <w:pPr>
              <w:spacing w:after="0"/>
              <w:rPr>
                <w:sz w:val="11"/>
                <w:szCs w:val="11"/>
                <w:color w:val="auto"/>
              </w:rPr>
            </w:pPr>
          </w:p>
        </w:tc>
        <w:tc>
          <w:tcPr>
            <w:tcW w:w="520" w:type="dxa"/>
            <w:vAlign w:val="bottom"/>
            <w:shd w:val="clear" w:color="auto" w:fill="CEFFE7"/>
          </w:tcPr>
          <w:p>
            <w:pPr>
              <w:spacing w:after="0"/>
              <w:rPr>
                <w:sz w:val="11"/>
                <w:szCs w:val="11"/>
                <w:color w:val="auto"/>
              </w:rPr>
            </w:pPr>
          </w:p>
        </w:tc>
        <w:tc>
          <w:tcPr>
            <w:tcW w:w="1720" w:type="dxa"/>
            <w:vAlign w:val="bottom"/>
            <w:shd w:val="clear" w:color="auto" w:fill="CEFFE7"/>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760" w:type="dxa"/>
            <w:vAlign w:val="bottom"/>
            <w:shd w:val="clear" w:color="auto" w:fill="CEFFE7"/>
          </w:tcPr>
          <w:p>
            <w:pPr>
              <w:ind w:left="20"/>
              <w:spacing w:after="0" w:line="163" w:lineRule="exact"/>
              <w:rPr>
                <w:sz w:val="20"/>
                <w:szCs w:val="20"/>
                <w:color w:val="auto"/>
              </w:rPr>
            </w:pPr>
            <w:r>
              <w:rPr>
                <w:rFonts w:ascii="Arial" w:cs="Arial" w:eastAsia="Arial" w:hAnsi="Arial"/>
                <w:sz w:val="16"/>
                <w:szCs w:val="16"/>
                <w:color w:val="auto"/>
              </w:rPr>
              <w:t>Interest expense incurred net of amounts capitalized (including amortization of debt issuance</w:t>
            </w:r>
          </w:p>
        </w:tc>
        <w:tc>
          <w:tcPr>
            <w:tcW w:w="420" w:type="dxa"/>
            <w:vAlign w:val="bottom"/>
            <w:shd w:val="clear" w:color="auto" w:fill="CEFFE7"/>
          </w:tcPr>
          <w:p>
            <w:pPr>
              <w:spacing w:after="0"/>
              <w:rPr>
                <w:sz w:val="14"/>
                <w:szCs w:val="14"/>
                <w:color w:val="auto"/>
              </w:rPr>
            </w:pPr>
          </w:p>
        </w:tc>
        <w:tc>
          <w:tcPr>
            <w:tcW w:w="1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(38,821)</w:t>
            </w:r>
          </w:p>
        </w:tc>
        <w:tc>
          <w:tcPr>
            <w:tcW w:w="520" w:type="dxa"/>
            <w:vAlign w:val="bottom"/>
            <w:shd w:val="clear" w:color="auto" w:fill="CEFFE7"/>
          </w:tcPr>
          <w:p>
            <w:pPr>
              <w:spacing w:after="0"/>
              <w:rPr>
                <w:sz w:val="14"/>
                <w:szCs w:val="14"/>
                <w:color w:val="auto"/>
              </w:rPr>
            </w:pPr>
          </w:p>
        </w:tc>
        <w:tc>
          <w:tcPr>
            <w:tcW w:w="17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(37,825)</w:t>
            </w:r>
          </w:p>
        </w:tc>
        <w:tc>
          <w:tcPr>
            <w:tcW w:w="0" w:type="dxa"/>
            <w:vAlign w:val="bottom"/>
          </w:tcPr>
          <w:p>
            <w:pPr>
              <w:spacing w:after="0"/>
              <w:rPr>
                <w:sz w:val="1"/>
                <w:szCs w:val="1"/>
                <w:color w:val="auto"/>
              </w:rPr>
            </w:pPr>
          </w:p>
        </w:tc>
      </w:tr>
      <w:tr>
        <w:trPr>
          <w:trHeight w:val="216"/>
        </w:trPr>
        <w:tc>
          <w:tcPr>
            <w:tcW w:w="6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costs, premiums and discounts)</w:t>
            </w:r>
          </w:p>
        </w:tc>
        <w:tc>
          <w:tcPr>
            <w:tcW w:w="420" w:type="dxa"/>
            <w:vAlign w:val="bottom"/>
            <w:shd w:val="clear" w:color="auto" w:fill="CEFFE7"/>
          </w:tcPr>
          <w:p>
            <w:pPr>
              <w:spacing w:after="0"/>
              <w:rPr>
                <w:sz w:val="18"/>
                <w:szCs w:val="18"/>
                <w:color w:val="auto"/>
              </w:rPr>
            </w:pPr>
          </w:p>
        </w:tc>
        <w:tc>
          <w:tcPr>
            <w:tcW w:w="1820" w:type="dxa"/>
            <w:vAlign w:val="bottom"/>
            <w:vMerge w:val="continue"/>
            <w:shd w:val="clear" w:color="auto" w:fill="CEFFE7"/>
          </w:tcPr>
          <w:p>
            <w:pPr>
              <w:spacing w:after="0"/>
              <w:rPr>
                <w:sz w:val="18"/>
                <w:szCs w:val="18"/>
                <w:color w:val="auto"/>
              </w:rPr>
            </w:pPr>
          </w:p>
        </w:tc>
        <w:tc>
          <w:tcPr>
            <w:tcW w:w="520" w:type="dxa"/>
            <w:vAlign w:val="bottom"/>
            <w:shd w:val="clear" w:color="auto" w:fill="CEFFE7"/>
          </w:tcPr>
          <w:p>
            <w:pPr>
              <w:spacing w:after="0"/>
              <w:rPr>
                <w:sz w:val="18"/>
                <w:szCs w:val="18"/>
                <w:color w:val="auto"/>
              </w:rPr>
            </w:pPr>
          </w:p>
        </w:tc>
        <w:tc>
          <w:tcPr>
            <w:tcW w:w="172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276</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7"/>
        </w:trPr>
        <w:tc>
          <w:tcPr>
            <w:tcW w:w="6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Borders>
              <w:bottom w:val="single" w:sz="8" w:color="auto"/>
            </w:tcBorders>
            <w:shd w:val="clear" w:color="auto" w:fill="CEFFE7"/>
          </w:tcPr>
          <w:p>
            <w:pPr>
              <w:spacing w:after="0"/>
              <w:rPr>
                <w:sz w:val="18"/>
                <w:szCs w:val="18"/>
                <w:color w:val="auto"/>
              </w:rPr>
            </w:pP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704</w:t>
            </w:r>
          </w:p>
        </w:tc>
        <w:tc>
          <w:tcPr>
            <w:tcW w:w="52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9"/>
        </w:trPr>
        <w:tc>
          <w:tcPr>
            <w:tcW w:w="6760" w:type="dxa"/>
            <w:vAlign w:val="bottom"/>
            <w:tcBorders>
              <w:bottom w:val="single" w:sz="8" w:color="CEFFE7"/>
            </w:tcBorders>
          </w:tcPr>
          <w:p>
            <w:pPr>
              <w:ind w:left="480"/>
              <w:spacing w:after="0"/>
              <w:rPr>
                <w:sz w:val="20"/>
                <w:szCs w:val="20"/>
                <w:color w:val="auto"/>
              </w:rPr>
            </w:pPr>
            <w:r>
              <w:rPr>
                <w:rFonts w:ascii="Arial" w:cs="Arial" w:eastAsia="Arial" w:hAnsi="Arial"/>
                <w:sz w:val="16"/>
                <w:szCs w:val="16"/>
                <w:color w:val="auto"/>
              </w:rPr>
              <w:t>Total other income (expense)</w:t>
            </w: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(37,841)</w:t>
            </w: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(37,334)</w:t>
            </w:r>
          </w:p>
        </w:tc>
        <w:tc>
          <w:tcPr>
            <w:tcW w:w="0" w:type="dxa"/>
            <w:vAlign w:val="bottom"/>
          </w:tcPr>
          <w:p>
            <w:pPr>
              <w:spacing w:after="0"/>
              <w:rPr>
                <w:sz w:val="1"/>
                <w:szCs w:val="1"/>
                <w:color w:val="auto"/>
              </w:rPr>
            </w:pPr>
          </w:p>
        </w:tc>
      </w:tr>
      <w:tr>
        <w:trPr>
          <w:trHeight w:val="129"/>
        </w:trPr>
        <w:tc>
          <w:tcPr>
            <w:tcW w:w="6760" w:type="dxa"/>
            <w:vAlign w:val="bottom"/>
            <w:shd w:val="clear" w:color="auto" w:fill="CEFFE7"/>
          </w:tcPr>
          <w:p>
            <w:pPr>
              <w:spacing w:after="0"/>
              <w:rPr>
                <w:sz w:val="11"/>
                <w:szCs w:val="11"/>
                <w:color w:val="auto"/>
              </w:rPr>
            </w:pPr>
          </w:p>
        </w:tc>
        <w:tc>
          <w:tcPr>
            <w:tcW w:w="420" w:type="dxa"/>
            <w:vAlign w:val="bottom"/>
            <w:shd w:val="clear" w:color="auto" w:fill="CEFFE7"/>
          </w:tcPr>
          <w:p>
            <w:pPr>
              <w:spacing w:after="0"/>
              <w:rPr>
                <w:sz w:val="11"/>
                <w:szCs w:val="11"/>
                <w:color w:val="auto"/>
              </w:rPr>
            </w:pPr>
          </w:p>
        </w:tc>
        <w:tc>
          <w:tcPr>
            <w:tcW w:w="1820" w:type="dxa"/>
            <w:vAlign w:val="bottom"/>
            <w:shd w:val="clear" w:color="auto" w:fill="CEFFE7"/>
          </w:tcPr>
          <w:p>
            <w:pPr>
              <w:spacing w:after="0"/>
              <w:rPr>
                <w:sz w:val="11"/>
                <w:szCs w:val="11"/>
                <w:color w:val="auto"/>
              </w:rPr>
            </w:pPr>
          </w:p>
        </w:tc>
        <w:tc>
          <w:tcPr>
            <w:tcW w:w="520" w:type="dxa"/>
            <w:vAlign w:val="bottom"/>
            <w:shd w:val="clear" w:color="auto" w:fill="CEFFE7"/>
          </w:tcPr>
          <w:p>
            <w:pPr>
              <w:spacing w:after="0"/>
              <w:rPr>
                <w:sz w:val="11"/>
                <w:szCs w:val="11"/>
                <w:color w:val="auto"/>
              </w:rPr>
            </w:pPr>
          </w:p>
        </w:tc>
        <w:tc>
          <w:tcPr>
            <w:tcW w:w="1720" w:type="dxa"/>
            <w:vAlign w:val="bottom"/>
            <w:shd w:val="clear" w:color="auto" w:fill="CEFFE7"/>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135,512</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100,981</w:t>
            </w:r>
          </w:p>
        </w:tc>
        <w:tc>
          <w:tcPr>
            <w:tcW w:w="0" w:type="dxa"/>
            <w:vAlign w:val="bottom"/>
          </w:tcPr>
          <w:p>
            <w:pPr>
              <w:spacing w:after="0"/>
              <w:rPr>
                <w:sz w:val="1"/>
                <w:szCs w:val="1"/>
                <w:color w:val="auto"/>
              </w:rPr>
            </w:pPr>
          </w:p>
        </w:tc>
      </w:tr>
      <w:tr>
        <w:trPr>
          <w:trHeight w:val="217"/>
        </w:trPr>
        <w:tc>
          <w:tcPr>
            <w:tcW w:w="6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tcBorders>
              <w:bottom w:val="single" w:sz="8" w:color="auto"/>
            </w:tcBorders>
            <w:shd w:val="clear" w:color="auto" w:fill="CEFFE7"/>
          </w:tcPr>
          <w:p>
            <w:pPr>
              <w:spacing w:after="0"/>
              <w:rPr>
                <w:sz w:val="18"/>
                <w:szCs w:val="18"/>
                <w:color w:val="auto"/>
              </w:rPr>
            </w:pP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(14,488)</w:t>
            </w:r>
          </w:p>
        </w:tc>
        <w:tc>
          <w:tcPr>
            <w:tcW w:w="52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9"/>
        </w:trPr>
        <w:tc>
          <w:tcPr>
            <w:tcW w:w="67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121,024</w:t>
            </w: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100,487</w:t>
            </w:r>
          </w:p>
        </w:tc>
        <w:tc>
          <w:tcPr>
            <w:tcW w:w="0" w:type="dxa"/>
            <w:vAlign w:val="bottom"/>
          </w:tcPr>
          <w:p>
            <w:pPr>
              <w:spacing w:after="0"/>
              <w:rPr>
                <w:sz w:val="1"/>
                <w:szCs w:val="1"/>
                <w:color w:val="auto"/>
              </w:rPr>
            </w:pPr>
          </w:p>
        </w:tc>
      </w:tr>
      <w:tr>
        <w:trPr>
          <w:trHeight w:val="216"/>
        </w:trPr>
        <w:tc>
          <w:tcPr>
            <w:tcW w:w="6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420" w:type="dxa"/>
            <w:vAlign w:val="bottom"/>
            <w:tcBorders>
              <w:bottom w:val="single" w:sz="8" w:color="auto"/>
            </w:tcBorders>
            <w:shd w:val="clear" w:color="auto" w:fill="CEFFE7"/>
          </w:tcPr>
          <w:p>
            <w:pPr>
              <w:spacing w:after="0"/>
              <w:rPr>
                <w:sz w:val="18"/>
                <w:szCs w:val="18"/>
                <w:color w:val="auto"/>
              </w:rPr>
            </w:pP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(3,498)</w:t>
            </w:r>
          </w:p>
        </w:tc>
        <w:tc>
          <w:tcPr>
            <w:tcW w:w="52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(4,171)</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117,526</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96,316</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EFFE7"/>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760" w:type="dxa"/>
            <w:vAlign w:val="bottom"/>
            <w:shd w:val="clear" w:color="auto" w:fill="CEFFE7"/>
          </w:tcPr>
          <w:p>
            <w:pPr>
              <w:spacing w:after="0"/>
              <w:rPr>
                <w:sz w:val="10"/>
                <w:szCs w:val="10"/>
                <w:color w:val="auto"/>
              </w:rPr>
            </w:pPr>
          </w:p>
        </w:tc>
        <w:tc>
          <w:tcPr>
            <w:tcW w:w="420" w:type="dxa"/>
            <w:vAlign w:val="bottom"/>
            <w:shd w:val="clear" w:color="auto" w:fill="CEFFE7"/>
          </w:tcPr>
          <w:p>
            <w:pPr>
              <w:spacing w:after="0"/>
              <w:rPr>
                <w:sz w:val="10"/>
                <w:szCs w:val="10"/>
                <w:color w:val="auto"/>
              </w:rPr>
            </w:pPr>
          </w:p>
        </w:tc>
        <w:tc>
          <w:tcPr>
            <w:tcW w:w="1820" w:type="dxa"/>
            <w:vAlign w:val="bottom"/>
            <w:shd w:val="clear" w:color="auto" w:fill="CEFFE7"/>
          </w:tcPr>
          <w:p>
            <w:pPr>
              <w:spacing w:after="0"/>
              <w:rPr>
                <w:sz w:val="10"/>
                <w:szCs w:val="10"/>
                <w:color w:val="auto"/>
              </w:rPr>
            </w:pPr>
          </w:p>
        </w:tc>
        <w:tc>
          <w:tcPr>
            <w:tcW w:w="520" w:type="dxa"/>
            <w:vAlign w:val="bottom"/>
            <w:shd w:val="clear" w:color="auto" w:fill="CEFFE7"/>
          </w:tcPr>
          <w:p>
            <w:pPr>
              <w:spacing w:after="0"/>
              <w:rPr>
                <w:sz w:val="10"/>
                <w:szCs w:val="10"/>
                <w:color w:val="auto"/>
              </w:rPr>
            </w:pPr>
          </w:p>
        </w:tc>
        <w:tc>
          <w:tcPr>
            <w:tcW w:w="172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7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Earnings per share, Basic</w:t>
            </w:r>
          </w:p>
        </w:tc>
        <w:tc>
          <w:tcPr>
            <w:tcW w:w="4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1.82</w:t>
            </w:r>
          </w:p>
        </w:tc>
        <w:tc>
          <w:tcPr>
            <w:tcW w:w="520" w:type="dxa"/>
            <w:vAlign w:val="bottom"/>
            <w:tcBorders>
              <w:bottom w:val="single" w:sz="8" w:color="auto"/>
            </w:tcBorders>
            <w:shd w:val="clear" w:color="auto" w:fill="CEFFE7"/>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6760" w:type="dxa"/>
            <w:vAlign w:val="bottom"/>
            <w:tcBorders>
              <w:top w:val="single" w:sz="8" w:color="CEFFE7"/>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82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60" w:type="dxa"/>
            <w:vAlign w:val="bottom"/>
          </w:tcPr>
          <w:p>
            <w:pPr>
              <w:ind w:left="180"/>
              <w:spacing w:after="0"/>
              <w:rPr>
                <w:sz w:val="20"/>
                <w:szCs w:val="20"/>
                <w:color w:val="auto"/>
              </w:rPr>
            </w:pPr>
            <w:r>
              <w:rPr>
                <w:rFonts w:ascii="Arial" w:cs="Arial" w:eastAsia="Arial" w:hAnsi="Arial"/>
                <w:sz w:val="16"/>
                <w:szCs w:val="16"/>
                <w:color w:val="auto"/>
              </w:rPr>
              <w:t>Earnings per share, Diluted</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EFFE7"/>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760" w:type="dxa"/>
            <w:vAlign w:val="bottom"/>
            <w:shd w:val="clear" w:color="auto" w:fill="CEFFE7"/>
          </w:tcPr>
          <w:p>
            <w:pPr>
              <w:spacing w:after="0"/>
              <w:rPr>
                <w:sz w:val="10"/>
                <w:szCs w:val="10"/>
                <w:color w:val="auto"/>
              </w:rPr>
            </w:pPr>
          </w:p>
        </w:tc>
        <w:tc>
          <w:tcPr>
            <w:tcW w:w="420" w:type="dxa"/>
            <w:vAlign w:val="bottom"/>
            <w:shd w:val="clear" w:color="auto" w:fill="CEFFE7"/>
          </w:tcPr>
          <w:p>
            <w:pPr>
              <w:spacing w:after="0"/>
              <w:rPr>
                <w:sz w:val="10"/>
                <w:szCs w:val="10"/>
                <w:color w:val="auto"/>
              </w:rPr>
            </w:pPr>
          </w:p>
        </w:tc>
        <w:tc>
          <w:tcPr>
            <w:tcW w:w="1820" w:type="dxa"/>
            <w:vAlign w:val="bottom"/>
            <w:shd w:val="clear" w:color="auto" w:fill="CEFFE7"/>
          </w:tcPr>
          <w:p>
            <w:pPr>
              <w:spacing w:after="0"/>
              <w:rPr>
                <w:sz w:val="10"/>
                <w:szCs w:val="10"/>
                <w:color w:val="auto"/>
              </w:rPr>
            </w:pPr>
          </w:p>
        </w:tc>
        <w:tc>
          <w:tcPr>
            <w:tcW w:w="520" w:type="dxa"/>
            <w:vAlign w:val="bottom"/>
            <w:shd w:val="clear" w:color="auto" w:fill="CEFFE7"/>
          </w:tcPr>
          <w:p>
            <w:pPr>
              <w:spacing w:after="0"/>
              <w:rPr>
                <w:sz w:val="10"/>
                <w:szCs w:val="10"/>
                <w:color w:val="auto"/>
              </w:rPr>
            </w:pPr>
          </w:p>
        </w:tc>
        <w:tc>
          <w:tcPr>
            <w:tcW w:w="172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67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auto"/>
            </w:tcBorders>
            <w:shd w:val="clear" w:color="auto" w:fill="CEFFE7"/>
          </w:tcPr>
          <w:p>
            <w:pPr>
              <w:spacing w:after="0"/>
              <w:rPr>
                <w:sz w:val="20"/>
                <w:szCs w:val="20"/>
                <w:color w:val="auto"/>
              </w:rPr>
            </w:pP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64,565</w:t>
            </w:r>
          </w:p>
        </w:tc>
        <w:tc>
          <w:tcPr>
            <w:tcW w:w="520" w:type="dxa"/>
            <w:vAlign w:val="bottom"/>
            <w:tcBorders>
              <w:bottom w:val="single" w:sz="8" w:color="auto"/>
            </w:tcBorders>
            <w:shd w:val="clear" w:color="auto" w:fill="CEFFE7"/>
          </w:tcPr>
          <w:p>
            <w:pPr>
              <w:spacing w:after="0"/>
              <w:rPr>
                <w:sz w:val="20"/>
                <w:szCs w:val="20"/>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62,633</w:t>
            </w:r>
          </w:p>
        </w:tc>
        <w:tc>
          <w:tcPr>
            <w:tcW w:w="0" w:type="dxa"/>
            <w:vAlign w:val="bottom"/>
          </w:tcPr>
          <w:p>
            <w:pPr>
              <w:spacing w:after="0"/>
              <w:rPr>
                <w:sz w:val="1"/>
                <w:szCs w:val="1"/>
                <w:color w:val="auto"/>
              </w:rPr>
            </w:pPr>
          </w:p>
        </w:tc>
      </w:tr>
      <w:tr>
        <w:trPr>
          <w:trHeight w:val="20"/>
        </w:trPr>
        <w:tc>
          <w:tcPr>
            <w:tcW w:w="6760" w:type="dxa"/>
            <w:vAlign w:val="bottom"/>
            <w:tcBorders>
              <w:top w:val="single" w:sz="8" w:color="CEFFE7"/>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82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1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60" w:type="dxa"/>
            <w:vAlign w:val="bottom"/>
          </w:tcPr>
          <w:p>
            <w:pPr>
              <w:ind w:left="18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64,721</w:t>
            </w: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62,691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79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6560" w:type="dxa"/>
            <w:vAlign w:val="bottom"/>
          </w:tcPr>
          <w:p>
            <w:pPr>
              <w:ind w:left="3100"/>
              <w:spacing w:after="0"/>
              <w:rPr>
                <w:sz w:val="20"/>
                <w:szCs w:val="20"/>
                <w:color w:val="auto"/>
              </w:rPr>
            </w:pPr>
            <w:r>
              <w:rPr>
                <w:rFonts w:ascii="Arial" w:cs="Arial" w:eastAsia="Arial" w:hAnsi="Arial"/>
                <w:sz w:val="16"/>
                <w:szCs w:val="16"/>
                <w:b w:val="1"/>
                <w:bCs w:val="1"/>
                <w:color w:val="auto"/>
              </w:rPr>
              <w:t>BLACK HILLS CORPORATION</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822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rPr>
              <w:t>CONDENSED CONSOLIDATED STATEMENTS OF COMPREHENSIVE INCOME</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9"/>
        </w:trPr>
        <w:tc>
          <w:tcPr>
            <w:tcW w:w="792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320" w:type="dxa"/>
            <w:vAlign w:val="bottom"/>
          </w:tcPr>
          <w:p>
            <w:pPr>
              <w:spacing w:after="0"/>
              <w:rPr>
                <w:sz w:val="24"/>
                <w:szCs w:val="24"/>
                <w:color w:val="auto"/>
              </w:rPr>
            </w:pPr>
          </w:p>
        </w:tc>
        <w:tc>
          <w:tcPr>
            <w:tcW w:w="3000" w:type="dxa"/>
            <w:vAlign w:val="bottom"/>
            <w:gridSpan w:val="3"/>
          </w:tcPr>
          <w:p>
            <w:pPr>
              <w:jc w:val="right"/>
              <w:ind w:right="43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2022</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121,024</w:t>
            </w:r>
          </w:p>
        </w:tc>
        <w:tc>
          <w:tcPr>
            <w:tcW w:w="580" w:type="dxa"/>
            <w:vAlign w:val="bottom"/>
            <w:tcBorders>
              <w:bottom w:val="single" w:sz="8" w:color="auto"/>
            </w:tcBorders>
            <w:shd w:val="clear" w:color="auto" w:fill="CEFFE7"/>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100,487</w:t>
            </w:r>
          </w:p>
        </w:tc>
        <w:tc>
          <w:tcPr>
            <w:tcW w:w="0" w:type="dxa"/>
            <w:vAlign w:val="bottom"/>
          </w:tcPr>
          <w:p>
            <w:pPr>
              <w:spacing w:after="0"/>
              <w:rPr>
                <w:sz w:val="1"/>
                <w:szCs w:val="1"/>
                <w:color w:val="auto"/>
              </w:rPr>
            </w:pPr>
          </w:p>
        </w:tc>
      </w:tr>
      <w:tr>
        <w:trPr>
          <w:trHeight w:val="251"/>
        </w:trPr>
        <w:tc>
          <w:tcPr>
            <w:tcW w:w="136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20" w:type="dxa"/>
            <w:vAlign w:val="bottom"/>
            <w:shd w:val="clear" w:color="auto" w:fill="CEFFE7"/>
          </w:tcPr>
          <w:p>
            <w:pPr>
              <w:spacing w:after="0"/>
              <w:rPr>
                <w:sz w:val="18"/>
                <w:szCs w:val="18"/>
                <w:color w:val="auto"/>
              </w:rPr>
            </w:pPr>
          </w:p>
        </w:tc>
        <w:tc>
          <w:tcPr>
            <w:tcW w:w="1340" w:type="dxa"/>
            <w:vAlign w:val="bottom"/>
            <w:shd w:val="clear" w:color="auto" w:fill="CEFFE7"/>
          </w:tcPr>
          <w:p>
            <w:pPr>
              <w:spacing w:after="0"/>
              <w:rPr>
                <w:sz w:val="18"/>
                <w:szCs w:val="18"/>
                <w:color w:val="auto"/>
              </w:rPr>
            </w:pP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20" w:type="dxa"/>
            <w:vAlign w:val="bottom"/>
            <w:gridSpan w:val="2"/>
          </w:tcPr>
          <w:p>
            <w:pPr>
              <w:ind w:left="360"/>
              <w:spacing w:after="0" w:line="162" w:lineRule="exact"/>
              <w:rPr>
                <w:sz w:val="20"/>
                <w:szCs w:val="20"/>
                <w:color w:val="auto"/>
              </w:rPr>
            </w:pPr>
            <w:r>
              <w:rPr>
                <w:rFonts w:ascii="Arial" w:cs="Arial" w:eastAsia="Arial" w:hAnsi="Arial"/>
                <w:sz w:val="16"/>
                <w:szCs w:val="16"/>
                <w:color w:val="auto"/>
              </w:rPr>
              <w:t>Reclassification adjustments of benefit plan liability - prior service cost (net of tax of $6 and $9,</w:t>
            </w:r>
          </w:p>
        </w:tc>
        <w:tc>
          <w:tcPr>
            <w:tcW w:w="3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7920" w:type="dxa"/>
            <w:vAlign w:val="bottom"/>
            <w:gridSpan w:val="2"/>
          </w:tcPr>
          <w:p>
            <w:pPr>
              <w:ind w:left="360"/>
              <w:spacing w:after="0"/>
              <w:rPr>
                <w:sz w:val="20"/>
                <w:szCs w:val="20"/>
                <w:color w:val="auto"/>
              </w:rPr>
            </w:pPr>
            <w:r>
              <w:rPr>
                <w:rFonts w:ascii="Arial" w:cs="Arial" w:eastAsia="Arial" w:hAnsi="Arial"/>
                <w:sz w:val="16"/>
                <w:szCs w:val="16"/>
                <w:color w:val="auto"/>
              </w:rPr>
              <w:t>respectively)</w:t>
            </w:r>
          </w:p>
        </w:tc>
        <w:tc>
          <w:tcPr>
            <w:tcW w:w="3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Reclassification adjustments of benefit plan liability - net loss (net of tax of $(45) and $(217), respectively)</w:t>
            </w:r>
          </w:p>
        </w:tc>
        <w:tc>
          <w:tcPr>
            <w:tcW w:w="320" w:type="dxa"/>
            <w:vAlign w:val="bottom"/>
            <w:shd w:val="clear" w:color="auto" w:fill="CEFFE7"/>
          </w:tcPr>
          <w:p>
            <w:pPr>
              <w:spacing w:after="0"/>
              <w:rPr>
                <w:sz w:val="18"/>
                <w:szCs w:val="18"/>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w:t>
            </w:r>
          </w:p>
        </w:tc>
        <w:tc>
          <w:tcPr>
            <w:tcW w:w="58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5"/>
        </w:trPr>
        <w:tc>
          <w:tcPr>
            <w:tcW w:w="79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920" w:type="dxa"/>
            <w:vAlign w:val="bottom"/>
            <w:gridSpan w:val="2"/>
            <w:shd w:val="clear" w:color="auto" w:fill="CEFFE7"/>
          </w:tcPr>
          <w:p>
            <w:pPr>
              <w:ind w:left="360"/>
              <w:spacing w:after="0" w:line="163" w:lineRule="exact"/>
              <w:rPr>
                <w:sz w:val="20"/>
                <w:szCs w:val="20"/>
                <w:color w:val="auto"/>
              </w:rPr>
            </w:pPr>
            <w:r>
              <w:rPr>
                <w:rFonts w:ascii="Arial" w:cs="Arial" w:eastAsia="Arial" w:hAnsi="Arial"/>
                <w:sz w:val="16"/>
                <w:szCs w:val="16"/>
                <w:color w:val="auto"/>
              </w:rPr>
              <w:t>Reclassification of net realized (gains) losses on settled/amortized interest rate swaps (net of tax of</w:t>
            </w:r>
          </w:p>
        </w:tc>
        <w:tc>
          <w:tcPr>
            <w:tcW w:w="320" w:type="dxa"/>
            <w:vAlign w:val="bottom"/>
            <w:shd w:val="clear" w:color="auto" w:fill="CEFFE7"/>
          </w:tcPr>
          <w:p>
            <w:pPr>
              <w:spacing w:after="0"/>
              <w:rPr>
                <w:sz w:val="14"/>
                <w:szCs w:val="14"/>
                <w:color w:val="auto"/>
              </w:rPr>
            </w:pPr>
          </w:p>
        </w:tc>
        <w:tc>
          <w:tcPr>
            <w:tcW w:w="13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536</w:t>
            </w:r>
          </w:p>
        </w:tc>
        <w:tc>
          <w:tcPr>
            <w:tcW w:w="580" w:type="dxa"/>
            <w:vAlign w:val="bottom"/>
            <w:shd w:val="clear" w:color="auto" w:fill="CEFFE7"/>
          </w:tcPr>
          <w:p>
            <w:pPr>
              <w:spacing w:after="0"/>
              <w:rPr>
                <w:sz w:val="14"/>
                <w:szCs w:val="14"/>
                <w:color w:val="auto"/>
              </w:rPr>
            </w:pP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$(177) and $(190), respectively)</w:t>
            </w:r>
          </w:p>
        </w:tc>
        <w:tc>
          <w:tcPr>
            <w:tcW w:w="320" w:type="dxa"/>
            <w:vAlign w:val="bottom"/>
            <w:shd w:val="clear" w:color="auto" w:fill="CEFFE7"/>
          </w:tcPr>
          <w:p>
            <w:pPr>
              <w:spacing w:after="0"/>
              <w:rPr>
                <w:sz w:val="18"/>
                <w:szCs w:val="18"/>
                <w:color w:val="auto"/>
              </w:rPr>
            </w:pPr>
          </w:p>
        </w:tc>
        <w:tc>
          <w:tcPr>
            <w:tcW w:w="1340" w:type="dxa"/>
            <w:vAlign w:val="bottom"/>
            <w:vMerge w:val="continue"/>
            <w:shd w:val="clear" w:color="auto" w:fill="CEFFE7"/>
          </w:tcPr>
          <w:p>
            <w:pPr>
              <w:spacing w:after="0"/>
              <w:rPr>
                <w:sz w:val="18"/>
                <w:szCs w:val="18"/>
                <w:color w:val="auto"/>
              </w:rPr>
            </w:pPr>
          </w:p>
        </w:tc>
        <w:tc>
          <w:tcPr>
            <w:tcW w:w="580" w:type="dxa"/>
            <w:vAlign w:val="bottom"/>
            <w:shd w:val="clear" w:color="auto" w:fill="CEFFE7"/>
          </w:tcPr>
          <w:p>
            <w:pPr>
              <w:spacing w:after="0"/>
              <w:rPr>
                <w:sz w:val="18"/>
                <w:szCs w:val="18"/>
                <w:color w:val="auto"/>
              </w:rPr>
            </w:pPr>
          </w:p>
        </w:tc>
        <w:tc>
          <w:tcPr>
            <w:tcW w:w="108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20" w:type="dxa"/>
            <w:vAlign w:val="bottom"/>
            <w:gridSpan w:val="2"/>
          </w:tcPr>
          <w:p>
            <w:pPr>
              <w:ind w:left="360"/>
              <w:spacing w:after="0"/>
              <w:rPr>
                <w:sz w:val="20"/>
                <w:szCs w:val="20"/>
                <w:color w:val="auto"/>
              </w:rPr>
            </w:pPr>
            <w:r>
              <w:rPr>
                <w:rFonts w:ascii="Arial" w:cs="Arial" w:eastAsia="Arial" w:hAnsi="Arial"/>
                <w:sz w:val="16"/>
                <w:szCs w:val="16"/>
                <w:color w:val="auto"/>
              </w:rPr>
              <w:t>Net unrealized gains (losses) on commodity derivatives (net of tax of $(340) and $(35), respectively)</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1,047</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63"/>
        </w:trPr>
        <w:tc>
          <w:tcPr>
            <w:tcW w:w="7920" w:type="dxa"/>
            <w:vAlign w:val="bottom"/>
            <w:gridSpan w:val="2"/>
            <w:shd w:val="clear" w:color="auto" w:fill="CEFFE7"/>
          </w:tcPr>
          <w:p>
            <w:pPr>
              <w:ind w:left="360"/>
              <w:spacing w:after="0" w:line="163" w:lineRule="exact"/>
              <w:rPr>
                <w:sz w:val="20"/>
                <w:szCs w:val="20"/>
                <w:color w:val="auto"/>
              </w:rPr>
            </w:pPr>
            <w:r>
              <w:rPr>
                <w:rFonts w:ascii="Arial" w:cs="Arial" w:eastAsia="Arial" w:hAnsi="Arial"/>
                <w:sz w:val="16"/>
                <w:szCs w:val="16"/>
                <w:color w:val="auto"/>
              </w:rPr>
              <w:t>Reclassification of net realized (gains) losses on settled commodity derivatives (net of tax of $552 and</w:t>
            </w:r>
          </w:p>
        </w:tc>
        <w:tc>
          <w:tcPr>
            <w:tcW w:w="320" w:type="dxa"/>
            <w:vAlign w:val="bottom"/>
            <w:shd w:val="clear" w:color="auto" w:fill="CEFFE7"/>
          </w:tcPr>
          <w:p>
            <w:pPr>
              <w:spacing w:after="0"/>
              <w:rPr>
                <w:sz w:val="14"/>
                <w:szCs w:val="14"/>
                <w:color w:val="auto"/>
              </w:rPr>
            </w:pPr>
          </w:p>
        </w:tc>
        <w:tc>
          <w:tcPr>
            <w:tcW w:w="13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(1,702)</w:t>
            </w:r>
          </w:p>
        </w:tc>
        <w:tc>
          <w:tcPr>
            <w:tcW w:w="580" w:type="dxa"/>
            <w:vAlign w:val="bottom"/>
            <w:shd w:val="clear" w:color="auto" w:fill="CEFFE7"/>
          </w:tcPr>
          <w:p>
            <w:pPr>
              <w:spacing w:after="0"/>
              <w:rPr>
                <w:sz w:val="14"/>
                <w:szCs w:val="14"/>
                <w:color w:val="auto"/>
              </w:rPr>
            </w:pP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$(8), respectively)</w:t>
            </w:r>
          </w:p>
        </w:tc>
        <w:tc>
          <w:tcPr>
            <w:tcW w:w="32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vMerge w:val="continue"/>
            <w:shd w:val="clear" w:color="auto" w:fill="CEFFE7"/>
          </w:tcPr>
          <w:p>
            <w:pPr>
              <w:spacing w:after="0"/>
              <w:rPr>
                <w:sz w:val="18"/>
                <w:szCs w:val="18"/>
                <w:color w:val="auto"/>
              </w:rPr>
            </w:pPr>
          </w:p>
        </w:tc>
        <w:tc>
          <w:tcPr>
            <w:tcW w:w="58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Other comprehensive income, net of tax</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51"/>
        </w:trPr>
        <w:tc>
          <w:tcPr>
            <w:tcW w:w="1360" w:type="dxa"/>
            <w:vAlign w:val="bottom"/>
            <w:shd w:val="clear" w:color="auto" w:fill="CEFFE7"/>
          </w:tcPr>
          <w:p>
            <w:pPr>
              <w:spacing w:after="0"/>
              <w:rPr>
                <w:sz w:val="21"/>
                <w:szCs w:val="21"/>
                <w:color w:val="auto"/>
              </w:rPr>
            </w:pPr>
          </w:p>
        </w:tc>
        <w:tc>
          <w:tcPr>
            <w:tcW w:w="6560" w:type="dxa"/>
            <w:vAlign w:val="bottom"/>
            <w:shd w:val="clear" w:color="auto" w:fill="CEFFE7"/>
          </w:tcPr>
          <w:p>
            <w:pPr>
              <w:spacing w:after="0"/>
              <w:rPr>
                <w:sz w:val="21"/>
                <w:szCs w:val="21"/>
                <w:color w:val="auto"/>
              </w:rPr>
            </w:pPr>
          </w:p>
        </w:tc>
        <w:tc>
          <w:tcPr>
            <w:tcW w:w="320" w:type="dxa"/>
            <w:vAlign w:val="bottom"/>
            <w:shd w:val="clear" w:color="auto" w:fill="CEFFE7"/>
          </w:tcPr>
          <w:p>
            <w:pPr>
              <w:spacing w:after="0"/>
              <w:rPr>
                <w:sz w:val="21"/>
                <w:szCs w:val="21"/>
                <w:color w:val="auto"/>
              </w:rPr>
            </w:pPr>
          </w:p>
        </w:tc>
        <w:tc>
          <w:tcPr>
            <w:tcW w:w="1340" w:type="dxa"/>
            <w:vAlign w:val="bottom"/>
            <w:shd w:val="clear" w:color="auto" w:fill="CEFFE7"/>
          </w:tcPr>
          <w:p>
            <w:pPr>
              <w:spacing w:after="0"/>
              <w:rPr>
                <w:sz w:val="21"/>
                <w:szCs w:val="21"/>
                <w:color w:val="auto"/>
              </w:rPr>
            </w:pPr>
          </w:p>
        </w:tc>
        <w:tc>
          <w:tcPr>
            <w:tcW w:w="580" w:type="dxa"/>
            <w:vAlign w:val="bottom"/>
            <w:shd w:val="clear" w:color="auto" w:fill="CEFFE7"/>
          </w:tcPr>
          <w:p>
            <w:pPr>
              <w:spacing w:after="0"/>
              <w:rPr>
                <w:sz w:val="21"/>
                <w:szCs w:val="21"/>
                <w:color w:val="auto"/>
              </w:rPr>
            </w:pPr>
          </w:p>
        </w:tc>
        <w:tc>
          <w:tcPr>
            <w:tcW w:w="108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92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121,030</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101,505</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32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(3,498)</w:t>
            </w:r>
          </w:p>
        </w:tc>
        <w:tc>
          <w:tcPr>
            <w:tcW w:w="58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(4,171)</w:t>
            </w:r>
          </w:p>
        </w:tc>
        <w:tc>
          <w:tcPr>
            <w:tcW w:w="0" w:type="dxa"/>
            <w:vAlign w:val="bottom"/>
          </w:tcPr>
          <w:p>
            <w:pPr>
              <w:spacing w:after="0"/>
              <w:rPr>
                <w:sz w:val="1"/>
                <w:szCs w:val="1"/>
                <w:color w:val="auto"/>
              </w:rPr>
            </w:pPr>
          </w:p>
        </w:tc>
      </w:tr>
      <w:tr>
        <w:trPr>
          <w:trHeight w:val="210"/>
        </w:trPr>
        <w:tc>
          <w:tcPr>
            <w:tcW w:w="7920" w:type="dxa"/>
            <w:vAlign w:val="bottom"/>
            <w:gridSpan w:val="2"/>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117,532</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97,334</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9</w:t>
      </w:r>
      <w:r>
        <w:rPr>
          <w:rFonts w:ascii="Arial" w:cs="Arial" w:eastAsia="Arial" w:hAnsi="Arial"/>
          <w:sz w:val="14"/>
          <w:szCs w:val="14"/>
          <w:color w:val="auto"/>
        </w:rPr>
        <w:t xml:space="preserve"> for additional disclosures.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35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2220" w:type="dxa"/>
            <w:vAlign w:val="bottom"/>
          </w:tcPr>
          <w:p>
            <w:pPr>
              <w:spacing w:after="0"/>
              <w:rPr>
                <w:sz w:val="24"/>
                <w:szCs w:val="24"/>
                <w:color w:val="auto"/>
              </w:rPr>
            </w:pPr>
          </w:p>
        </w:tc>
        <w:tc>
          <w:tcPr>
            <w:tcW w:w="4000" w:type="dxa"/>
            <w:vAlign w:val="bottom"/>
            <w:gridSpan w:val="2"/>
          </w:tcPr>
          <w:p>
            <w:pPr>
              <w:jc w:val="right"/>
              <w:ind w:right="800"/>
              <w:spacing w:after="0"/>
              <w:rPr>
                <w:sz w:val="20"/>
                <w:szCs w:val="20"/>
                <w:color w:val="auto"/>
              </w:rPr>
            </w:pPr>
            <w:r>
              <w:rPr>
                <w:rFonts w:ascii="Arial" w:cs="Arial" w:eastAsia="Arial" w:hAnsi="Arial"/>
                <w:sz w:val="16"/>
                <w:szCs w:val="16"/>
                <w:b w:val="1"/>
                <w:bCs w:val="1"/>
                <w:color w:val="auto"/>
              </w:rPr>
              <w:t>BLACK HILLS CORPORATION</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00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CONDENSED CONSOLIDATED BALANCE SHEETS</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5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3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March 31, 2022</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09"/>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60" w:type="dxa"/>
            <w:vAlign w:val="bottom"/>
            <w:gridSpan w:val="3"/>
          </w:tcPr>
          <w:p>
            <w:pPr>
              <w:jc w:val="right"/>
              <w:ind w:right="1439"/>
              <w:spacing w:after="0"/>
              <w:rPr>
                <w:sz w:val="20"/>
                <w:szCs w:val="20"/>
                <w:color w:val="auto"/>
              </w:rPr>
            </w:pPr>
            <w:r>
              <w:rPr>
                <w:rFonts w:ascii="Arial" w:cs="Arial" w:eastAsia="Arial" w:hAnsi="Arial"/>
                <w:sz w:val="16"/>
                <w:szCs w:val="16"/>
                <w:color w:val="auto"/>
              </w:rPr>
              <w:t>(in thousands)</w:t>
            </w:r>
          </w:p>
        </w:tc>
      </w:tr>
      <w:tr>
        <w:trPr>
          <w:trHeight w:val="217"/>
        </w:trPr>
        <w:tc>
          <w:tcPr>
            <w:tcW w:w="1360" w:type="dxa"/>
            <w:vAlign w:val="bottom"/>
          </w:tcPr>
          <w:p>
            <w:pPr>
              <w:spacing w:after="0"/>
              <w:rPr>
                <w:sz w:val="18"/>
                <w:szCs w:val="18"/>
                <w:color w:val="auto"/>
              </w:rPr>
            </w:pPr>
          </w:p>
        </w:tc>
        <w:tc>
          <w:tcPr>
            <w:tcW w:w="6220" w:type="dxa"/>
            <w:vAlign w:val="bottom"/>
            <w:gridSpan w:val="3"/>
          </w:tcPr>
          <w:p>
            <w:pPr>
              <w:jc w:val="right"/>
              <w:ind w:right="3680"/>
              <w:spacing w:after="0"/>
              <w:rPr>
                <w:sz w:val="20"/>
                <w:szCs w:val="20"/>
                <w:color w:val="auto"/>
              </w:rPr>
            </w:pPr>
            <w:r>
              <w:rPr>
                <w:rFonts w:ascii="Arial" w:cs="Arial" w:eastAsia="Arial" w:hAnsi="Arial"/>
                <w:sz w:val="16"/>
                <w:szCs w:val="16"/>
                <w:b w:val="1"/>
                <w:bCs w:val="1"/>
                <w:color w:val="auto"/>
              </w:rPr>
              <w:t>ASSETS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Cash and cash equivalents</w:t>
            </w:r>
          </w:p>
        </w:tc>
        <w:tc>
          <w:tcPr>
            <w:tcW w:w="4000" w:type="dxa"/>
            <w:vAlign w:val="bottom"/>
            <w:gridSpan w:val="2"/>
            <w:shd w:val="clear" w:color="auto" w:fill="CEFFE7"/>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16,330</w:t>
            </w:r>
          </w:p>
        </w:tc>
        <w:tc>
          <w:tcPr>
            <w:tcW w:w="2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8,921</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Restricted cash and equivalents</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5,017</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4,889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Accounts receivable, net</w:t>
            </w:r>
          </w:p>
        </w:tc>
        <w:tc>
          <w:tcPr>
            <w:tcW w:w="358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6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383,790</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321,652</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Materials, supplies and fuel</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108,232</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150,979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Derivative assets, current</w:t>
            </w:r>
          </w:p>
        </w:tc>
        <w:tc>
          <w:tcPr>
            <w:tcW w:w="358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6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7,382</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4,373</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Income tax receivable, net</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17,991</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18,017</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Regulatory assets, current</w:t>
            </w:r>
          </w:p>
        </w:tc>
        <w:tc>
          <w:tcPr>
            <w:tcW w:w="358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6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265,496</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270,290</w:t>
            </w:r>
          </w:p>
        </w:tc>
      </w:tr>
      <w:tr>
        <w:trPr>
          <w:trHeight w:val="215"/>
        </w:trPr>
        <w:tc>
          <w:tcPr>
            <w:tcW w:w="358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Other current assets</w:t>
            </w:r>
          </w:p>
        </w:tc>
        <w:tc>
          <w:tcPr>
            <w:tcW w:w="3580" w:type="dxa"/>
            <w:vAlign w:val="bottom"/>
            <w:tcBorders>
              <w:bottom w:val="single" w:sz="8" w:color="CEFFE7"/>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45,070</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29,012</w:t>
            </w:r>
          </w:p>
        </w:tc>
      </w:tr>
      <w:tr>
        <w:trPr>
          <w:trHeight w:val="210"/>
        </w:trPr>
        <w:tc>
          <w:tcPr>
            <w:tcW w:w="3580" w:type="dxa"/>
            <w:vAlign w:val="bottom"/>
            <w:gridSpan w:val="2"/>
            <w:shd w:val="clear" w:color="auto" w:fill="CEFFE7"/>
          </w:tcPr>
          <w:p>
            <w:pPr>
              <w:ind w:left="560"/>
              <w:spacing w:after="0"/>
              <w:rPr>
                <w:sz w:val="20"/>
                <w:szCs w:val="20"/>
                <w:color w:val="auto"/>
              </w:rPr>
            </w:pPr>
            <w:r>
              <w:rPr>
                <w:rFonts w:ascii="Arial" w:cs="Arial" w:eastAsia="Arial" w:hAnsi="Arial"/>
                <w:sz w:val="16"/>
                <w:szCs w:val="16"/>
                <w:color w:val="auto"/>
              </w:rPr>
              <w:t>Total current assets</w:t>
            </w:r>
          </w:p>
        </w:tc>
        <w:tc>
          <w:tcPr>
            <w:tcW w:w="358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6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849,308</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808,133</w:t>
            </w:r>
          </w:p>
        </w:tc>
      </w:tr>
      <w:tr>
        <w:trPr>
          <w:trHeight w:val="257"/>
        </w:trPr>
        <w:tc>
          <w:tcPr>
            <w:tcW w:w="3580" w:type="dxa"/>
            <w:vAlign w:val="bottom"/>
            <w:gridSpan w:val="2"/>
          </w:tcPr>
          <w:p>
            <w:pPr>
              <w:spacing w:after="0"/>
              <w:rPr>
                <w:sz w:val="22"/>
                <w:szCs w:val="22"/>
                <w:color w:val="auto"/>
              </w:rPr>
            </w:pPr>
          </w:p>
        </w:tc>
        <w:tc>
          <w:tcPr>
            <w:tcW w:w="3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16"/>
        </w:trPr>
        <w:tc>
          <w:tcPr>
            <w:tcW w:w="3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Property, plant and equipment</w:t>
            </w:r>
          </w:p>
        </w:tc>
        <w:tc>
          <w:tcPr>
            <w:tcW w:w="358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6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7,927,840</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7,856,573</w:t>
            </w:r>
          </w:p>
        </w:tc>
      </w:tr>
      <w:tr>
        <w:trPr>
          <w:trHeight w:val="215"/>
        </w:trPr>
        <w:tc>
          <w:tcPr>
            <w:tcW w:w="358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Less: accumulated depreciation and depletion</w:t>
            </w:r>
          </w:p>
        </w:tc>
        <w:tc>
          <w:tcPr>
            <w:tcW w:w="3580" w:type="dxa"/>
            <w:vAlign w:val="bottom"/>
            <w:tcBorders>
              <w:bottom w:val="single" w:sz="8" w:color="CEFFE7"/>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(1,454,425)</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(1,407,397)</w:t>
            </w:r>
          </w:p>
        </w:tc>
      </w:tr>
      <w:tr>
        <w:trPr>
          <w:trHeight w:val="209"/>
        </w:trPr>
        <w:tc>
          <w:tcPr>
            <w:tcW w:w="3580" w:type="dxa"/>
            <w:vAlign w:val="bottom"/>
            <w:gridSpan w:val="2"/>
            <w:shd w:val="clear" w:color="auto" w:fill="CEFFE7"/>
          </w:tcPr>
          <w:p>
            <w:pPr>
              <w:ind w:left="560"/>
              <w:spacing w:after="0"/>
              <w:rPr>
                <w:sz w:val="20"/>
                <w:szCs w:val="20"/>
                <w:color w:val="auto"/>
              </w:rPr>
            </w:pPr>
            <w:r>
              <w:rPr>
                <w:rFonts w:ascii="Arial" w:cs="Arial" w:eastAsia="Arial" w:hAnsi="Arial"/>
                <w:sz w:val="16"/>
                <w:szCs w:val="16"/>
                <w:color w:val="auto"/>
              </w:rPr>
              <w:t>Total property, plant and equipment, net</w:t>
            </w:r>
          </w:p>
        </w:tc>
        <w:tc>
          <w:tcPr>
            <w:tcW w:w="3580" w:type="dxa"/>
            <w:vAlign w:val="bottom"/>
            <w:shd w:val="clear" w:color="auto" w:fill="CEFFE7"/>
          </w:tcPr>
          <w:p>
            <w:pPr>
              <w:spacing w:after="0"/>
              <w:rPr>
                <w:sz w:val="18"/>
                <w:szCs w:val="18"/>
                <w:color w:val="auto"/>
              </w:rPr>
            </w:pPr>
          </w:p>
        </w:tc>
        <w:tc>
          <w:tcPr>
            <w:tcW w:w="420" w:type="dxa"/>
            <w:vAlign w:val="bottom"/>
            <w:tcBorders>
              <w:bottom w:val="single" w:sz="8" w:color="auto"/>
            </w:tcBorders>
            <w:shd w:val="clear" w:color="auto" w:fill="CEFFE7"/>
          </w:tcPr>
          <w:p>
            <w:pPr>
              <w:spacing w:after="0"/>
              <w:rPr>
                <w:sz w:val="18"/>
                <w:szCs w:val="18"/>
                <w:color w:val="auto"/>
              </w:rPr>
            </w:pPr>
          </w:p>
        </w:tc>
        <w:tc>
          <w:tcPr>
            <w:tcW w:w="16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6,473,415</w:t>
            </w:r>
          </w:p>
        </w:tc>
        <w:tc>
          <w:tcPr>
            <w:tcW w:w="26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6,449,176</w:t>
            </w:r>
          </w:p>
        </w:tc>
      </w:tr>
      <w:tr>
        <w:trPr>
          <w:trHeight w:val="237"/>
        </w:trPr>
        <w:tc>
          <w:tcPr>
            <w:tcW w:w="1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6"/>
        </w:trPr>
        <w:tc>
          <w:tcPr>
            <w:tcW w:w="3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 assets:</w:t>
            </w:r>
          </w:p>
        </w:tc>
        <w:tc>
          <w:tcPr>
            <w:tcW w:w="358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6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spacing w:after="0"/>
              <w:rPr>
                <w:sz w:val="18"/>
                <w:szCs w:val="18"/>
                <w:color w:val="auto"/>
              </w:rPr>
            </w:pP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1,299,454</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1,299,454</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Intangible assets, net</w:t>
            </w:r>
          </w:p>
        </w:tc>
        <w:tc>
          <w:tcPr>
            <w:tcW w:w="358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6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10,474</w:t>
            </w:r>
          </w:p>
        </w:tc>
        <w:tc>
          <w:tcPr>
            <w:tcW w:w="26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10,770</w:t>
            </w:r>
          </w:p>
        </w:tc>
      </w:tr>
      <w:tr>
        <w:trPr>
          <w:trHeight w:val="215"/>
        </w:trPr>
        <w:tc>
          <w:tcPr>
            <w:tcW w:w="3580" w:type="dxa"/>
            <w:vAlign w:val="bottom"/>
            <w:gridSpan w:val="2"/>
          </w:tcPr>
          <w:p>
            <w:pPr>
              <w:ind w:left="180"/>
              <w:spacing w:after="0"/>
              <w:rPr>
                <w:sz w:val="20"/>
                <w:szCs w:val="20"/>
                <w:color w:val="auto"/>
              </w:rPr>
            </w:pPr>
            <w:r>
              <w:rPr>
                <w:rFonts w:ascii="Arial" w:cs="Arial" w:eastAsia="Arial" w:hAnsi="Arial"/>
                <w:sz w:val="16"/>
                <w:szCs w:val="16"/>
                <w:color w:val="auto"/>
              </w:rPr>
              <w:t>Regulatory assets, non-current</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457,848</w:t>
            </w:r>
          </w:p>
        </w:tc>
        <w:tc>
          <w:tcPr>
            <w:tcW w:w="2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526,309</w:t>
            </w:r>
          </w:p>
        </w:tc>
      </w:tr>
      <w:tr>
        <w:trPr>
          <w:trHeight w:val="217"/>
        </w:trPr>
        <w:tc>
          <w:tcPr>
            <w:tcW w:w="358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Other assets, non-current</w:t>
            </w:r>
          </w:p>
        </w:tc>
        <w:tc>
          <w:tcPr>
            <w:tcW w:w="3580" w:type="dxa"/>
            <w:vAlign w:val="bottom"/>
            <w:shd w:val="clear" w:color="auto" w:fill="CEFFE7"/>
          </w:tcPr>
          <w:p>
            <w:pPr>
              <w:spacing w:after="0"/>
              <w:rPr>
                <w:sz w:val="18"/>
                <w:szCs w:val="18"/>
                <w:color w:val="auto"/>
              </w:rPr>
            </w:pPr>
          </w:p>
        </w:tc>
        <w:tc>
          <w:tcPr>
            <w:tcW w:w="420" w:type="dxa"/>
            <w:vAlign w:val="bottom"/>
            <w:tcBorders>
              <w:bottom w:val="single" w:sz="8" w:color="auto"/>
            </w:tcBorders>
            <w:shd w:val="clear" w:color="auto" w:fill="CEFFE7"/>
          </w:tcPr>
          <w:p>
            <w:pPr>
              <w:spacing w:after="0"/>
              <w:rPr>
                <w:sz w:val="18"/>
                <w:szCs w:val="18"/>
                <w:color w:val="auto"/>
              </w:rPr>
            </w:pPr>
          </w:p>
        </w:tc>
        <w:tc>
          <w:tcPr>
            <w:tcW w:w="16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40,155</w:t>
            </w:r>
          </w:p>
        </w:tc>
        <w:tc>
          <w:tcPr>
            <w:tcW w:w="26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38,054</w:t>
            </w:r>
          </w:p>
        </w:tc>
      </w:tr>
      <w:tr>
        <w:trPr>
          <w:trHeight w:val="209"/>
        </w:trPr>
        <w:tc>
          <w:tcPr>
            <w:tcW w:w="3580" w:type="dxa"/>
            <w:vAlign w:val="bottom"/>
            <w:tcBorders>
              <w:bottom w:val="single" w:sz="8" w:color="CEFFE7"/>
            </w:tcBorders>
            <w:gridSpan w:val="2"/>
          </w:tcPr>
          <w:p>
            <w:pPr>
              <w:ind w:left="560"/>
              <w:spacing w:after="0"/>
              <w:rPr>
                <w:sz w:val="20"/>
                <w:szCs w:val="20"/>
                <w:color w:val="auto"/>
              </w:rPr>
            </w:pPr>
            <w:r>
              <w:rPr>
                <w:rFonts w:ascii="Arial" w:cs="Arial" w:eastAsia="Arial" w:hAnsi="Arial"/>
                <w:sz w:val="16"/>
                <w:szCs w:val="16"/>
                <w:color w:val="auto"/>
              </w:rPr>
              <w:t>Total other assets, non-current</w:t>
            </w:r>
          </w:p>
        </w:tc>
        <w:tc>
          <w:tcPr>
            <w:tcW w:w="3580" w:type="dxa"/>
            <w:vAlign w:val="bottom"/>
            <w:tcBorders>
              <w:bottom w:val="single" w:sz="8" w:color="CEFFE7"/>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1,807,931</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1,874,587</w:t>
            </w:r>
          </w:p>
        </w:tc>
      </w:tr>
      <w:tr>
        <w:trPr>
          <w:trHeight w:val="237"/>
        </w:trPr>
        <w:tc>
          <w:tcPr>
            <w:tcW w:w="1360" w:type="dxa"/>
            <w:vAlign w:val="bottom"/>
            <w:shd w:val="clear" w:color="auto" w:fill="CEFFE7"/>
          </w:tcPr>
          <w:p>
            <w:pPr>
              <w:spacing w:after="0"/>
              <w:rPr>
                <w:sz w:val="20"/>
                <w:szCs w:val="20"/>
                <w:color w:val="auto"/>
              </w:rPr>
            </w:pPr>
          </w:p>
        </w:tc>
        <w:tc>
          <w:tcPr>
            <w:tcW w:w="2220" w:type="dxa"/>
            <w:vAlign w:val="bottom"/>
            <w:shd w:val="clear" w:color="auto" w:fill="CEFFE7"/>
          </w:tcPr>
          <w:p>
            <w:pPr>
              <w:spacing w:after="0"/>
              <w:rPr>
                <w:sz w:val="20"/>
                <w:szCs w:val="20"/>
                <w:color w:val="auto"/>
              </w:rPr>
            </w:pPr>
          </w:p>
        </w:tc>
        <w:tc>
          <w:tcPr>
            <w:tcW w:w="3580" w:type="dxa"/>
            <w:vAlign w:val="bottom"/>
            <w:shd w:val="clear" w:color="auto" w:fill="CEFFE7"/>
          </w:tcPr>
          <w:p>
            <w:pPr>
              <w:spacing w:after="0"/>
              <w:rPr>
                <w:sz w:val="20"/>
                <w:szCs w:val="20"/>
                <w:color w:val="auto"/>
              </w:rPr>
            </w:pPr>
          </w:p>
        </w:tc>
        <w:tc>
          <w:tcPr>
            <w:tcW w:w="420" w:type="dxa"/>
            <w:vAlign w:val="bottom"/>
            <w:shd w:val="clear" w:color="auto" w:fill="CEFFE7"/>
          </w:tcPr>
          <w:p>
            <w:pPr>
              <w:spacing w:after="0"/>
              <w:rPr>
                <w:sz w:val="20"/>
                <w:szCs w:val="20"/>
                <w:color w:val="auto"/>
              </w:rPr>
            </w:pPr>
          </w:p>
        </w:tc>
        <w:tc>
          <w:tcPr>
            <w:tcW w:w="1620" w:type="dxa"/>
            <w:vAlign w:val="bottom"/>
            <w:shd w:val="clear" w:color="auto" w:fill="CEFFE7"/>
          </w:tcPr>
          <w:p>
            <w:pPr>
              <w:spacing w:after="0"/>
              <w:rPr>
                <w:sz w:val="20"/>
                <w:szCs w:val="20"/>
                <w:color w:val="auto"/>
              </w:rPr>
            </w:pPr>
          </w:p>
        </w:tc>
        <w:tc>
          <w:tcPr>
            <w:tcW w:w="260" w:type="dxa"/>
            <w:vAlign w:val="bottom"/>
            <w:shd w:val="clear" w:color="auto" w:fill="CEFFE7"/>
          </w:tcPr>
          <w:p>
            <w:pPr>
              <w:spacing w:after="0"/>
              <w:rPr>
                <w:sz w:val="20"/>
                <w:szCs w:val="20"/>
                <w:color w:val="auto"/>
              </w:rPr>
            </w:pPr>
          </w:p>
        </w:tc>
        <w:tc>
          <w:tcPr>
            <w:tcW w:w="1780" w:type="dxa"/>
            <w:vAlign w:val="bottom"/>
            <w:shd w:val="clear" w:color="auto" w:fill="CEFFE7"/>
          </w:tcPr>
          <w:p>
            <w:pPr>
              <w:spacing w:after="0"/>
              <w:rPr>
                <w:sz w:val="20"/>
                <w:szCs w:val="20"/>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4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9,130,654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9,131,896</w:t>
            </w:r>
          </w:p>
        </w:tc>
      </w:tr>
      <w:tr>
        <w:trPr>
          <w:trHeight w:val="20"/>
        </w:trPr>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24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4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2"/>
        </w:trPr>
        <w:tc>
          <w:tcPr>
            <w:tcW w:w="13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5160" w:type="dxa"/>
            <w:vAlign w:val="bottom"/>
            <w:gridSpan w:val="2"/>
          </w:tcPr>
          <w:p>
            <w:pPr>
              <w:jc w:val="center"/>
              <w:ind w:left="1159"/>
              <w:spacing w:after="0"/>
              <w:rPr>
                <w:sz w:val="20"/>
                <w:szCs w:val="20"/>
                <w:color w:val="auto"/>
              </w:rPr>
            </w:pPr>
            <w:r>
              <w:rPr>
                <w:rFonts w:ascii="Arial" w:cs="Arial" w:eastAsia="Arial" w:hAnsi="Arial"/>
                <w:sz w:val="16"/>
                <w:szCs w:val="16"/>
                <w:b w:val="1"/>
                <w:bCs w:val="1"/>
                <w:color w:val="auto"/>
              </w:rPr>
              <w:t>BLACK HILLS CORPORATION</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60" w:type="dxa"/>
            <w:vAlign w:val="bottom"/>
            <w:gridSpan w:val="2"/>
          </w:tcPr>
          <w:p>
            <w:pPr>
              <w:jc w:val="center"/>
              <w:ind w:left="1179"/>
              <w:spacing w:after="0"/>
              <w:rPr>
                <w:sz w:val="20"/>
                <w:szCs w:val="20"/>
                <w:color w:val="auto"/>
              </w:rPr>
            </w:pPr>
            <w:r>
              <w:rPr>
                <w:rFonts w:ascii="Arial" w:cs="Arial" w:eastAsia="Arial" w:hAnsi="Arial"/>
                <w:sz w:val="16"/>
                <w:szCs w:val="16"/>
                <w:b w:val="1"/>
                <w:bCs w:val="1"/>
                <w:color w:val="auto"/>
              </w:rPr>
              <w:t>CONDENSED CONSOLIDATED BALANCE SHEETS</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160" w:type="dxa"/>
            <w:vAlign w:val="bottom"/>
            <w:gridSpan w:val="2"/>
          </w:tcPr>
          <w:p>
            <w:pPr>
              <w:jc w:val="center"/>
              <w:ind w:left="1159"/>
              <w:spacing w:after="0"/>
              <w:rPr>
                <w:sz w:val="20"/>
                <w:szCs w:val="20"/>
                <w:color w:val="auto"/>
              </w:rPr>
            </w:pPr>
            <w:r>
              <w:rPr>
                <w:rFonts w:ascii="Arial" w:cs="Arial" w:eastAsia="Arial" w:hAnsi="Arial"/>
                <w:sz w:val="16"/>
                <w:szCs w:val="16"/>
                <w:b w:val="1"/>
                <w:bCs w:val="1"/>
                <w:color w:val="auto"/>
              </w:rPr>
              <w:t>(Continued)</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(unaudited)</w:t>
            </w:r>
          </w:p>
        </w:tc>
        <w:tc>
          <w:tcPr>
            <w:tcW w:w="4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March 31, 2022</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60" w:type="dxa"/>
            <w:vAlign w:val="bottom"/>
            <w:gridSpan w:val="3"/>
          </w:tcPr>
          <w:p>
            <w:pPr>
              <w:jc w:val="right"/>
              <w:ind w:right="599"/>
              <w:spacing w:after="0"/>
              <w:rPr>
                <w:sz w:val="20"/>
                <w:szCs w:val="20"/>
                <w:color w:val="auto"/>
              </w:rPr>
            </w:pPr>
            <w:r>
              <w:rPr>
                <w:rFonts w:ascii="Arial" w:cs="Arial" w:eastAsia="Arial" w:hAnsi="Arial"/>
                <w:sz w:val="16"/>
                <w:szCs w:val="16"/>
                <w:color w:val="auto"/>
              </w:rPr>
              <w:t>(in thousands, except share amounts)</w:t>
            </w:r>
          </w:p>
        </w:tc>
        <w:tc>
          <w:tcPr>
            <w:tcW w:w="0" w:type="dxa"/>
            <w:vAlign w:val="bottom"/>
          </w:tcPr>
          <w:p>
            <w:pPr>
              <w:spacing w:after="0"/>
              <w:rPr>
                <w:sz w:val="1"/>
                <w:szCs w:val="1"/>
                <w:color w:val="auto"/>
              </w:rPr>
            </w:pPr>
          </w:p>
        </w:tc>
      </w:tr>
      <w:tr>
        <w:trPr>
          <w:trHeight w:val="223"/>
        </w:trPr>
        <w:tc>
          <w:tcPr>
            <w:tcW w:w="2420" w:type="dxa"/>
            <w:vAlign w:val="bottom"/>
            <w:gridSpan w:val="2"/>
            <w:vMerge w:val="restart"/>
          </w:tcPr>
          <w:p>
            <w:pPr>
              <w:ind w:left="20"/>
              <w:spacing w:after="0"/>
              <w:rPr>
                <w:sz w:val="20"/>
                <w:szCs w:val="20"/>
                <w:color w:val="auto"/>
              </w:rPr>
            </w:pPr>
            <w:r>
              <w:rPr>
                <w:rFonts w:ascii="Arial" w:cs="Arial" w:eastAsia="Arial" w:hAnsi="Arial"/>
                <w:sz w:val="16"/>
                <w:szCs w:val="16"/>
                <w:color w:val="auto"/>
              </w:rPr>
              <w:t>Current liabilities:</w:t>
            </w:r>
          </w:p>
        </w:tc>
        <w:tc>
          <w:tcPr>
            <w:tcW w:w="5160" w:type="dxa"/>
            <w:vAlign w:val="bottom"/>
            <w:gridSpan w:val="2"/>
          </w:tcPr>
          <w:p>
            <w:pPr>
              <w:jc w:val="right"/>
              <w:ind w:right="3000"/>
              <w:spacing w:after="0"/>
              <w:rPr>
                <w:sz w:val="20"/>
                <w:szCs w:val="20"/>
                <w:color w:val="auto"/>
              </w:rPr>
            </w:pPr>
            <w:r>
              <w:rPr>
                <w:rFonts w:ascii="Arial" w:cs="Arial" w:eastAsia="Arial" w:hAnsi="Arial"/>
                <w:sz w:val="16"/>
                <w:szCs w:val="16"/>
                <w:b w:val="1"/>
                <w:bCs w:val="1"/>
                <w:color w:val="auto"/>
              </w:rPr>
              <w:t>LIABILITIES AND EQUITY</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20" w:type="dxa"/>
            <w:vAlign w:val="bottom"/>
            <w:gridSpan w:val="2"/>
            <w:vMerge w:val="continue"/>
          </w:tcPr>
          <w:p>
            <w:pPr>
              <w:spacing w:after="0"/>
              <w:rPr>
                <w:sz w:val="18"/>
                <w:szCs w:val="18"/>
                <w:color w:val="auto"/>
              </w:rPr>
            </w:pPr>
          </w:p>
        </w:tc>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Accounts payable</w:t>
            </w:r>
          </w:p>
        </w:tc>
        <w:tc>
          <w:tcPr>
            <w:tcW w:w="5160" w:type="dxa"/>
            <w:vAlign w:val="bottom"/>
            <w:gridSpan w:val="2"/>
            <w:shd w:val="clear" w:color="auto" w:fill="CEFFE7"/>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173,102</w:t>
            </w:r>
          </w:p>
        </w:tc>
        <w:tc>
          <w:tcPr>
            <w:tcW w:w="2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217,761</w:t>
            </w:r>
          </w:p>
        </w:tc>
        <w:tc>
          <w:tcPr>
            <w:tcW w:w="0" w:type="dxa"/>
            <w:vAlign w:val="bottom"/>
          </w:tcPr>
          <w:p>
            <w:pPr>
              <w:spacing w:after="0"/>
              <w:rPr>
                <w:sz w:val="1"/>
                <w:szCs w:val="1"/>
                <w:color w:val="auto"/>
              </w:rPr>
            </w:pPr>
          </w:p>
        </w:tc>
      </w:tr>
      <w:tr>
        <w:trPr>
          <w:trHeight w:val="215"/>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Accrued liabilities</w:t>
            </w:r>
          </w:p>
        </w:tc>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227,209</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244,759</w:t>
            </w: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Derivative liabilities, current</w:t>
            </w:r>
          </w:p>
        </w:tc>
        <w:tc>
          <w:tcPr>
            <w:tcW w:w="474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16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191</w:t>
            </w:r>
          </w:p>
        </w:tc>
        <w:tc>
          <w:tcPr>
            <w:tcW w:w="280" w:type="dxa"/>
            <w:vAlign w:val="bottom"/>
            <w:shd w:val="clear" w:color="auto" w:fill="CEFFE7"/>
          </w:tcPr>
          <w:p>
            <w:pPr>
              <w:spacing w:after="0"/>
              <w:rPr>
                <w:sz w:val="18"/>
                <w:szCs w:val="18"/>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15"/>
        </w:trPr>
        <w:tc>
          <w:tcPr>
            <w:tcW w:w="2420" w:type="dxa"/>
            <w:vAlign w:val="bottom"/>
            <w:gridSpan w:val="2"/>
          </w:tcPr>
          <w:p>
            <w:pPr>
              <w:ind w:left="180"/>
              <w:spacing w:after="0"/>
              <w:rPr>
                <w:sz w:val="20"/>
                <w:szCs w:val="20"/>
                <w:color w:val="auto"/>
              </w:rPr>
            </w:pPr>
            <w:r>
              <w:rPr>
                <w:rFonts w:ascii="Arial" w:cs="Arial" w:eastAsia="Arial" w:hAnsi="Arial"/>
                <w:sz w:val="16"/>
                <w:szCs w:val="16"/>
                <w:color w:val="auto"/>
              </w:rPr>
              <w:t>Regulatory liabilities, current</w:t>
            </w:r>
          </w:p>
        </w:tc>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52,742</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17,574</w:t>
            </w:r>
          </w:p>
        </w:tc>
        <w:tc>
          <w:tcPr>
            <w:tcW w:w="0" w:type="dxa"/>
            <w:vAlign w:val="bottom"/>
          </w:tcPr>
          <w:p>
            <w:pPr>
              <w:spacing w:after="0"/>
              <w:rPr>
                <w:sz w:val="1"/>
                <w:szCs w:val="1"/>
                <w:color w:val="auto"/>
              </w:rPr>
            </w:pPr>
          </w:p>
        </w:tc>
      </w:tr>
      <w:tr>
        <w:trPr>
          <w:trHeight w:val="217"/>
        </w:trPr>
        <w:tc>
          <w:tcPr>
            <w:tcW w:w="2420" w:type="dxa"/>
            <w:vAlign w:val="bottom"/>
            <w:gridSpan w:val="2"/>
            <w:shd w:val="clear" w:color="auto" w:fill="CEFFE7"/>
          </w:tcPr>
          <w:p>
            <w:pPr>
              <w:ind w:left="180"/>
              <w:spacing w:after="0"/>
              <w:rPr>
                <w:sz w:val="20"/>
                <w:szCs w:val="20"/>
                <w:color w:val="auto"/>
              </w:rPr>
            </w:pPr>
            <w:r>
              <w:rPr>
                <w:rFonts w:ascii="Arial" w:cs="Arial" w:eastAsia="Arial" w:hAnsi="Arial"/>
                <w:sz w:val="16"/>
                <w:szCs w:val="16"/>
                <w:color w:val="auto"/>
              </w:rPr>
              <w:t>Notes payable</w:t>
            </w:r>
          </w:p>
        </w:tc>
        <w:tc>
          <w:tcPr>
            <w:tcW w:w="4740" w:type="dxa"/>
            <w:vAlign w:val="bottom"/>
            <w:shd w:val="clear" w:color="auto" w:fill="CEFFE7"/>
          </w:tcPr>
          <w:p>
            <w:pPr>
              <w:spacing w:after="0"/>
              <w:rPr>
                <w:sz w:val="18"/>
                <w:szCs w:val="18"/>
                <w:color w:val="auto"/>
              </w:rPr>
            </w:pPr>
          </w:p>
        </w:tc>
        <w:tc>
          <w:tcPr>
            <w:tcW w:w="420" w:type="dxa"/>
            <w:vAlign w:val="bottom"/>
            <w:tcBorders>
              <w:bottom w:val="single" w:sz="8" w:color="auto"/>
            </w:tcBorders>
            <w:shd w:val="clear" w:color="auto" w:fill="CEFFE7"/>
          </w:tcPr>
          <w:p>
            <w:pPr>
              <w:spacing w:after="0"/>
              <w:rPr>
                <w:sz w:val="18"/>
                <w:szCs w:val="18"/>
                <w:color w:val="auto"/>
              </w:rPr>
            </w:pPr>
          </w:p>
        </w:tc>
        <w:tc>
          <w:tcPr>
            <w:tcW w:w="16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341,480</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420,180</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EFFE7"/>
            </w:tcBorders>
            <w:gridSpan w:val="2"/>
          </w:tcPr>
          <w:p>
            <w:pPr>
              <w:ind w:left="560"/>
              <w:spacing w:after="0"/>
              <w:rPr>
                <w:sz w:val="20"/>
                <w:szCs w:val="20"/>
                <w:color w:val="auto"/>
              </w:rPr>
            </w:pPr>
            <w:r>
              <w:rPr>
                <w:rFonts w:ascii="Arial" w:cs="Arial" w:eastAsia="Arial" w:hAnsi="Arial"/>
                <w:sz w:val="16"/>
                <w:szCs w:val="16"/>
                <w:color w:val="auto"/>
              </w:rPr>
              <w:t>Total current liabilities</w:t>
            </w:r>
          </w:p>
        </w:tc>
        <w:tc>
          <w:tcPr>
            <w:tcW w:w="4740" w:type="dxa"/>
            <w:vAlign w:val="bottom"/>
            <w:tcBorders>
              <w:bottom w:val="single" w:sz="8" w:color="CEFFE7"/>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794,724</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901,713</w:t>
            </w:r>
          </w:p>
        </w:tc>
        <w:tc>
          <w:tcPr>
            <w:tcW w:w="0" w:type="dxa"/>
            <w:vAlign w:val="bottom"/>
          </w:tcPr>
          <w:p>
            <w:pPr>
              <w:spacing w:after="0"/>
              <w:rPr>
                <w:sz w:val="1"/>
                <w:szCs w:val="1"/>
                <w:color w:val="auto"/>
              </w:rPr>
            </w:pPr>
          </w:p>
        </w:tc>
      </w:tr>
      <w:tr>
        <w:trPr>
          <w:trHeight w:val="237"/>
        </w:trPr>
        <w:tc>
          <w:tcPr>
            <w:tcW w:w="1360" w:type="dxa"/>
            <w:vAlign w:val="bottom"/>
            <w:shd w:val="clear" w:color="auto" w:fill="CEFFE7"/>
          </w:tcPr>
          <w:p>
            <w:pPr>
              <w:spacing w:after="0"/>
              <w:rPr>
                <w:sz w:val="20"/>
                <w:szCs w:val="20"/>
                <w:color w:val="auto"/>
              </w:rPr>
            </w:pPr>
          </w:p>
        </w:tc>
        <w:tc>
          <w:tcPr>
            <w:tcW w:w="1060" w:type="dxa"/>
            <w:vAlign w:val="bottom"/>
            <w:shd w:val="clear" w:color="auto" w:fill="CEFFE7"/>
          </w:tcPr>
          <w:p>
            <w:pPr>
              <w:spacing w:after="0"/>
              <w:rPr>
                <w:sz w:val="20"/>
                <w:szCs w:val="20"/>
                <w:color w:val="auto"/>
              </w:rPr>
            </w:pPr>
          </w:p>
        </w:tc>
        <w:tc>
          <w:tcPr>
            <w:tcW w:w="4740" w:type="dxa"/>
            <w:vAlign w:val="bottom"/>
            <w:shd w:val="clear" w:color="auto" w:fill="CEFFE7"/>
          </w:tcPr>
          <w:p>
            <w:pPr>
              <w:spacing w:after="0"/>
              <w:rPr>
                <w:sz w:val="20"/>
                <w:szCs w:val="20"/>
                <w:color w:val="auto"/>
              </w:rPr>
            </w:pPr>
          </w:p>
        </w:tc>
        <w:tc>
          <w:tcPr>
            <w:tcW w:w="420" w:type="dxa"/>
            <w:vAlign w:val="bottom"/>
            <w:shd w:val="clear" w:color="auto" w:fill="CEFFE7"/>
          </w:tcPr>
          <w:p>
            <w:pPr>
              <w:spacing w:after="0"/>
              <w:rPr>
                <w:sz w:val="20"/>
                <w:szCs w:val="20"/>
                <w:color w:val="auto"/>
              </w:rPr>
            </w:pPr>
          </w:p>
        </w:tc>
        <w:tc>
          <w:tcPr>
            <w:tcW w:w="1600" w:type="dxa"/>
            <w:vAlign w:val="bottom"/>
            <w:shd w:val="clear" w:color="auto" w:fill="CEFFE7"/>
          </w:tcPr>
          <w:p>
            <w:pPr>
              <w:spacing w:after="0"/>
              <w:rPr>
                <w:sz w:val="20"/>
                <w:szCs w:val="20"/>
                <w:color w:val="auto"/>
              </w:rPr>
            </w:pPr>
          </w:p>
        </w:tc>
        <w:tc>
          <w:tcPr>
            <w:tcW w:w="280" w:type="dxa"/>
            <w:vAlign w:val="bottom"/>
            <w:shd w:val="clear" w:color="auto" w:fill="CEFFE7"/>
          </w:tcPr>
          <w:p>
            <w:pPr>
              <w:spacing w:after="0"/>
              <w:rPr>
                <w:sz w:val="20"/>
                <w:szCs w:val="20"/>
                <w:color w:val="auto"/>
              </w:rPr>
            </w:pPr>
          </w:p>
        </w:tc>
        <w:tc>
          <w:tcPr>
            <w:tcW w:w="178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80" w:type="dxa"/>
            <w:vAlign w:val="bottom"/>
            <w:gridSpan w:val="4"/>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4,128,291</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4,126,923</w:t>
            </w:r>
          </w:p>
        </w:tc>
        <w:tc>
          <w:tcPr>
            <w:tcW w:w="0" w:type="dxa"/>
            <w:vAlign w:val="bottom"/>
          </w:tcPr>
          <w:p>
            <w:pPr>
              <w:spacing w:after="0"/>
              <w:rPr>
                <w:sz w:val="1"/>
                <w:szCs w:val="1"/>
                <w:color w:val="auto"/>
              </w:rPr>
            </w:pPr>
          </w:p>
        </w:tc>
      </w:tr>
      <w:tr>
        <w:trPr>
          <w:trHeight w:val="237"/>
        </w:trPr>
        <w:tc>
          <w:tcPr>
            <w:tcW w:w="1360" w:type="dxa"/>
            <w:vAlign w:val="bottom"/>
            <w:tcBorders>
              <w:top w:val="single" w:sz="8" w:color="CEFFE7"/>
            </w:tcBorders>
            <w:shd w:val="clear" w:color="auto" w:fill="CEFFE7"/>
          </w:tcPr>
          <w:p>
            <w:pPr>
              <w:spacing w:after="0"/>
              <w:rPr>
                <w:sz w:val="20"/>
                <w:szCs w:val="20"/>
                <w:color w:val="auto"/>
              </w:rPr>
            </w:pPr>
          </w:p>
        </w:tc>
        <w:tc>
          <w:tcPr>
            <w:tcW w:w="1060" w:type="dxa"/>
            <w:vAlign w:val="bottom"/>
            <w:tcBorders>
              <w:top w:val="single" w:sz="8" w:color="CEFFE7"/>
            </w:tcBorders>
            <w:shd w:val="clear" w:color="auto" w:fill="CEFFE7"/>
          </w:tcPr>
          <w:p>
            <w:pPr>
              <w:spacing w:after="0"/>
              <w:rPr>
                <w:sz w:val="20"/>
                <w:szCs w:val="20"/>
                <w:color w:val="auto"/>
              </w:rPr>
            </w:pPr>
          </w:p>
        </w:tc>
        <w:tc>
          <w:tcPr>
            <w:tcW w:w="4740" w:type="dxa"/>
            <w:vAlign w:val="bottom"/>
            <w:tcBorders>
              <w:top w:val="single" w:sz="8" w:color="CEFFE7"/>
            </w:tcBorders>
            <w:shd w:val="clear" w:color="auto" w:fill="CEFFE7"/>
          </w:tcPr>
          <w:p>
            <w:pPr>
              <w:spacing w:after="0"/>
              <w:rPr>
                <w:sz w:val="20"/>
                <w:szCs w:val="20"/>
                <w:color w:val="auto"/>
              </w:rPr>
            </w:pPr>
          </w:p>
        </w:tc>
        <w:tc>
          <w:tcPr>
            <w:tcW w:w="420" w:type="dxa"/>
            <w:vAlign w:val="bottom"/>
            <w:tcBorders>
              <w:top w:val="single" w:sz="8" w:color="auto"/>
            </w:tcBorders>
            <w:shd w:val="clear" w:color="auto" w:fill="CEFFE7"/>
          </w:tcPr>
          <w:p>
            <w:pPr>
              <w:spacing w:after="0"/>
              <w:rPr>
                <w:sz w:val="20"/>
                <w:szCs w:val="20"/>
                <w:color w:val="auto"/>
              </w:rPr>
            </w:pPr>
          </w:p>
        </w:tc>
        <w:tc>
          <w:tcPr>
            <w:tcW w:w="1600" w:type="dxa"/>
            <w:vAlign w:val="bottom"/>
            <w:tcBorders>
              <w:top w:val="single" w:sz="8" w:color="auto"/>
            </w:tcBorders>
            <w:shd w:val="clear" w:color="auto" w:fill="CEFFE7"/>
          </w:tcPr>
          <w:p>
            <w:pPr>
              <w:spacing w:after="0"/>
              <w:rPr>
                <w:sz w:val="20"/>
                <w:szCs w:val="20"/>
                <w:color w:val="auto"/>
              </w:rPr>
            </w:pPr>
          </w:p>
        </w:tc>
        <w:tc>
          <w:tcPr>
            <w:tcW w:w="280" w:type="dxa"/>
            <w:vAlign w:val="bottom"/>
            <w:tcBorders>
              <w:top w:val="single" w:sz="8" w:color="auto"/>
            </w:tcBorders>
            <w:shd w:val="clear" w:color="auto" w:fill="CEFFE7"/>
          </w:tcPr>
          <w:p>
            <w:pPr>
              <w:spacing w:after="0"/>
              <w:rPr>
                <w:sz w:val="20"/>
                <w:szCs w:val="20"/>
                <w:color w:val="auto"/>
              </w:rPr>
            </w:pPr>
          </w:p>
        </w:tc>
        <w:tc>
          <w:tcPr>
            <w:tcW w:w="1780" w:type="dxa"/>
            <w:vAlign w:val="bottom"/>
            <w:tcBorders>
              <w:top w:val="single" w:sz="8" w:color="auto"/>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color w:val="auto"/>
        </w:rPr>
        <w:t>Deferred credits and other liabilities:</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Regulatory liabilities, non-current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deferred credits and other liabilities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490,384</w:t>
            </w:r>
          </w:p>
        </w:tc>
        <w:tc>
          <w:tcPr>
            <w:tcW w:w="1480" w:type="dxa"/>
            <w:vAlign w:val="bottom"/>
          </w:tcPr>
          <w:p>
            <w:pPr>
              <w:jc w:val="right"/>
              <w:spacing w:after="0"/>
              <w:rPr>
                <w:sz w:val="20"/>
                <w:szCs w:val="20"/>
                <w:color w:val="auto"/>
              </w:rPr>
            </w:pPr>
            <w:r>
              <w:rPr>
                <w:rFonts w:ascii="Arial" w:cs="Arial" w:eastAsia="Arial" w:hAnsi="Arial"/>
                <w:sz w:val="16"/>
                <w:szCs w:val="16"/>
                <w:color w:val="auto"/>
              </w:rPr>
              <w:t>465,388</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482,442</w:t>
            </w:r>
          </w:p>
        </w:tc>
        <w:tc>
          <w:tcPr>
            <w:tcW w:w="1480" w:type="dxa"/>
            <w:vAlign w:val="bottom"/>
          </w:tcPr>
          <w:p>
            <w:pPr>
              <w:jc w:val="right"/>
              <w:spacing w:after="0"/>
              <w:rPr>
                <w:sz w:val="20"/>
                <w:szCs w:val="20"/>
                <w:color w:val="auto"/>
              </w:rPr>
            </w:pPr>
            <w:r>
              <w:rPr>
                <w:rFonts w:ascii="Arial" w:cs="Arial" w:eastAsia="Arial" w:hAnsi="Arial"/>
                <w:sz w:val="16"/>
                <w:szCs w:val="16"/>
                <w:color w:val="auto"/>
              </w:rPr>
              <w:t>485,377</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123,111</w:t>
            </w:r>
          </w:p>
        </w:tc>
        <w:tc>
          <w:tcPr>
            <w:tcW w:w="1480" w:type="dxa"/>
            <w:vAlign w:val="bottom"/>
          </w:tcPr>
          <w:p>
            <w:pPr>
              <w:jc w:val="right"/>
              <w:spacing w:after="0"/>
              <w:rPr>
                <w:sz w:val="20"/>
                <w:szCs w:val="20"/>
                <w:color w:val="auto"/>
              </w:rPr>
            </w:pPr>
            <w:r>
              <w:rPr>
                <w:rFonts w:ascii="Arial" w:cs="Arial" w:eastAsia="Arial" w:hAnsi="Arial"/>
                <w:sz w:val="16"/>
                <w:szCs w:val="16"/>
                <w:color w:val="auto"/>
              </w:rPr>
              <w:t>123,925</w:t>
            </w:r>
          </w:p>
        </w:tc>
      </w:tr>
      <w:tr>
        <w:trPr>
          <w:trHeight w:val="217"/>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140,680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141,447</w:t>
            </w:r>
          </w:p>
        </w:tc>
      </w:tr>
      <w:tr>
        <w:trPr>
          <w:trHeight w:val="210"/>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1,236,617</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-702310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-427990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-153670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40" w:space="720"/>
            <w:col w:w="4080"/>
          </w:cols>
          <w:pgMar w:left="320" w:top="118"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6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Commitments, contingencies and guarantees (</w:t>
            </w:r>
            <w:r>
              <w:rPr>
                <w:rFonts w:ascii="Arial" w:cs="Arial" w:eastAsia="Arial" w:hAnsi="Arial"/>
                <w:sz w:val="16"/>
                <w:szCs w:val="16"/>
                <w:color w:val="0000FF"/>
              </w:rPr>
              <w:t>Note 3</w:t>
            </w:r>
            <w:r>
              <w:rPr>
                <w:rFonts w:ascii="Arial" w:cs="Arial" w:eastAsia="Arial" w:hAnsi="Arial"/>
                <w:sz w:val="16"/>
                <w:szCs w:val="16"/>
                <w:color w:val="auto"/>
              </w:rPr>
              <w:t>)</w:t>
            </w:r>
          </w:p>
        </w:tc>
        <w:tc>
          <w:tcPr>
            <w:tcW w:w="660" w:type="dxa"/>
            <w:vAlign w:val="bottom"/>
            <w:shd w:val="clear" w:color="auto" w:fill="CEFFE7"/>
          </w:tcPr>
          <w:p>
            <w:pPr>
              <w:spacing w:after="0"/>
              <w:rPr>
                <w:sz w:val="17"/>
                <w:szCs w:val="17"/>
                <w:color w:val="auto"/>
              </w:rPr>
            </w:pPr>
          </w:p>
        </w:tc>
        <w:tc>
          <w:tcPr>
            <w:tcW w:w="1380" w:type="dxa"/>
            <w:vAlign w:val="bottom"/>
            <w:shd w:val="clear" w:color="auto" w:fill="CEFFE7"/>
          </w:tcPr>
          <w:p>
            <w:pPr>
              <w:spacing w:after="0"/>
              <w:rPr>
                <w:sz w:val="17"/>
                <w:szCs w:val="17"/>
                <w:color w:val="auto"/>
              </w:rPr>
            </w:pPr>
          </w:p>
        </w:tc>
        <w:tc>
          <w:tcPr>
            <w:tcW w:w="700" w:type="dxa"/>
            <w:vAlign w:val="bottom"/>
            <w:shd w:val="clear" w:color="auto" w:fill="CEFFE7"/>
          </w:tcPr>
          <w:p>
            <w:pPr>
              <w:spacing w:after="0"/>
              <w:rPr>
                <w:sz w:val="17"/>
                <w:szCs w:val="17"/>
                <w:color w:val="auto"/>
              </w:rPr>
            </w:pPr>
          </w:p>
        </w:tc>
        <w:tc>
          <w:tcPr>
            <w:tcW w:w="134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80" w:type="dxa"/>
            <w:vAlign w:val="bottom"/>
            <w:tcBorders>
              <w:top w:val="single" w:sz="8" w:color="CEFFE7"/>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300" w:type="dxa"/>
            <w:vAlign w:val="bottom"/>
            <w:tcBorders>
              <w:top w:val="single" w:sz="8" w:color="CEFFE7"/>
            </w:tcBorders>
          </w:tcPr>
          <w:p>
            <w:pPr>
              <w:spacing w:after="0"/>
              <w:rPr>
                <w:sz w:val="22"/>
                <w:szCs w:val="22"/>
                <w:color w:val="auto"/>
              </w:rPr>
            </w:pPr>
          </w:p>
        </w:tc>
        <w:tc>
          <w:tcPr>
            <w:tcW w:w="660" w:type="dxa"/>
            <w:vAlign w:val="bottom"/>
            <w:tcBorders>
              <w:top w:val="single" w:sz="8" w:color="CEFFE7"/>
            </w:tcBorders>
          </w:tcPr>
          <w:p>
            <w:pPr>
              <w:spacing w:after="0"/>
              <w:rPr>
                <w:sz w:val="22"/>
                <w:szCs w:val="22"/>
                <w:color w:val="auto"/>
              </w:rPr>
            </w:pPr>
          </w:p>
        </w:tc>
        <w:tc>
          <w:tcPr>
            <w:tcW w:w="1380" w:type="dxa"/>
            <w:vAlign w:val="bottom"/>
            <w:tcBorders>
              <w:top w:val="single" w:sz="8" w:color="CEFFE7"/>
            </w:tcBorders>
          </w:tcPr>
          <w:p>
            <w:pPr>
              <w:spacing w:after="0"/>
              <w:rPr>
                <w:sz w:val="22"/>
                <w:szCs w:val="22"/>
                <w:color w:val="auto"/>
              </w:rPr>
            </w:pPr>
          </w:p>
        </w:tc>
        <w:tc>
          <w:tcPr>
            <w:tcW w:w="700" w:type="dxa"/>
            <w:vAlign w:val="bottom"/>
            <w:tcBorders>
              <w:top w:val="single" w:sz="8" w:color="CEFFE7"/>
            </w:tcBorders>
          </w:tcPr>
          <w:p>
            <w:pPr>
              <w:spacing w:after="0"/>
              <w:rPr>
                <w:sz w:val="22"/>
                <w:szCs w:val="22"/>
                <w:color w:val="auto"/>
              </w:rPr>
            </w:pPr>
          </w:p>
        </w:tc>
        <w:tc>
          <w:tcPr>
            <w:tcW w:w="1340" w:type="dxa"/>
            <w:vAlign w:val="bottom"/>
            <w:tcBorders>
              <w:top w:val="single" w:sz="8" w:color="CEFFE7"/>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Equity:</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gridSpan w:val="3"/>
          </w:tcPr>
          <w:p>
            <w:pPr>
              <w:jc w:val="center"/>
              <w:ind w:right="5140"/>
              <w:spacing w:after="0"/>
              <w:rPr>
                <w:sz w:val="20"/>
                <w:szCs w:val="20"/>
                <w:color w:val="auto"/>
              </w:rPr>
            </w:pPr>
            <w:r>
              <w:rPr>
                <w:rFonts w:ascii="Arial" w:cs="Arial" w:eastAsia="Arial" w:hAnsi="Arial"/>
                <w:sz w:val="16"/>
                <w:szCs w:val="16"/>
                <w:color w:val="auto"/>
              </w:rPr>
              <w:t>Stockholders’ equity —</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160" w:type="dxa"/>
            <w:vAlign w:val="bottom"/>
            <w:gridSpan w:val="3"/>
            <w:shd w:val="clear" w:color="auto" w:fill="CEFFE7"/>
          </w:tcPr>
          <w:p>
            <w:pPr>
              <w:ind w:left="220"/>
              <w:spacing w:after="0" w:line="163" w:lineRule="exact"/>
              <w:rPr>
                <w:sz w:val="20"/>
                <w:szCs w:val="20"/>
                <w:color w:val="auto"/>
              </w:rPr>
            </w:pPr>
            <w:r>
              <w:rPr>
                <w:rFonts w:ascii="Arial" w:cs="Arial" w:eastAsia="Arial" w:hAnsi="Arial"/>
                <w:sz w:val="16"/>
                <w:szCs w:val="16"/>
                <w:color w:val="auto"/>
              </w:rPr>
              <w:t>Common stock $1 par value; 100,000,000 shares authorized; issued 64,849,227 and</w:t>
            </w:r>
          </w:p>
        </w:tc>
        <w:tc>
          <w:tcPr>
            <w:tcW w:w="660" w:type="dxa"/>
            <w:vAlign w:val="bottom"/>
            <w:shd w:val="clear" w:color="auto" w:fill="CEFFE7"/>
          </w:tcPr>
          <w:p>
            <w:pPr>
              <w:spacing w:after="0"/>
              <w:rPr>
                <w:sz w:val="14"/>
                <w:szCs w:val="14"/>
                <w:color w:val="auto"/>
              </w:rPr>
            </w:pPr>
          </w:p>
        </w:tc>
        <w:tc>
          <w:tcPr>
            <w:tcW w:w="138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64,849</w:t>
            </w:r>
          </w:p>
        </w:tc>
        <w:tc>
          <w:tcPr>
            <w:tcW w:w="700" w:type="dxa"/>
            <w:vAlign w:val="bottom"/>
            <w:shd w:val="clear" w:color="auto" w:fill="CEFFE7"/>
          </w:tcPr>
          <w:p>
            <w:pPr>
              <w:spacing w:after="0"/>
              <w:rPr>
                <w:sz w:val="14"/>
                <w:szCs w:val="14"/>
                <w:color w:val="auto"/>
              </w:rPr>
            </w:pPr>
          </w:p>
        </w:tc>
        <w:tc>
          <w:tcPr>
            <w:tcW w:w="13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64,793</w:t>
            </w:r>
          </w:p>
        </w:tc>
        <w:tc>
          <w:tcPr>
            <w:tcW w:w="0" w:type="dxa"/>
            <w:vAlign w:val="bottom"/>
          </w:tcPr>
          <w:p>
            <w:pPr>
              <w:spacing w:after="0"/>
              <w:rPr>
                <w:sz w:val="1"/>
                <w:szCs w:val="1"/>
                <w:color w:val="auto"/>
              </w:rPr>
            </w:pPr>
          </w:p>
        </w:tc>
      </w:tr>
      <w:tr>
        <w:trPr>
          <w:trHeight w:val="216"/>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64,793,095 shares, respectively</w:t>
            </w:r>
          </w:p>
        </w:tc>
        <w:tc>
          <w:tcPr>
            <w:tcW w:w="660" w:type="dxa"/>
            <w:vAlign w:val="bottom"/>
            <w:shd w:val="clear" w:color="auto" w:fill="CEFFE7"/>
          </w:tcPr>
          <w:p>
            <w:pPr>
              <w:spacing w:after="0"/>
              <w:rPr>
                <w:sz w:val="18"/>
                <w:szCs w:val="18"/>
                <w:color w:val="auto"/>
              </w:rPr>
            </w:pPr>
          </w:p>
        </w:tc>
        <w:tc>
          <w:tcPr>
            <w:tcW w:w="1380" w:type="dxa"/>
            <w:vAlign w:val="bottom"/>
            <w:vMerge w:val="continue"/>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34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gridSpan w:val="3"/>
          </w:tcPr>
          <w:p>
            <w:pPr>
              <w:ind w:left="220"/>
              <w:spacing w:after="0"/>
              <w:rPr>
                <w:sz w:val="20"/>
                <w:szCs w:val="20"/>
                <w:color w:val="auto"/>
              </w:rPr>
            </w:pPr>
            <w:r>
              <w:rPr>
                <w:rFonts w:ascii="Arial" w:cs="Arial" w:eastAsia="Arial" w:hAnsi="Arial"/>
                <w:sz w:val="16"/>
                <w:szCs w:val="16"/>
                <w:color w:val="auto"/>
              </w:rPr>
              <w:t>Additional paid-in capital</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1,786,980</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1,783,436</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Retained earnings</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1,041,451</w:t>
            </w: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962,458</w:t>
            </w:r>
          </w:p>
        </w:tc>
        <w:tc>
          <w:tcPr>
            <w:tcW w:w="0" w:type="dxa"/>
            <w:vAlign w:val="bottom"/>
          </w:tcPr>
          <w:p>
            <w:pPr>
              <w:spacing w:after="0"/>
              <w:rPr>
                <w:sz w:val="1"/>
                <w:szCs w:val="1"/>
                <w:color w:val="auto"/>
              </w:rPr>
            </w:pPr>
          </w:p>
        </w:tc>
      </w:tr>
      <w:tr>
        <w:trPr>
          <w:trHeight w:val="215"/>
        </w:trPr>
        <w:tc>
          <w:tcPr>
            <w:tcW w:w="7160" w:type="dxa"/>
            <w:vAlign w:val="bottom"/>
            <w:gridSpan w:val="3"/>
          </w:tcPr>
          <w:p>
            <w:pPr>
              <w:ind w:left="220"/>
              <w:spacing w:after="0"/>
              <w:rPr>
                <w:sz w:val="20"/>
                <w:szCs w:val="20"/>
                <w:color w:val="auto"/>
              </w:rPr>
            </w:pPr>
            <w:r>
              <w:rPr>
                <w:rFonts w:ascii="Arial" w:cs="Arial" w:eastAsia="Arial" w:hAnsi="Arial"/>
                <w:sz w:val="16"/>
                <w:szCs w:val="16"/>
                <w:color w:val="auto"/>
              </w:rPr>
              <w:t>Treasury stock, at cost – 19,685 and 54,078 shares, respectively</w:t>
            </w:r>
          </w:p>
        </w:tc>
        <w:tc>
          <w:tcPr>
            <w:tcW w:w="6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(1,287)</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(20,078)</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(20,084)</w:t>
            </w:r>
          </w:p>
        </w:tc>
        <w:tc>
          <w:tcPr>
            <w:tcW w:w="0" w:type="dxa"/>
            <w:vAlign w:val="bottom"/>
          </w:tcPr>
          <w:p>
            <w:pPr>
              <w:spacing w:after="0"/>
              <w:rPr>
                <w:sz w:val="1"/>
                <w:szCs w:val="1"/>
                <w:color w:val="auto"/>
              </w:rPr>
            </w:pPr>
          </w:p>
        </w:tc>
      </w:tr>
      <w:tr>
        <w:trPr>
          <w:trHeight w:val="209"/>
        </w:trPr>
        <w:tc>
          <w:tcPr>
            <w:tcW w:w="7160" w:type="dxa"/>
            <w:vAlign w:val="bottom"/>
            <w:gridSpan w:val="3"/>
          </w:tcPr>
          <w:p>
            <w:pPr>
              <w:ind w:left="600"/>
              <w:spacing w:after="0"/>
              <w:rPr>
                <w:sz w:val="20"/>
                <w:szCs w:val="20"/>
                <w:color w:val="auto"/>
              </w:rPr>
            </w:pPr>
            <w:r>
              <w:rPr>
                <w:rFonts w:ascii="Arial" w:cs="Arial" w:eastAsia="Arial" w:hAnsi="Arial"/>
                <w:sz w:val="16"/>
                <w:szCs w:val="16"/>
                <w:color w:val="auto"/>
              </w:rPr>
              <w:t>Total stockholders’ equity</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2,871,915</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2,787,094</w:t>
            </w:r>
          </w:p>
        </w:tc>
        <w:tc>
          <w:tcPr>
            <w:tcW w:w="0" w:type="dxa"/>
            <w:vAlign w:val="bottom"/>
          </w:tcPr>
          <w:p>
            <w:pPr>
              <w:spacing w:after="0"/>
              <w:rPr>
                <w:sz w:val="1"/>
                <w:szCs w:val="1"/>
                <w:color w:val="auto"/>
              </w:rPr>
            </w:pPr>
          </w:p>
        </w:tc>
      </w:tr>
      <w:tr>
        <w:trPr>
          <w:trHeight w:val="217"/>
        </w:trPr>
        <w:tc>
          <w:tcPr>
            <w:tcW w:w="7160" w:type="dxa"/>
            <w:vAlign w:val="bottom"/>
            <w:gridSpan w:val="3"/>
            <w:shd w:val="clear" w:color="auto" w:fill="CEFFE7"/>
          </w:tcPr>
          <w:p>
            <w:pPr>
              <w:jc w:val="center"/>
              <w:ind w:right="5120"/>
              <w:spacing w:after="0"/>
              <w:rPr>
                <w:sz w:val="20"/>
                <w:szCs w:val="20"/>
                <w:color w:val="auto"/>
              </w:rPr>
            </w:pPr>
            <w:r>
              <w:rPr>
                <w:rFonts w:ascii="Arial" w:cs="Arial" w:eastAsia="Arial" w:hAnsi="Arial"/>
                <w:sz w:val="16"/>
                <w:szCs w:val="16"/>
                <w:color w:val="auto"/>
              </w:rPr>
              <w:t>Non-controlling interest</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99,107</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100,029</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EFFE7"/>
            </w:tcBorders>
            <w:gridSpan w:val="3"/>
          </w:tcPr>
          <w:p>
            <w:pPr>
              <w:jc w:val="center"/>
              <w:ind w:right="5140"/>
              <w:spacing w:after="0"/>
              <w:rPr>
                <w:sz w:val="20"/>
                <w:szCs w:val="20"/>
                <w:color w:val="auto"/>
              </w:rPr>
            </w:pPr>
            <w:r>
              <w:rPr>
                <w:rFonts w:ascii="Arial" w:cs="Arial" w:eastAsia="Arial" w:hAnsi="Arial"/>
                <w:sz w:val="16"/>
                <w:szCs w:val="16"/>
                <w:color w:val="auto"/>
                <w:w w:val="99"/>
              </w:rPr>
              <w:t>Total equity</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2,971,022</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2,887,123</w:t>
            </w:r>
          </w:p>
        </w:tc>
        <w:tc>
          <w:tcPr>
            <w:tcW w:w="0" w:type="dxa"/>
            <w:vAlign w:val="bottom"/>
          </w:tcPr>
          <w:p>
            <w:pPr>
              <w:spacing w:after="0"/>
              <w:rPr>
                <w:sz w:val="1"/>
                <w:szCs w:val="1"/>
                <w:color w:val="auto"/>
              </w:rPr>
            </w:pPr>
          </w:p>
        </w:tc>
      </w:tr>
      <w:tr>
        <w:trPr>
          <w:trHeight w:val="237"/>
        </w:trPr>
        <w:tc>
          <w:tcPr>
            <w:tcW w:w="3380" w:type="dxa"/>
            <w:vAlign w:val="bottom"/>
            <w:shd w:val="clear" w:color="auto" w:fill="CEFFE7"/>
          </w:tcPr>
          <w:p>
            <w:pPr>
              <w:spacing w:after="0"/>
              <w:rPr>
                <w:sz w:val="20"/>
                <w:szCs w:val="20"/>
                <w:color w:val="auto"/>
              </w:rPr>
            </w:pPr>
          </w:p>
        </w:tc>
        <w:tc>
          <w:tcPr>
            <w:tcW w:w="480" w:type="dxa"/>
            <w:vAlign w:val="bottom"/>
            <w:shd w:val="clear" w:color="auto" w:fill="CEFFE7"/>
          </w:tcPr>
          <w:p>
            <w:pPr>
              <w:spacing w:after="0"/>
              <w:rPr>
                <w:sz w:val="20"/>
                <w:szCs w:val="20"/>
                <w:color w:val="auto"/>
              </w:rPr>
            </w:pPr>
          </w:p>
        </w:tc>
        <w:tc>
          <w:tcPr>
            <w:tcW w:w="3300" w:type="dxa"/>
            <w:vAlign w:val="bottom"/>
            <w:shd w:val="clear" w:color="auto" w:fill="CEFFE7"/>
          </w:tcPr>
          <w:p>
            <w:pPr>
              <w:spacing w:after="0"/>
              <w:rPr>
                <w:sz w:val="20"/>
                <w:szCs w:val="20"/>
                <w:color w:val="auto"/>
              </w:rPr>
            </w:pPr>
          </w:p>
        </w:tc>
        <w:tc>
          <w:tcPr>
            <w:tcW w:w="660" w:type="dxa"/>
            <w:vAlign w:val="bottom"/>
            <w:shd w:val="clear" w:color="auto" w:fill="CEFFE7"/>
          </w:tcPr>
          <w:p>
            <w:pPr>
              <w:spacing w:after="0"/>
              <w:rPr>
                <w:sz w:val="20"/>
                <w:szCs w:val="20"/>
                <w:color w:val="auto"/>
              </w:rPr>
            </w:pPr>
          </w:p>
        </w:tc>
        <w:tc>
          <w:tcPr>
            <w:tcW w:w="1380" w:type="dxa"/>
            <w:vAlign w:val="bottom"/>
            <w:shd w:val="clear" w:color="auto" w:fill="CEFFE7"/>
          </w:tcPr>
          <w:p>
            <w:pPr>
              <w:spacing w:after="0"/>
              <w:rPr>
                <w:sz w:val="20"/>
                <w:szCs w:val="20"/>
                <w:color w:val="auto"/>
              </w:rPr>
            </w:pPr>
          </w:p>
        </w:tc>
        <w:tc>
          <w:tcPr>
            <w:tcW w:w="700" w:type="dxa"/>
            <w:vAlign w:val="bottom"/>
            <w:shd w:val="clear" w:color="auto" w:fill="CEFFE7"/>
          </w:tcPr>
          <w:p>
            <w:pPr>
              <w:spacing w:after="0"/>
              <w:rPr>
                <w:sz w:val="20"/>
                <w:szCs w:val="20"/>
                <w:color w:val="auto"/>
              </w:rPr>
            </w:pPr>
          </w:p>
        </w:tc>
        <w:tc>
          <w:tcPr>
            <w:tcW w:w="134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gridSpan w:val="3"/>
          </w:tcPr>
          <w:p>
            <w:pPr>
              <w:ind w:left="20"/>
              <w:spacing w:after="0"/>
              <w:rPr>
                <w:sz w:val="20"/>
                <w:szCs w:val="20"/>
                <w:color w:val="auto"/>
              </w:rPr>
            </w:pPr>
            <w:r>
              <w:rPr>
                <w:rFonts w:ascii="Arial" w:cs="Arial" w:eastAsia="Arial" w:hAnsi="Arial"/>
                <w:sz w:val="16"/>
                <w:szCs w:val="16"/>
                <w:color w:val="auto"/>
              </w:rPr>
              <w:t>TOTAL LIABILITIES AND TOTAL EQUITY</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9,130,654</w:t>
            </w:r>
          </w:p>
        </w:tc>
        <w:tc>
          <w:tcPr>
            <w:tcW w:w="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9,131,896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6"/>
                <w:szCs w:val="16"/>
                <w:color w:val="auto"/>
              </w:rPr>
            </w:pPr>
          </w:p>
        </w:tc>
        <w:tc>
          <w:tcPr>
            <w:tcW w:w="2920" w:type="dxa"/>
            <w:vAlign w:val="bottom"/>
            <w:gridSpan w:val="3"/>
          </w:tcPr>
          <w:p>
            <w:pPr>
              <w:jc w:val="right"/>
              <w:ind w:right="568"/>
              <w:spacing w:after="0"/>
              <w:rPr>
                <w:sz w:val="20"/>
                <w:szCs w:val="20"/>
                <w:color w:val="auto"/>
              </w:rPr>
            </w:pPr>
            <w:r>
              <w:rPr>
                <w:rFonts w:ascii="Arial" w:cs="Arial" w:eastAsia="Arial" w:hAnsi="Arial"/>
                <w:sz w:val="14"/>
                <w:szCs w:val="14"/>
                <w:color w:val="auto"/>
              </w:rPr>
              <w:t>Three Months Ended March 31,</w:t>
            </w:r>
          </w:p>
        </w:tc>
      </w:tr>
      <w:tr>
        <w:trPr>
          <w:trHeight w:val="204"/>
        </w:trPr>
        <w:tc>
          <w:tcPr>
            <w:tcW w:w="7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2022</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2021</w:t>
            </w:r>
          </w:p>
        </w:tc>
      </w:tr>
      <w:tr>
        <w:trPr>
          <w:trHeight w:val="198"/>
        </w:trPr>
        <w:tc>
          <w:tcPr>
            <w:tcW w:w="794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7"/>
                <w:szCs w:val="17"/>
                <w:color w:val="auto"/>
              </w:rPr>
            </w:pPr>
          </w:p>
        </w:tc>
        <w:tc>
          <w:tcPr>
            <w:tcW w:w="1840" w:type="dxa"/>
            <w:vAlign w:val="bottom"/>
            <w:gridSpan w:val="2"/>
          </w:tcPr>
          <w:p>
            <w:pPr>
              <w:jc w:val="right"/>
              <w:ind w:right="48"/>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7"/>
                <w:szCs w:val="17"/>
                <w:color w:val="auto"/>
              </w:rPr>
            </w:pPr>
          </w:p>
        </w:tc>
      </w:tr>
      <w:tr>
        <w:trPr>
          <w:trHeight w:val="207"/>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121,024</w:t>
            </w:r>
          </w:p>
        </w:tc>
        <w:tc>
          <w:tcPr>
            <w:tcW w:w="580" w:type="dxa"/>
            <w:vAlign w:val="bottom"/>
            <w:shd w:val="clear" w:color="auto" w:fill="CEFFE7"/>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100,487</w:t>
            </w:r>
          </w:p>
        </w:tc>
      </w:tr>
      <w:tr>
        <w:trPr>
          <w:trHeight w:val="198"/>
        </w:trPr>
        <w:tc>
          <w:tcPr>
            <w:tcW w:w="7940" w:type="dxa"/>
            <w:vAlign w:val="bottom"/>
          </w:tcPr>
          <w:p>
            <w:pPr>
              <w:ind w:left="10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60,463</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57,269</w:t>
            </w:r>
          </w:p>
        </w:tc>
      </w:tr>
      <w:tr>
        <w:trPr>
          <w:trHeight w:val="198"/>
        </w:trPr>
        <w:tc>
          <w:tcPr>
            <w:tcW w:w="7940" w:type="dxa"/>
            <w:vAlign w:val="bottom"/>
          </w:tcPr>
          <w:p>
            <w:pPr>
              <w:ind w:left="360"/>
              <w:spacing w:after="0"/>
              <w:rPr>
                <w:sz w:val="20"/>
                <w:szCs w:val="20"/>
                <w:color w:val="auto"/>
              </w:rPr>
            </w:pPr>
            <w:r>
              <w:rPr>
                <w:rFonts w:ascii="Arial" w:cs="Arial" w:eastAsia="Arial" w:hAnsi="Arial"/>
                <w:sz w:val="14"/>
                <w:szCs w:val="14"/>
                <w:color w:val="auto"/>
              </w:rPr>
              <w:t>Deferred financing cost amortization</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2,475</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2,214</w:t>
            </w:r>
          </w:p>
        </w:tc>
      </w:tr>
      <w:tr>
        <w:trPr>
          <w:trHeight w:val="206"/>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Stock compensation</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3,638</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3,257</w:t>
            </w:r>
          </w:p>
        </w:tc>
      </w:tr>
      <w:tr>
        <w:trPr>
          <w:trHeight w:val="199"/>
        </w:trPr>
        <w:tc>
          <w:tcPr>
            <w:tcW w:w="7940" w:type="dxa"/>
            <w:vAlign w:val="bottom"/>
          </w:tcPr>
          <w:p>
            <w:pPr>
              <w:ind w:left="360"/>
              <w:spacing w:after="0"/>
              <w:rPr>
                <w:sz w:val="20"/>
                <w:szCs w:val="20"/>
                <w:color w:val="auto"/>
              </w:rPr>
            </w:pPr>
            <w:r>
              <w:rPr>
                <w:rFonts w:ascii="Arial" w:cs="Arial" w:eastAsia="Arial" w:hAnsi="Arial"/>
                <w:sz w:val="14"/>
                <w:szCs w:val="14"/>
                <w:color w:val="auto"/>
              </w:rPr>
              <w:t>Deferred income taxes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14,462</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w:t>
            </w:r>
          </w:p>
        </w:tc>
      </w:tr>
      <w:tr>
        <w:trPr>
          <w:trHeight w:val="206"/>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Employee benefit plans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1,173</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2,304</w:t>
            </w:r>
          </w:p>
        </w:tc>
      </w:tr>
      <w:tr>
        <w:trPr>
          <w:trHeight w:val="199"/>
        </w:trPr>
        <w:tc>
          <w:tcPr>
            <w:tcW w:w="7940" w:type="dxa"/>
            <w:vAlign w:val="bottom"/>
          </w:tcPr>
          <w:p>
            <w:pPr>
              <w:ind w:left="360"/>
              <w:spacing w:after="0"/>
              <w:rPr>
                <w:sz w:val="20"/>
                <w:szCs w:val="20"/>
                <w:color w:val="auto"/>
              </w:rPr>
            </w:pPr>
            <w:r>
              <w:rPr>
                <w:rFonts w:ascii="Arial" w:cs="Arial" w:eastAsia="Arial" w:hAnsi="Arial"/>
                <w:sz w:val="14"/>
                <w:szCs w:val="14"/>
                <w:color w:val="auto"/>
              </w:rPr>
              <w:t>Other adjustments, net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5,337</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6,151</w:t>
            </w:r>
          </w:p>
        </w:tc>
      </w:tr>
      <w:tr>
        <w:trPr>
          <w:trHeight w:val="206"/>
        </w:trPr>
        <w:tc>
          <w:tcPr>
            <w:tcW w:w="7940" w:type="dxa"/>
            <w:vAlign w:val="bottom"/>
            <w:shd w:val="clear" w:color="auto" w:fill="CEFFE7"/>
          </w:tcPr>
          <w:p>
            <w:pPr>
              <w:ind w:left="100"/>
              <w:spacing w:after="0"/>
              <w:rPr>
                <w:sz w:val="20"/>
                <w:szCs w:val="20"/>
                <w:color w:val="auto"/>
              </w:rPr>
            </w:pPr>
            <w:r>
              <w:rPr>
                <w:rFonts w:ascii="Arial" w:cs="Arial" w:eastAsia="Arial" w:hAnsi="Arial"/>
                <w:sz w:val="14"/>
                <w:szCs w:val="14"/>
                <w:color w:val="auto"/>
              </w:rPr>
              <w:t>Changes in certain operating assets and liabilities: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99"/>
        </w:trPr>
        <w:tc>
          <w:tcPr>
            <w:tcW w:w="7940" w:type="dxa"/>
            <w:vAlign w:val="bottom"/>
          </w:tcPr>
          <w:p>
            <w:pPr>
              <w:ind w:left="360"/>
              <w:spacing w:after="0"/>
              <w:rPr>
                <w:sz w:val="20"/>
                <w:szCs w:val="20"/>
                <w:color w:val="auto"/>
              </w:rPr>
            </w:pPr>
            <w:r>
              <w:rPr>
                <w:rFonts w:ascii="Arial" w:cs="Arial" w:eastAsia="Arial" w:hAnsi="Arial"/>
                <w:sz w:val="14"/>
                <w:szCs w:val="14"/>
                <w:color w:val="auto"/>
              </w:rPr>
              <w:t>Materials, supplies and fuel</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34,995</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15,932</w:t>
            </w:r>
          </w:p>
        </w:tc>
      </w:tr>
      <w:tr>
        <w:trPr>
          <w:trHeight w:val="206"/>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Accounts receivable and other current assets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(71,241)</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(11,599)</w:t>
            </w:r>
          </w:p>
        </w:tc>
      </w:tr>
      <w:tr>
        <w:trPr>
          <w:trHeight w:val="199"/>
        </w:trPr>
        <w:tc>
          <w:tcPr>
            <w:tcW w:w="7940" w:type="dxa"/>
            <w:vAlign w:val="bottom"/>
          </w:tcPr>
          <w:p>
            <w:pPr>
              <w:ind w:left="360"/>
              <w:spacing w:after="0"/>
              <w:rPr>
                <w:sz w:val="20"/>
                <w:szCs w:val="20"/>
                <w:color w:val="auto"/>
              </w:rPr>
            </w:pPr>
            <w:r>
              <w:rPr>
                <w:rFonts w:ascii="Arial" w:cs="Arial" w:eastAsia="Arial" w:hAnsi="Arial"/>
                <w:sz w:val="14"/>
                <w:szCs w:val="14"/>
                <w:color w:val="auto"/>
              </w:rPr>
              <w:t>Accounts payable and other current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(8,422)</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(23,602)</w:t>
            </w:r>
          </w:p>
        </w:tc>
      </w:tr>
      <w:tr>
        <w:trPr>
          <w:trHeight w:val="206"/>
        </w:trPr>
        <w:tc>
          <w:tcPr>
            <w:tcW w:w="7940" w:type="dxa"/>
            <w:vAlign w:val="bottom"/>
            <w:shd w:val="clear" w:color="auto" w:fill="CEFFE7"/>
          </w:tcPr>
          <w:p>
            <w:pPr>
              <w:ind w:left="360"/>
              <w:spacing w:after="0"/>
              <w:rPr>
                <w:sz w:val="20"/>
                <w:szCs w:val="20"/>
                <w:color w:val="auto"/>
              </w:rPr>
            </w:pPr>
            <w:r>
              <w:rPr>
                <w:rFonts w:ascii="Arial" w:cs="Arial" w:eastAsia="Arial" w:hAnsi="Arial"/>
                <w:sz w:val="14"/>
                <w:szCs w:val="14"/>
                <w:color w:val="auto"/>
              </w:rPr>
              <w:t>Regulatory assets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98,528</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(533,006)</w:t>
            </w:r>
          </w:p>
        </w:tc>
      </w:tr>
      <w:tr>
        <w:trPr>
          <w:trHeight w:val="199"/>
        </w:trPr>
        <w:tc>
          <w:tcPr>
            <w:tcW w:w="7940" w:type="dxa"/>
            <w:vAlign w:val="bottom"/>
          </w:tcPr>
          <w:p>
            <w:pPr>
              <w:ind w:left="360"/>
              <w:spacing w:after="0"/>
              <w:rPr>
                <w:sz w:val="20"/>
                <w:szCs w:val="20"/>
                <w:color w:val="auto"/>
              </w:rPr>
            </w:pPr>
            <w:r>
              <w:rPr>
                <w:rFonts w:ascii="Arial" w:cs="Arial" w:eastAsia="Arial" w:hAnsi="Arial"/>
                <w:sz w:val="14"/>
                <w:szCs w:val="14"/>
                <w:color w:val="auto"/>
              </w:rPr>
              <w:t>Regulatory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(5,291)</w:t>
            </w:r>
          </w:p>
        </w:tc>
      </w:tr>
      <w:tr>
        <w:trPr>
          <w:trHeight w:val="206"/>
        </w:trPr>
        <w:tc>
          <w:tcPr>
            <w:tcW w:w="794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operating activities, net</w:t>
            </w:r>
          </w:p>
        </w:tc>
        <w:tc>
          <w:tcPr>
            <w:tcW w:w="380" w:type="dxa"/>
            <w:vAlign w:val="bottom"/>
            <w:tcBorders>
              <w:bottom w:val="single" w:sz="8" w:color="auto"/>
            </w:tcBorders>
            <w:shd w:val="clear" w:color="auto" w:fill="CEFFE7"/>
          </w:tcPr>
          <w:p>
            <w:pPr>
              <w:spacing w:after="0"/>
              <w:rPr>
                <w:sz w:val="17"/>
                <w:szCs w:val="17"/>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1,689</w:t>
            </w:r>
          </w:p>
        </w:tc>
        <w:tc>
          <w:tcPr>
            <w:tcW w:w="580" w:type="dxa"/>
            <w:vAlign w:val="bottom"/>
            <w:tcBorders>
              <w:bottom w:val="single" w:sz="8" w:color="auto"/>
            </w:tcBorders>
            <w:shd w:val="clear" w:color="auto" w:fill="CEFFE7"/>
          </w:tcPr>
          <w:p>
            <w:pPr>
              <w:spacing w:after="0"/>
              <w:rPr>
                <w:sz w:val="17"/>
                <w:szCs w:val="17"/>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(355)</w:t>
            </w:r>
          </w:p>
        </w:tc>
      </w:tr>
      <w:tr>
        <w:trPr>
          <w:trHeight w:val="192"/>
        </w:trPr>
        <w:tc>
          <w:tcPr>
            <w:tcW w:w="79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264,121</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(386,086)</w:t>
            </w:r>
          </w:p>
        </w:tc>
      </w:tr>
      <w:tr>
        <w:trPr>
          <w:trHeight w:val="200"/>
        </w:trPr>
        <w:tc>
          <w:tcPr>
            <w:tcW w:w="794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98"/>
        </w:trPr>
        <w:tc>
          <w:tcPr>
            <w:tcW w:w="794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7940" w:type="dxa"/>
            <w:vAlign w:val="bottom"/>
            <w:shd w:val="clear" w:color="auto" w:fill="CEFFE7"/>
          </w:tcPr>
          <w:p>
            <w:pPr>
              <w:ind w:left="180"/>
              <w:spacing w:after="0"/>
              <w:rPr>
                <w:sz w:val="20"/>
                <w:szCs w:val="20"/>
                <w:color w:val="auto"/>
              </w:rPr>
            </w:pPr>
            <w:r>
              <w:rPr>
                <w:rFonts w:ascii="Arial" w:cs="Arial" w:eastAsia="Arial" w:hAnsi="Arial"/>
                <w:sz w:val="14"/>
                <w:szCs w:val="14"/>
                <w:color w:val="auto"/>
              </w:rPr>
              <w:t>Property, plant and equipment additions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(136,779)</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(146,302)</w:t>
            </w:r>
          </w:p>
        </w:tc>
      </w:tr>
      <w:tr>
        <w:trPr>
          <w:trHeight w:val="198"/>
        </w:trPr>
        <w:tc>
          <w:tcPr>
            <w:tcW w:w="7940" w:type="dxa"/>
            <w:vAlign w:val="bottom"/>
            <w:tcBorders>
              <w:bottom w:val="single" w:sz="8" w:color="CEFFE7"/>
            </w:tcBorders>
          </w:tcPr>
          <w:p>
            <w:pPr>
              <w:ind w:left="180"/>
              <w:spacing w:after="0"/>
              <w:rPr>
                <w:sz w:val="20"/>
                <w:szCs w:val="20"/>
                <w:color w:val="auto"/>
              </w:rPr>
            </w:pPr>
            <w:r>
              <w:rPr>
                <w:rFonts w:ascii="Arial" w:cs="Arial" w:eastAsia="Arial" w:hAnsi="Arial"/>
                <w:sz w:val="14"/>
                <w:szCs w:val="14"/>
                <w:color w:val="auto"/>
              </w:rPr>
              <w:t>Other investing activities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r>
      <w:tr>
        <w:trPr>
          <w:trHeight w:val="196"/>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bottom w:val="single" w:sz="8" w:color="auto"/>
            </w:tcBorders>
            <w:shd w:val="clear" w:color="auto" w:fill="CEFFE7"/>
          </w:tcPr>
          <w:p>
            <w:pPr>
              <w:spacing w:after="0"/>
              <w:rPr>
                <w:sz w:val="17"/>
                <w:szCs w:val="17"/>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(137,844)</w:t>
            </w:r>
          </w:p>
        </w:tc>
        <w:tc>
          <w:tcPr>
            <w:tcW w:w="580" w:type="dxa"/>
            <w:vAlign w:val="bottom"/>
            <w:tcBorders>
              <w:bottom w:val="single" w:sz="8" w:color="auto"/>
            </w:tcBorders>
            <w:shd w:val="clear" w:color="auto" w:fill="CEFFE7"/>
          </w:tcPr>
          <w:p>
            <w:pPr>
              <w:spacing w:after="0"/>
              <w:rPr>
                <w:sz w:val="17"/>
                <w:szCs w:val="17"/>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(146,224)</w:t>
            </w:r>
          </w:p>
        </w:tc>
      </w:tr>
      <w:tr>
        <w:trPr>
          <w:trHeight w:val="200"/>
        </w:trPr>
        <w:tc>
          <w:tcPr>
            <w:tcW w:w="7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98"/>
        </w:trPr>
        <w:tc>
          <w:tcPr>
            <w:tcW w:w="7940" w:type="dxa"/>
            <w:vAlign w:val="bottom"/>
          </w:tcPr>
          <w:p>
            <w:pPr>
              <w:ind w:left="220"/>
              <w:spacing w:after="0"/>
              <w:rPr>
                <w:sz w:val="20"/>
                <w:szCs w:val="20"/>
                <w:color w:val="auto"/>
              </w:rPr>
            </w:pPr>
            <w:r>
              <w:rPr>
                <w:rFonts w:ascii="Arial" w:cs="Arial" w:eastAsia="Arial" w:hAnsi="Arial"/>
                <w:sz w:val="14"/>
                <w:szCs w:val="14"/>
                <w:color w:val="auto"/>
              </w:rPr>
              <w:t>Dividends paid on common stock</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(38,533)</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(35,514)</w:t>
            </w:r>
          </w:p>
        </w:tc>
      </w:tr>
      <w:tr>
        <w:trPr>
          <w:trHeight w:val="207"/>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Common stock issued</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3,791</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940" w:type="dxa"/>
            <w:vAlign w:val="bottom"/>
          </w:tcPr>
          <w:p>
            <w:pPr>
              <w:ind w:left="220"/>
              <w:spacing w:after="0"/>
              <w:rPr>
                <w:sz w:val="20"/>
                <w:szCs w:val="20"/>
                <w:color w:val="auto"/>
              </w:rPr>
            </w:pPr>
            <w:r>
              <w:rPr>
                <w:rFonts w:ascii="Arial" w:cs="Arial" w:eastAsia="Arial" w:hAnsi="Arial"/>
                <w:sz w:val="14"/>
                <w:szCs w:val="14"/>
                <w:color w:val="auto"/>
              </w:rPr>
              <w:t>Term loan - borrowings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800,000</w:t>
            </w:r>
          </w:p>
        </w:tc>
      </w:tr>
      <w:tr>
        <w:trPr>
          <w:trHeight w:val="207"/>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Term loan - repayments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(200,000)</w:t>
            </w:r>
          </w:p>
        </w:tc>
      </w:tr>
      <w:tr>
        <w:trPr>
          <w:trHeight w:val="198"/>
        </w:trPr>
        <w:tc>
          <w:tcPr>
            <w:tcW w:w="7940" w:type="dxa"/>
            <w:vAlign w:val="bottom"/>
          </w:tcPr>
          <w:p>
            <w:pPr>
              <w:ind w:left="220"/>
              <w:spacing w:after="0"/>
              <w:rPr>
                <w:sz w:val="20"/>
                <w:szCs w:val="20"/>
                <w:color w:val="auto"/>
              </w:rPr>
            </w:pPr>
            <w:r>
              <w:rPr>
                <w:rFonts w:ascii="Arial" w:cs="Arial" w:eastAsia="Arial" w:hAnsi="Arial"/>
                <w:sz w:val="14"/>
                <w:szCs w:val="14"/>
                <w:color w:val="auto"/>
              </w:rPr>
              <w:t>Net borrowings (payments) of Revolving Credit Facility and CP Program</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(78,700)</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(18,170)</w:t>
            </w:r>
          </w:p>
        </w:tc>
      </w:tr>
      <w:tr>
        <w:trPr>
          <w:trHeight w:val="207"/>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Long-term debt - repayments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(1,436)</w:t>
            </w:r>
          </w:p>
        </w:tc>
      </w:tr>
      <w:tr>
        <w:trPr>
          <w:trHeight w:val="198"/>
        </w:trPr>
        <w:tc>
          <w:tcPr>
            <w:tcW w:w="7940" w:type="dxa"/>
            <w:vAlign w:val="bottom"/>
          </w:tcPr>
          <w:p>
            <w:pPr>
              <w:ind w:left="220"/>
              <w:spacing w:after="0"/>
              <w:rPr>
                <w:sz w:val="20"/>
                <w:szCs w:val="20"/>
                <w:color w:val="auto"/>
              </w:rPr>
            </w:pPr>
            <w:r>
              <w:rPr>
                <w:rFonts w:ascii="Arial" w:cs="Arial" w:eastAsia="Arial" w:hAnsi="Arial"/>
                <w:sz w:val="14"/>
                <w:szCs w:val="14"/>
                <w:color w:val="auto"/>
              </w:rPr>
              <w:t>Distributions to non-controlling interest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(4,420)</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(4,644)</w:t>
            </w:r>
          </w:p>
        </w:tc>
      </w:tr>
      <w:tr>
        <w:trPr>
          <w:trHeight w:val="207"/>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Other financing activities</w:t>
            </w:r>
          </w:p>
        </w:tc>
        <w:tc>
          <w:tcPr>
            <w:tcW w:w="380" w:type="dxa"/>
            <w:vAlign w:val="bottom"/>
            <w:tcBorders>
              <w:bottom w:val="single" w:sz="8" w:color="auto"/>
            </w:tcBorders>
            <w:shd w:val="clear" w:color="auto" w:fill="CEFFE7"/>
          </w:tcPr>
          <w:p>
            <w:pPr>
              <w:spacing w:after="0"/>
              <w:rPr>
                <w:sz w:val="17"/>
                <w:szCs w:val="17"/>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(878)</w:t>
            </w:r>
          </w:p>
        </w:tc>
        <w:tc>
          <w:tcPr>
            <w:tcW w:w="580" w:type="dxa"/>
            <w:vAlign w:val="bottom"/>
            <w:tcBorders>
              <w:bottom w:val="single" w:sz="8" w:color="auto"/>
            </w:tcBorders>
            <w:shd w:val="clear" w:color="auto" w:fill="CEFFE7"/>
          </w:tcPr>
          <w:p>
            <w:pPr>
              <w:spacing w:after="0"/>
              <w:rPr>
                <w:sz w:val="17"/>
                <w:szCs w:val="17"/>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(740)</w:t>
            </w:r>
          </w:p>
        </w:tc>
      </w:tr>
      <w:tr>
        <w:trPr>
          <w:trHeight w:val="192"/>
        </w:trPr>
        <w:tc>
          <w:tcPr>
            <w:tcW w:w="79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(118,740)</w:t>
            </w: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539,496</w:t>
            </w:r>
          </w:p>
        </w:tc>
      </w:tr>
      <w:tr>
        <w:trPr>
          <w:trHeight w:val="200"/>
        </w:trPr>
        <w:tc>
          <w:tcPr>
            <w:tcW w:w="794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98"/>
        </w:trPr>
        <w:tc>
          <w:tcPr>
            <w:tcW w:w="7940" w:type="dxa"/>
            <w:vAlign w:val="bottom"/>
          </w:tcPr>
          <w:p>
            <w:pPr>
              <w:ind w:left="220"/>
              <w:spacing w:after="0"/>
              <w:rPr>
                <w:sz w:val="20"/>
                <w:szCs w:val="20"/>
                <w:color w:val="auto"/>
              </w:rPr>
            </w:pPr>
            <w:r>
              <w:rPr>
                <w:rFonts w:ascii="Arial" w:cs="Arial" w:eastAsia="Arial" w:hAnsi="Arial"/>
                <w:sz w:val="14"/>
                <w:szCs w:val="14"/>
                <w:color w:val="auto"/>
              </w:rPr>
              <w:t>Net change in cash, restricted cash and cash equivalents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7,537</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7,186</w:t>
            </w:r>
          </w:p>
        </w:tc>
      </w:tr>
      <w:tr>
        <w:trPr>
          <w:trHeight w:val="220"/>
        </w:trPr>
        <w:tc>
          <w:tcPr>
            <w:tcW w:w="7940" w:type="dxa"/>
            <w:vAlign w:val="bottom"/>
            <w:shd w:val="clear" w:color="auto" w:fill="CEFFE7"/>
          </w:tcPr>
          <w:p>
            <w:pPr>
              <w:spacing w:after="0"/>
              <w:rPr>
                <w:sz w:val="19"/>
                <w:szCs w:val="19"/>
                <w:color w:val="auto"/>
              </w:rPr>
            </w:pPr>
          </w:p>
        </w:tc>
        <w:tc>
          <w:tcPr>
            <w:tcW w:w="38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58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r>
      <w:tr>
        <w:trPr>
          <w:trHeight w:val="198"/>
        </w:trPr>
        <w:tc>
          <w:tcPr>
            <w:tcW w:w="794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Cash, restricted cash and cash equivalents at beginning of period</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13,810</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10,739</w:t>
            </w:r>
          </w:p>
        </w:tc>
      </w:tr>
      <w:tr>
        <w:trPr>
          <w:trHeight w:val="225"/>
        </w:trPr>
        <w:tc>
          <w:tcPr>
            <w:tcW w:w="79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4"/>
                <w:szCs w:val="14"/>
                <w:color w:val="auto"/>
              </w:rPr>
              <w:t>Cash, restricted cash and cash equivalents at end of period</w:t>
            </w:r>
          </w:p>
        </w:tc>
        <w:tc>
          <w:tcPr>
            <w:tcW w:w="380" w:type="dxa"/>
            <w:vAlign w:val="bottom"/>
            <w:tcBorders>
              <w:bottom w:val="single" w:sz="8" w:color="auto"/>
            </w:tcBorders>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21,347</w:t>
            </w:r>
          </w:p>
        </w:tc>
        <w:tc>
          <w:tcPr>
            <w:tcW w:w="580" w:type="dxa"/>
            <w:vAlign w:val="bottom"/>
            <w:tcBorders>
              <w:bottom w:val="single" w:sz="8" w:color="auto"/>
            </w:tcBorders>
            <w:shd w:val="clear" w:color="auto" w:fill="CEFFE7"/>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17,925</w:t>
            </w:r>
          </w:p>
        </w:tc>
      </w:tr>
      <w:tr>
        <w:trPr>
          <w:trHeight w:val="20"/>
        </w:trPr>
        <w:tc>
          <w:tcPr>
            <w:tcW w:w="794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58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7940" w:type="dxa"/>
            <w:vAlign w:val="bottom"/>
            <w:shd w:val="clear" w:color="auto" w:fill="CEFFE7"/>
          </w:tcPr>
          <w:p>
            <w:pPr>
              <w:ind w:left="20"/>
              <w:spacing w:after="0"/>
              <w:rPr>
                <w:sz w:val="20"/>
                <w:szCs w:val="20"/>
                <w:color w:val="auto"/>
              </w:rPr>
            </w:pPr>
            <w:r>
              <w:rPr>
                <w:rFonts w:ascii="Arial" w:cs="Arial" w:eastAsia="Arial" w:hAnsi="Arial"/>
                <w:sz w:val="14"/>
                <w:szCs w:val="14"/>
                <w:color w:val="auto"/>
              </w:rPr>
              <w:t>Supplemental cash flow information:</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98"/>
        </w:trPr>
        <w:tc>
          <w:tcPr>
            <w:tcW w:w="7940" w:type="dxa"/>
            <w:vAlign w:val="bottom"/>
          </w:tcPr>
          <w:p>
            <w:pPr>
              <w:ind w:left="140"/>
              <w:spacing w:after="0"/>
              <w:rPr>
                <w:sz w:val="20"/>
                <w:szCs w:val="20"/>
                <w:color w:val="auto"/>
              </w:rPr>
            </w:pPr>
            <w:r>
              <w:rPr>
                <w:rFonts w:ascii="Arial" w:cs="Arial" w:eastAsia="Arial" w:hAnsi="Arial"/>
                <w:sz w:val="14"/>
                <w:szCs w:val="14"/>
                <w:color w:val="auto"/>
              </w:rPr>
              <w:t>Cash (paid) refunded during the period:</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7940" w:type="dxa"/>
            <w:vAlign w:val="bottom"/>
            <w:shd w:val="clear" w:color="auto" w:fill="CEFFE7"/>
          </w:tcPr>
          <w:p>
            <w:pPr>
              <w:ind w:left="220"/>
              <w:spacing w:after="0"/>
              <w:rPr>
                <w:sz w:val="20"/>
                <w:szCs w:val="20"/>
                <w:color w:val="auto"/>
              </w:rPr>
            </w:pPr>
            <w:r>
              <w:rPr>
                <w:rFonts w:ascii="Arial" w:cs="Arial" w:eastAsia="Arial" w:hAnsi="Arial"/>
                <w:sz w:val="14"/>
                <w:szCs w:val="14"/>
                <w:color w:val="auto"/>
              </w:rPr>
              <w:t>Interest, net of amounts capitalized</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(23,605)</w:t>
            </w:r>
          </w:p>
        </w:tc>
        <w:tc>
          <w:tcPr>
            <w:tcW w:w="580" w:type="dxa"/>
            <w:vAlign w:val="bottom"/>
            <w:shd w:val="clear" w:color="auto" w:fill="CEFFE7"/>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(21,232)</w:t>
            </w:r>
          </w:p>
        </w:tc>
      </w:tr>
      <w:tr>
        <w:trPr>
          <w:trHeight w:val="198"/>
        </w:trPr>
        <w:tc>
          <w:tcPr>
            <w:tcW w:w="7940" w:type="dxa"/>
            <w:vAlign w:val="bottom"/>
          </w:tcPr>
          <w:p>
            <w:pPr>
              <w:ind w:left="220"/>
              <w:spacing w:after="0"/>
              <w:rPr>
                <w:sz w:val="20"/>
                <w:szCs w:val="20"/>
                <w:color w:val="auto"/>
              </w:rPr>
            </w:pPr>
            <w:r>
              <w:rPr>
                <w:rFonts w:ascii="Arial" w:cs="Arial" w:eastAsia="Arial" w:hAnsi="Arial"/>
                <w:sz w:val="14"/>
                <w:szCs w:val="14"/>
                <w:color w:val="auto"/>
              </w:rPr>
              <w:t>Income taxes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990</w:t>
            </w:r>
          </w:p>
        </w:tc>
      </w:tr>
      <w:tr>
        <w:trPr>
          <w:trHeight w:val="207"/>
        </w:trPr>
        <w:tc>
          <w:tcPr>
            <w:tcW w:w="7940" w:type="dxa"/>
            <w:vAlign w:val="bottom"/>
            <w:shd w:val="clear" w:color="auto" w:fill="CEFFE7"/>
          </w:tcPr>
          <w:p>
            <w:pPr>
              <w:ind w:left="140"/>
              <w:spacing w:after="0"/>
              <w:rPr>
                <w:sz w:val="20"/>
                <w:szCs w:val="20"/>
                <w:color w:val="auto"/>
              </w:rPr>
            </w:pPr>
            <w:r>
              <w:rPr>
                <w:rFonts w:ascii="Arial" w:cs="Arial" w:eastAsia="Arial" w:hAnsi="Arial"/>
                <w:sz w:val="14"/>
                <w:szCs w:val="14"/>
                <w:color w:val="auto"/>
              </w:rPr>
              <w:t>Non-cash investing and financing activities:</w:t>
            </w: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58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94"/>
        </w:trPr>
        <w:tc>
          <w:tcPr>
            <w:tcW w:w="7940" w:type="dxa"/>
            <w:vAlign w:val="bottom"/>
          </w:tcPr>
          <w:p>
            <w:pPr>
              <w:ind w:left="220"/>
              <w:spacing w:after="0"/>
              <w:rPr>
                <w:sz w:val="20"/>
                <w:szCs w:val="20"/>
                <w:color w:val="auto"/>
              </w:rPr>
            </w:pPr>
            <w:r>
              <w:rPr>
                <w:rFonts w:ascii="Arial" w:cs="Arial" w:eastAsia="Arial" w:hAnsi="Arial"/>
                <w:sz w:val="14"/>
                <w:szCs w:val="14"/>
                <w:color w:val="auto"/>
              </w:rPr>
              <w:t>Accrued property, plant and equipment purchases at March 31</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39,559</w:t>
            </w:r>
          </w:p>
        </w:tc>
        <w:tc>
          <w:tcPr>
            <w:tcW w:w="5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51,914</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color w:val="auto"/>
        </w:rPr>
        <w:t xml:space="preserve">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(unaudited)</w:t>
            </w:r>
          </w:p>
        </w:tc>
        <w:tc>
          <w:tcPr>
            <w:tcW w:w="184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3"/>
          </w:tcPr>
          <w:p>
            <w:pPr>
              <w:jc w:val="right"/>
              <w:spacing w:after="0" w:line="117" w:lineRule="exact"/>
              <w:rPr>
                <w:sz w:val="20"/>
                <w:szCs w:val="20"/>
                <w:color w:val="auto"/>
              </w:rPr>
            </w:pPr>
            <w:r>
              <w:rPr>
                <w:rFonts w:ascii="Arial" w:cs="Arial" w:eastAsia="Arial" w:hAnsi="Arial"/>
                <w:sz w:val="13"/>
                <w:szCs w:val="13"/>
                <w:color w:val="auto"/>
                <w:w w:val="96"/>
              </w:rPr>
              <w:t>Additional Paid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17"/>
              <w:spacing w:after="0" w:line="117" w:lineRule="exact"/>
              <w:rPr>
                <w:sz w:val="20"/>
                <w:szCs w:val="20"/>
                <w:color w:val="auto"/>
              </w:rPr>
            </w:pPr>
            <w:r>
              <w:rPr>
                <w:rFonts w:ascii="Arial" w:cs="Arial" w:eastAsia="Arial" w:hAnsi="Arial"/>
                <w:sz w:val="13"/>
                <w:szCs w:val="13"/>
                <w:color w:val="auto"/>
                <w:w w:val="92"/>
              </w:rPr>
              <w:t>Retained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3"/>
          </w:tcPr>
          <w:p>
            <w:pPr>
              <w:jc w:val="right"/>
              <w:spacing w:after="0" w:line="117" w:lineRule="exact"/>
              <w:rPr>
                <w:sz w:val="20"/>
                <w:szCs w:val="20"/>
                <w:color w:val="auto"/>
              </w:rPr>
            </w:pPr>
            <w:r>
              <w:rPr>
                <w:rFonts w:ascii="Arial" w:cs="Arial" w:eastAsia="Arial" w:hAnsi="Arial"/>
                <w:sz w:val="13"/>
                <w:szCs w:val="13"/>
                <w:color w:val="auto"/>
              </w:rPr>
              <w:t>Non-controlling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60" w:type="dxa"/>
            <w:vAlign w:val="bottom"/>
            <w:tcBorders>
              <w:bottom w:val="single" w:sz="8" w:color="CEFFE7"/>
            </w:tcBorders>
            <w:gridSpan w:val="2"/>
          </w:tcPr>
          <w:p>
            <w:pPr>
              <w:ind w:left="20"/>
              <w:spacing w:after="0"/>
              <w:rPr>
                <w:sz w:val="20"/>
                <w:szCs w:val="20"/>
                <w:color w:val="auto"/>
              </w:rPr>
            </w:pPr>
            <w:r>
              <w:rPr>
                <w:rFonts w:ascii="Arial" w:cs="Arial" w:eastAsia="Arial" w:hAnsi="Arial"/>
                <w:sz w:val="13"/>
                <w:szCs w:val="13"/>
                <w:color w:val="auto"/>
              </w:rPr>
              <w:t>(in thousands except share amounts)</w:t>
            </w: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Shares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rPr>
              <w:t>Value</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Shares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Value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3"/>
                <w:szCs w:val="13"/>
                <w:color w:val="auto"/>
              </w:rPr>
              <w:t>in Capital</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93"/>
              </w:rPr>
              <w:t>Earnings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AOCI</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3"/>
                <w:szCs w:val="13"/>
                <w:color w:val="auto"/>
              </w:rPr>
              <w:t>Interest</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6"/>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b w:val="1"/>
                <w:bCs w:val="1"/>
                <w:color w:val="auto"/>
              </w:rPr>
              <w:t>December 31, 2021</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64,793,095</w:t>
            </w:r>
          </w:p>
        </w:tc>
        <w:tc>
          <w:tcPr>
            <w:tcW w:w="12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64,793</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54,078</w:t>
            </w:r>
          </w:p>
        </w:tc>
        <w:tc>
          <w:tcPr>
            <w:tcW w:w="180" w:type="dxa"/>
            <w:vAlign w:val="bottom"/>
            <w:shd w:val="clear" w:color="auto" w:fill="CEFFE7"/>
          </w:tcPr>
          <w:p>
            <w:pPr>
              <w:jc w:val="center"/>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(3,509)</w:t>
            </w:r>
          </w:p>
        </w:tc>
        <w:tc>
          <w:tcPr>
            <w:tcW w:w="12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1,783,436</w:t>
            </w:r>
          </w:p>
        </w:tc>
        <w:tc>
          <w:tcPr>
            <w:tcW w:w="10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962,458</w:t>
            </w:r>
          </w:p>
        </w:tc>
        <w:tc>
          <w:tcPr>
            <w:tcW w:w="1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(20,084)</w:t>
            </w: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100,029</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2,887,123</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117,526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3,498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121,024</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Other comprehensive income, net of tax</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Dividends on common stock ($0.595 per share)</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(38,533)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(38,533)</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425</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(34,393)</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2,222</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2,031</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55,707</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56</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3,832</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Issuance costs</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71"/>
        </w:trPr>
        <w:tc>
          <w:tcPr>
            <w:tcW w:w="3360" w:type="dxa"/>
            <w:vAlign w:val="bottom"/>
            <w:tcBorders>
              <w:bottom w:val="single" w:sz="8" w:color="CEFFE7"/>
            </w:tcBorders>
            <w:gridSpan w:val="2"/>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(4,420)</w:t>
            </w:r>
          </w:p>
        </w:tc>
        <w:tc>
          <w:tcPr>
            <w:tcW w:w="0" w:type="dxa"/>
            <w:vAlign w:val="bottom"/>
          </w:tcPr>
          <w:p>
            <w:pPr>
              <w:spacing w:after="0"/>
              <w:rPr>
                <w:sz w:val="1"/>
                <w:szCs w:val="1"/>
                <w:color w:val="auto"/>
              </w:rPr>
            </w:pPr>
          </w:p>
        </w:tc>
      </w:tr>
      <w:tr>
        <w:trPr>
          <w:trHeight w:val="172"/>
        </w:trPr>
        <w:tc>
          <w:tcPr>
            <w:tcW w:w="3360" w:type="dxa"/>
            <w:vAlign w:val="bottom"/>
            <w:tcBorders>
              <w:bottom w:val="single" w:sz="8" w:color="CEFFE7"/>
            </w:tcBorders>
            <w:gridSpan w:val="2"/>
            <w:shd w:val="clear" w:color="auto" w:fill="CEFFE7"/>
          </w:tcPr>
          <w:p>
            <w:pPr>
              <w:ind w:left="20"/>
              <w:spacing w:after="0" w:line="147" w:lineRule="exact"/>
              <w:rPr>
                <w:sz w:val="20"/>
                <w:szCs w:val="20"/>
                <w:color w:val="auto"/>
              </w:rPr>
            </w:pPr>
            <w:r>
              <w:rPr>
                <w:rFonts w:ascii="Arial" w:cs="Arial" w:eastAsia="Arial" w:hAnsi="Arial"/>
                <w:sz w:val="13"/>
                <w:szCs w:val="13"/>
                <w:b w:val="1"/>
                <w:bCs w:val="1"/>
                <w:color w:val="auto"/>
              </w:rPr>
              <w:t>March 31, 2022</w:t>
            </w:r>
          </w:p>
        </w:tc>
        <w:tc>
          <w:tcPr>
            <w:tcW w:w="980" w:type="dxa"/>
            <w:vAlign w:val="bottom"/>
            <w:tcBorders>
              <w:bottom w:val="single" w:sz="8" w:color="auto"/>
            </w:tcBorders>
            <w:gridSpan w:val="2"/>
            <w:shd w:val="clear" w:color="auto" w:fill="CEFFE7"/>
          </w:tcPr>
          <w:p>
            <w:pPr>
              <w:jc w:val="right"/>
              <w:spacing w:after="0" w:line="147" w:lineRule="exact"/>
              <w:rPr>
                <w:sz w:val="20"/>
                <w:szCs w:val="20"/>
                <w:color w:val="auto"/>
              </w:rPr>
            </w:pPr>
            <w:r>
              <w:rPr>
                <w:rFonts w:ascii="Arial" w:cs="Arial" w:eastAsia="Arial" w:hAnsi="Arial"/>
                <w:sz w:val="13"/>
                <w:szCs w:val="13"/>
                <w:color w:val="auto"/>
              </w:rPr>
              <w:t>64,849,227</w:t>
            </w:r>
          </w:p>
        </w:tc>
        <w:tc>
          <w:tcPr>
            <w:tcW w:w="1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EFFE7"/>
          </w:tcPr>
          <w:p>
            <w:pPr>
              <w:jc w:val="right"/>
              <w:ind w:right="57"/>
              <w:spacing w:after="0" w:line="147" w:lineRule="exact"/>
              <w:rPr>
                <w:sz w:val="20"/>
                <w:szCs w:val="20"/>
                <w:color w:val="auto"/>
              </w:rPr>
            </w:pPr>
            <w:r>
              <w:rPr>
                <w:rFonts w:ascii="Arial" w:cs="Arial" w:eastAsia="Arial" w:hAnsi="Arial"/>
                <w:sz w:val="13"/>
                <w:szCs w:val="13"/>
                <w:color w:val="auto"/>
              </w:rPr>
              <w:t>64,849</w:t>
            </w:r>
          </w:p>
        </w:tc>
        <w:tc>
          <w:tcPr>
            <w:tcW w:w="74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19,685</w:t>
            </w:r>
          </w:p>
        </w:tc>
        <w:tc>
          <w:tcPr>
            <w:tcW w:w="180" w:type="dxa"/>
            <w:vAlign w:val="bottom"/>
            <w:tcBorders>
              <w:bottom w:val="single" w:sz="8" w:color="auto"/>
            </w:tcBorders>
            <w:shd w:val="clear" w:color="auto" w:fill="CEFFE7"/>
          </w:tcPr>
          <w:p>
            <w:pPr>
              <w:jc w:val="center"/>
              <w:ind w:right="17"/>
              <w:spacing w:after="0" w:line="147" w:lineRule="exact"/>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(1,287)</w:t>
            </w:r>
          </w:p>
        </w:tc>
        <w:tc>
          <w:tcPr>
            <w:tcW w:w="1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w w:val="82"/>
              </w:rPr>
              <w:t>$</w:t>
            </w:r>
          </w:p>
        </w:tc>
        <w:tc>
          <w:tcPr>
            <w:tcW w:w="120" w:type="dxa"/>
            <w:vAlign w:val="bottom"/>
            <w:tcBorders>
              <w:bottom w:val="single" w:sz="8" w:color="auto"/>
            </w:tcBorders>
            <w:shd w:val="clear" w:color="auto" w:fill="CEFFE7"/>
          </w:tcPr>
          <w:p>
            <w:pPr>
              <w:spacing w:after="0"/>
              <w:rPr>
                <w:sz w:val="14"/>
                <w:szCs w:val="14"/>
                <w:color w:val="auto"/>
              </w:rPr>
            </w:pPr>
          </w:p>
        </w:tc>
        <w:tc>
          <w:tcPr>
            <w:tcW w:w="66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1,786,980</w:t>
            </w:r>
          </w:p>
        </w:tc>
        <w:tc>
          <w:tcPr>
            <w:tcW w:w="10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shd w:val="clear" w:color="auto" w:fill="CEFFE7"/>
          </w:tcPr>
          <w:p>
            <w:pPr>
              <w:spacing w:after="0"/>
              <w:rPr>
                <w:sz w:val="14"/>
                <w:szCs w:val="14"/>
                <w:color w:val="auto"/>
              </w:rPr>
            </w:pPr>
          </w:p>
        </w:tc>
        <w:tc>
          <w:tcPr>
            <w:tcW w:w="68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1,041,451</w:t>
            </w:r>
          </w:p>
        </w:tc>
        <w:tc>
          <w:tcPr>
            <w:tcW w:w="1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EFFE7"/>
          </w:tcPr>
          <w:p>
            <w:pPr>
              <w:spacing w:after="0"/>
              <w:rPr>
                <w:sz w:val="14"/>
                <w:szCs w:val="14"/>
                <w:color w:val="auto"/>
              </w:rPr>
            </w:pPr>
          </w:p>
        </w:tc>
        <w:tc>
          <w:tcPr>
            <w:tcW w:w="56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(20,078)</w:t>
            </w:r>
          </w:p>
        </w:tc>
        <w:tc>
          <w:tcPr>
            <w:tcW w:w="200" w:type="dxa"/>
            <w:vAlign w:val="bottom"/>
            <w:tcBorders>
              <w:bottom w:val="single" w:sz="8" w:color="auto"/>
            </w:tcBorders>
            <w:shd w:val="clear" w:color="auto" w:fill="CEFFE7"/>
          </w:tcPr>
          <w:p>
            <w:pPr>
              <w:jc w:val="center"/>
              <w:spacing w:after="0" w:line="147"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4"/>
                <w:szCs w:val="14"/>
                <w:color w:val="auto"/>
              </w:rPr>
            </w:pPr>
          </w:p>
        </w:tc>
        <w:tc>
          <w:tcPr>
            <w:tcW w:w="6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99,107</w:t>
            </w:r>
          </w:p>
        </w:tc>
        <w:tc>
          <w:tcPr>
            <w:tcW w:w="14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EFFE7"/>
          </w:tcPr>
          <w:p>
            <w:pPr>
              <w:spacing w:after="0"/>
              <w:rPr>
                <w:sz w:val="14"/>
                <w:szCs w:val="14"/>
                <w:color w:val="auto"/>
              </w:rPr>
            </w:pPr>
          </w:p>
        </w:tc>
        <w:tc>
          <w:tcPr>
            <w:tcW w:w="720" w:type="dxa"/>
            <w:vAlign w:val="bottom"/>
            <w:tcBorders>
              <w:bottom w:val="single" w:sz="8" w:color="auto"/>
            </w:tcBorders>
            <w:shd w:val="clear" w:color="auto" w:fill="CEFFE7"/>
          </w:tcPr>
          <w:p>
            <w:pPr>
              <w:jc w:val="right"/>
              <w:spacing w:after="0" w:line="147" w:lineRule="exact"/>
              <w:rPr>
                <w:sz w:val="20"/>
                <w:szCs w:val="20"/>
                <w:color w:val="auto"/>
              </w:rPr>
            </w:pPr>
            <w:r>
              <w:rPr>
                <w:rFonts w:ascii="Arial" w:cs="Arial" w:eastAsia="Arial" w:hAnsi="Arial"/>
                <w:sz w:val="13"/>
                <w:szCs w:val="13"/>
                <w:color w:val="auto"/>
              </w:rPr>
              <w:t>2,971,022</w:t>
            </w:r>
          </w:p>
        </w:tc>
        <w:tc>
          <w:tcPr>
            <w:tcW w:w="0" w:type="dxa"/>
            <w:vAlign w:val="bottom"/>
          </w:tcPr>
          <w:p>
            <w:pPr>
              <w:spacing w:after="0"/>
              <w:rPr>
                <w:sz w:val="1"/>
                <w:szCs w:val="1"/>
                <w:color w:val="auto"/>
              </w:rPr>
            </w:pPr>
          </w:p>
        </w:tc>
      </w:tr>
      <w:tr>
        <w:trPr>
          <w:trHeight w:val="20"/>
        </w:trPr>
        <w:tc>
          <w:tcPr>
            <w:tcW w:w="33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1840" w:type="dxa"/>
            <w:vAlign w:val="bottom"/>
            <w:tcBorders>
              <w:top w:val="single" w:sz="8" w:color="CEFFE7"/>
              <w:bottom w:val="single" w:sz="8" w:color="auto"/>
            </w:tcBorders>
            <w:gridSpan w:val="4"/>
          </w:tcPr>
          <w:p>
            <w:pPr>
              <w:spacing w:after="0" w:line="20" w:lineRule="exact"/>
              <w:rPr>
                <w:sz w:val="1"/>
                <w:szCs w:val="1"/>
                <w:color w:val="auto"/>
              </w:rPr>
            </w:pPr>
          </w:p>
        </w:tc>
        <w:tc>
          <w:tcPr>
            <w:tcW w:w="1540" w:type="dxa"/>
            <w:vAlign w:val="bottom"/>
            <w:tcBorders>
              <w:top w:val="single" w:sz="8" w:color="CEFFE7"/>
              <w:bottom w:val="single" w:sz="8" w:color="auto"/>
            </w:tcBorders>
            <w:gridSpan w:val="3"/>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8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(unaudited)</w:t>
            </w:r>
          </w:p>
        </w:tc>
        <w:tc>
          <w:tcPr>
            <w:tcW w:w="1840" w:type="dxa"/>
            <w:vAlign w:val="bottom"/>
            <w:gridSpan w:val="4"/>
          </w:tcPr>
          <w:p>
            <w:pPr>
              <w:jc w:val="right"/>
              <w:ind w:right="477"/>
              <w:spacing w:after="0"/>
              <w:rPr>
                <w:sz w:val="20"/>
                <w:szCs w:val="20"/>
                <w:color w:val="auto"/>
              </w:rPr>
            </w:pPr>
            <w:r>
              <w:rPr>
                <w:rFonts w:ascii="Arial" w:cs="Arial" w:eastAsia="Arial" w:hAnsi="Arial"/>
                <w:sz w:val="13"/>
                <w:szCs w:val="13"/>
                <w:color w:val="auto"/>
              </w:rPr>
              <w:t>Common Stock</w:t>
            </w:r>
          </w:p>
        </w:tc>
        <w:tc>
          <w:tcPr>
            <w:tcW w:w="1540" w:type="dxa"/>
            <w:vAlign w:val="bottom"/>
            <w:gridSpan w:val="3"/>
          </w:tcPr>
          <w:p>
            <w:pPr>
              <w:jc w:val="center"/>
              <w:spacing w:after="0"/>
              <w:rPr>
                <w:sz w:val="20"/>
                <w:szCs w:val="20"/>
                <w:color w:val="auto"/>
              </w:rPr>
            </w:pPr>
            <w:r>
              <w:rPr>
                <w:rFonts w:ascii="Arial" w:cs="Arial" w:eastAsia="Arial" w:hAnsi="Arial"/>
                <w:sz w:val="13"/>
                <w:szCs w:val="13"/>
                <w:color w:val="auto"/>
                <w:w w:val="96"/>
              </w:rPr>
              <w:t>Treasury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color w:val="auto"/>
                <w:w w:val="96"/>
              </w:rPr>
              <w:t>Additional Paid</w:t>
            </w:r>
          </w:p>
        </w:tc>
        <w:tc>
          <w:tcPr>
            <w:tcW w:w="80" w:type="dxa"/>
            <w:vAlign w:val="bottom"/>
          </w:tcPr>
          <w:p>
            <w:pPr>
              <w:spacing w:after="0"/>
              <w:rPr>
                <w:sz w:val="9"/>
                <w:szCs w:val="9"/>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Retained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spacing w:after="0" w:line="108" w:lineRule="exact"/>
              <w:rPr>
                <w:sz w:val="20"/>
                <w:szCs w:val="20"/>
                <w:color w:val="auto"/>
              </w:rPr>
            </w:pPr>
            <w:r>
              <w:rPr>
                <w:rFonts w:ascii="Arial" w:cs="Arial" w:eastAsia="Arial" w:hAnsi="Arial"/>
                <w:sz w:val="12"/>
                <w:szCs w:val="12"/>
                <w:color w:val="auto"/>
              </w:rPr>
              <w:t>Non-</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3"/>
                <w:szCs w:val="13"/>
                <w:color w:val="auto"/>
                <w:w w:val="97"/>
              </w:rPr>
              <w:t>controlling</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(in thousands except share amounts)</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317"/>
              <w:spacing w:after="0"/>
              <w:rPr>
                <w:sz w:val="20"/>
                <w:szCs w:val="20"/>
                <w:color w:val="auto"/>
              </w:rPr>
            </w:pPr>
            <w:r>
              <w:rPr>
                <w:rFonts w:ascii="Arial" w:cs="Arial" w:eastAsia="Arial" w:hAnsi="Arial"/>
                <w:sz w:val="13"/>
                <w:szCs w:val="13"/>
                <w:color w:val="auto"/>
              </w:rPr>
              <w:t>Value</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5"/>
                <w:szCs w:val="15"/>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color w:val="auto"/>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in 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AOCI</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6"/>
              </w:rPr>
              <w:t>Interest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76"/>
        </w:trPr>
        <w:tc>
          <w:tcPr>
            <w:tcW w:w="334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Borders>
              <w:top w:val="single" w:sz="8" w:color="auto"/>
            </w:tcBorders>
            <w:shd w:val="clear" w:color="auto" w:fill="CEFFE7"/>
          </w:tcPr>
          <w:p>
            <w:pPr>
              <w:spacing w:after="0"/>
              <w:rPr>
                <w:sz w:val="15"/>
                <w:szCs w:val="15"/>
                <w:color w:val="auto"/>
              </w:rPr>
            </w:pPr>
          </w:p>
        </w:tc>
        <w:tc>
          <w:tcPr>
            <w:tcW w:w="8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62,827,179</w:t>
            </w:r>
          </w:p>
        </w:tc>
        <w:tc>
          <w:tcPr>
            <w:tcW w:w="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EFFE7"/>
          </w:tcPr>
          <w:p>
            <w:pPr>
              <w:spacing w:after="0"/>
              <w:rPr>
                <w:sz w:val="15"/>
                <w:szCs w:val="15"/>
                <w:color w:val="auto"/>
              </w:rPr>
            </w:pPr>
          </w:p>
        </w:tc>
        <w:tc>
          <w:tcPr>
            <w:tcW w:w="740" w:type="dxa"/>
            <w:vAlign w:val="bottom"/>
            <w:tcBorders>
              <w:top w:val="single" w:sz="8" w:color="auto"/>
            </w:tcBorders>
            <w:shd w:val="clear" w:color="auto" w:fill="CEFFE7"/>
          </w:tcPr>
          <w:p>
            <w:pPr>
              <w:jc w:val="right"/>
              <w:ind w:right="97"/>
              <w:spacing w:after="0"/>
              <w:rPr>
                <w:sz w:val="20"/>
                <w:szCs w:val="20"/>
                <w:color w:val="auto"/>
              </w:rPr>
            </w:pPr>
            <w:r>
              <w:rPr>
                <w:rFonts w:ascii="Arial" w:cs="Arial" w:eastAsia="Arial" w:hAnsi="Arial"/>
                <w:sz w:val="13"/>
                <w:szCs w:val="13"/>
                <w:color w:val="auto"/>
              </w:rPr>
              <w:t>62,827</w:t>
            </w:r>
          </w:p>
        </w:tc>
        <w:tc>
          <w:tcPr>
            <w:tcW w:w="7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32,492</w:t>
            </w:r>
          </w:p>
        </w:tc>
        <w:tc>
          <w:tcPr>
            <w:tcW w:w="1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(2,119)</w:t>
            </w:r>
          </w:p>
        </w:tc>
        <w:tc>
          <w:tcPr>
            <w:tcW w:w="120" w:type="dxa"/>
            <w:vAlign w:val="bottom"/>
            <w:tcBorders>
              <w:top w:val="single" w:sz="8" w:color="auto"/>
            </w:tcBorders>
            <w:shd w:val="clear" w:color="auto" w:fill="CEFFE7"/>
          </w:tcPr>
          <w:p>
            <w:pPr>
              <w:ind w:left="20"/>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1,657,285</w:t>
            </w:r>
          </w:p>
        </w:tc>
        <w:tc>
          <w:tcPr>
            <w:tcW w:w="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870,738</w:t>
            </w:r>
          </w:p>
        </w:tc>
        <w:tc>
          <w:tcPr>
            <w:tcW w:w="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(27,346)</w:t>
            </w:r>
          </w:p>
        </w:tc>
        <w:tc>
          <w:tcPr>
            <w:tcW w:w="1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3"/>
                <w:szCs w:val="13"/>
                <w:color w:val="auto"/>
              </w:rPr>
              <w:t>101,262</w:t>
            </w:r>
          </w:p>
        </w:tc>
        <w:tc>
          <w:tcPr>
            <w:tcW w:w="16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2,662,647</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3"/>
                <w:szCs w:val="13"/>
                <w:color w:val="auto"/>
              </w:rPr>
              <w:t>96,316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4,171</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100,487</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Other comprehensive income, net of tax</w:t>
            </w: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Dividends on common stock ($0.565 per share)</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(35,514)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(35,514)</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Share-based compensation</w:t>
            </w: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82,794</w:t>
            </w:r>
          </w:p>
        </w:tc>
        <w:tc>
          <w:tcPr>
            <w:tcW w:w="1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83</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7,448</w:t>
            </w:r>
          </w:p>
        </w:tc>
        <w:tc>
          <w:tcPr>
            <w:tcW w:w="180" w:type="dxa"/>
            <w:vAlign w:val="bottom"/>
            <w:shd w:val="clear" w:color="auto" w:fill="CEFFE7"/>
          </w:tcPr>
          <w:p>
            <w:pPr>
              <w:spacing w:after="0"/>
              <w:rPr>
                <w:sz w:val="15"/>
                <w:szCs w:val="15"/>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1,672</w:t>
            </w:r>
          </w:p>
        </w:tc>
        <w:tc>
          <w:tcPr>
            <w:tcW w:w="8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1,310</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Arial" w:cs="Arial" w:eastAsia="Arial" w:hAnsi="Arial"/>
                <w:sz w:val="13"/>
                <w:szCs w:val="13"/>
                <w:color w:val="auto"/>
              </w:rPr>
              <w:t>Other</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CEFFE7"/>
          </w:tcPr>
          <w:p>
            <w:pPr>
              <w:ind w:left="20"/>
              <w:spacing w:after="0"/>
              <w:rPr>
                <w:sz w:val="20"/>
                <w:szCs w:val="20"/>
                <w:color w:val="auto"/>
              </w:rPr>
            </w:pPr>
            <w:r>
              <w:rPr>
                <w:rFonts w:ascii="Arial" w:cs="Arial" w:eastAsia="Arial" w:hAnsi="Arial"/>
                <w:sz w:val="13"/>
                <w:szCs w:val="13"/>
                <w:color w:val="auto"/>
              </w:rPr>
              <w:t>Distributions to non-controlling interest</w:t>
            </w:r>
          </w:p>
        </w:tc>
        <w:tc>
          <w:tcPr>
            <w:tcW w:w="8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74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shd w:val="clear" w:color="auto" w:fill="CEFFE7"/>
          </w:tcPr>
          <w:p>
            <w:pPr>
              <w:spacing w:after="0"/>
              <w:rPr>
                <w:sz w:val="15"/>
                <w:szCs w:val="15"/>
                <w:color w:val="auto"/>
              </w:rPr>
            </w:pPr>
          </w:p>
        </w:tc>
        <w:tc>
          <w:tcPr>
            <w:tcW w:w="800" w:type="dxa"/>
            <w:vAlign w:val="bottom"/>
            <w:gridSpan w:val="2"/>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200" w:type="dxa"/>
            <w:vAlign w:val="bottom"/>
            <w:shd w:val="clear" w:color="auto" w:fill="CEFFE7"/>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EFFE7"/>
          </w:tcPr>
          <w:p>
            <w:pPr>
              <w:spacing w:after="0"/>
              <w:rPr>
                <w:sz w:val="15"/>
                <w:szCs w:val="15"/>
                <w:color w:val="auto"/>
              </w:rPr>
            </w:pPr>
          </w:p>
        </w:tc>
        <w:tc>
          <w:tcPr>
            <w:tcW w:w="760" w:type="dxa"/>
            <w:vAlign w:val="bottom"/>
            <w:gridSpan w:val="2"/>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16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0" w:type="dxa"/>
            <w:vAlign w:val="bottom"/>
          </w:tcPr>
          <w:p>
            <w:pPr>
              <w:spacing w:after="0"/>
              <w:rPr>
                <w:sz w:val="1"/>
                <w:szCs w:val="1"/>
                <w:color w:val="auto"/>
              </w:rPr>
            </w:pPr>
          </w:p>
        </w:tc>
      </w:tr>
      <w:tr>
        <w:trPr>
          <w:trHeight w:val="142"/>
        </w:trPr>
        <w:tc>
          <w:tcPr>
            <w:tcW w:w="334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March 31, 2021</w:t>
            </w:r>
          </w:p>
        </w:tc>
        <w:tc>
          <w:tcPr>
            <w:tcW w:w="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62,909,973</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3"/>
                <w:szCs w:val="13"/>
                <w:color w:val="auto"/>
              </w:rPr>
              <w:t>62,910</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39,940</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(2,564)</w:t>
            </w:r>
          </w:p>
        </w:tc>
        <w:tc>
          <w:tcPr>
            <w:tcW w:w="1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Arial" w:cs="Arial" w:eastAsia="Arial" w:hAnsi="Arial"/>
                <w:sz w:val="13"/>
                <w:szCs w:val="13"/>
                <w:color w:val="auto"/>
              </w:rPr>
              <w:t>1,658,957</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Arial" w:cs="Arial" w:eastAsia="Arial" w:hAnsi="Arial"/>
                <w:sz w:val="13"/>
                <w:szCs w:val="13"/>
                <w:color w:val="auto"/>
              </w:rPr>
              <w:t>931,538</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(26,328)</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100,789</w:t>
            </w: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2,725,302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included in the Company’s 2021 Annual Report on Form 10-K)</w:t>
      </w:r>
    </w:p>
    <w:p>
      <w:pPr>
        <w:spacing w:after="0" w:line="200" w:lineRule="exact"/>
        <w:rPr>
          <w:sz w:val="20"/>
          <w:szCs w:val="20"/>
          <w:color w:val="auto"/>
        </w:rPr>
      </w:pPr>
    </w:p>
    <w:p>
      <w:pPr>
        <w:spacing w:after="0" w:line="279"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2021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and services. All of our operations and assets are located within the United States. We conduct our operations through the Electric Utilities and Gas Utilities segments. 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further information regarding our segment reporting, see </w:t>
      </w:r>
      <w:r>
        <w:rPr>
          <w:rFonts w:ascii="Arial" w:cs="Arial" w:eastAsia="Arial" w:hAnsi="Arial"/>
          <w:sz w:val="16"/>
          <w:szCs w:val="16"/>
          <w:u w:val="single" w:color="auto"/>
          <w:color w:val="0000FF"/>
        </w:rPr>
        <w:t>Note 12</w:t>
      </w:r>
      <w:r>
        <w:rPr>
          <w:rFonts w:ascii="Arial" w:cs="Arial" w:eastAsia="Arial" w:hAnsi="Arial"/>
          <w:sz w:val="16"/>
          <w:szCs w:val="16"/>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62"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March 31, 2022, December 31, 2021 and March 31, 2021 financial information. Certain lines of business in which we operate are highly seasonal, and our interim results of operations are not necessarily indicative of the results of operations to be expected for an entire year.</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 xml:space="preserve">Reporting, </w:t>
      </w:r>
      <w:r>
        <w:rPr>
          <w:rFonts w:ascii="Arial" w:cs="Arial" w:eastAsia="Arial" w:hAnsi="Arial"/>
          <w:sz w:val="16"/>
          <w:szCs w:val="16"/>
          <w:color w:val="auto"/>
        </w:rPr>
        <w:t>which was subsequently amended by ASU 2021-01. The standard provides relief for companies preparing for discontinuation of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2022. We are currently evaluating whether we will apply the optional guidance as we assess the impact of the discontinuance of LIBOR on our current arrangements but do not expect it to have a material impact on our financial position, results of operations and cash flows.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796"/>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(2)  Regulatory Matters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24"/>
        </w:trPr>
        <w:tc>
          <w:tcPr>
            <w:tcW w:w="7280" w:type="dxa"/>
            <w:vAlign w:val="bottom"/>
            <w:gridSpan w:val="2"/>
          </w:tcPr>
          <w:p>
            <w:pPr>
              <w:spacing w:after="0"/>
              <w:rPr>
                <w:sz w:val="20"/>
                <w:szCs w:val="20"/>
                <w:color w:val="auto"/>
              </w:rPr>
            </w:pPr>
            <w:r>
              <w:rPr>
                <w:rFonts w:ascii="Arial" w:cs="Arial" w:eastAsia="Arial" w:hAnsi="Arial"/>
                <w:sz w:val="16"/>
                <w:szCs w:val="16"/>
                <w:color w:val="auto"/>
              </w:rPr>
              <w:t>We had the following regulatory assets and liabilities (in thousands):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86"/>
        </w:trPr>
        <w:tc>
          <w:tcPr>
            <w:tcW w:w="13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jc w:val="right"/>
              <w:ind w:right="739"/>
              <w:spacing w:after="0"/>
              <w:rPr>
                <w:sz w:val="20"/>
                <w:szCs w:val="20"/>
                <w:color w:val="auto"/>
              </w:rPr>
            </w:pPr>
            <w:r>
              <w:rPr>
                <w:rFonts w:ascii="Arial" w:cs="Arial" w:eastAsia="Arial" w:hAnsi="Arial"/>
                <w:sz w:val="16"/>
                <w:szCs w:val="16"/>
                <w:color w:val="auto"/>
              </w:rPr>
              <w:t>As of</w:t>
            </w:r>
          </w:p>
        </w:tc>
        <w:tc>
          <w:tcPr>
            <w:tcW w:w="180" w:type="dxa"/>
            <w:vAlign w:val="bottom"/>
          </w:tcPr>
          <w:p>
            <w:pPr>
              <w:spacing w:after="0"/>
              <w:rPr>
                <w:sz w:val="24"/>
                <w:szCs w:val="24"/>
                <w:color w:val="auto"/>
              </w:rPr>
            </w:pPr>
          </w:p>
        </w:tc>
        <w:tc>
          <w:tcPr>
            <w:tcW w:w="1800" w:type="dxa"/>
            <w:vAlign w:val="bottom"/>
          </w:tcPr>
          <w:p>
            <w:pPr>
              <w:jc w:val="right"/>
              <w:ind w:right="719"/>
              <w:spacing w:after="0"/>
              <w:rPr>
                <w:sz w:val="20"/>
                <w:szCs w:val="20"/>
                <w:color w:val="auto"/>
              </w:rPr>
            </w:pPr>
            <w:r>
              <w:rPr>
                <w:rFonts w:ascii="Arial" w:cs="Arial" w:eastAsia="Arial" w:hAnsi="Arial"/>
                <w:sz w:val="16"/>
                <w:szCs w:val="16"/>
                <w:color w:val="auto"/>
              </w:rPr>
              <w:t>As of</w:t>
            </w:r>
          </w:p>
        </w:tc>
      </w:tr>
      <w:tr>
        <w:trPr>
          <w:trHeight w:val="216"/>
        </w:trPr>
        <w:tc>
          <w:tcPr>
            <w:tcW w:w="13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March 31, 2022</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197"/>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assets</w:t>
            </w: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7"/>
        </w:trPr>
        <w:tc>
          <w:tcPr>
            <w:tcW w:w="7280" w:type="dxa"/>
            <w:vAlign w:val="bottom"/>
            <w:gridSpan w:val="2"/>
            <w:shd w:val="clear" w:color="auto" w:fill="CEFFE7"/>
          </w:tcPr>
          <w:p>
            <w:pPr>
              <w:ind w:left="140"/>
              <w:spacing w:after="0" w:line="217"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438,675</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509,025</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67,068</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59,973</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260" w:type="dxa"/>
            <w:vAlign w:val="bottom"/>
            <w:shd w:val="clear" w:color="auto" w:fill="CEFFE7"/>
          </w:tcPr>
          <w:p>
            <w:pPr>
              <w:spacing w:after="0"/>
              <w:rPr>
                <w:sz w:val="18"/>
                <w:szCs w:val="18"/>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1,917</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9,488</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220</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2,584</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tc>
        <w:tc>
          <w:tcPr>
            <w:tcW w:w="260" w:type="dxa"/>
            <w:vAlign w:val="bottom"/>
            <w:shd w:val="clear" w:color="auto" w:fill="CEFFE7"/>
          </w:tcPr>
          <w:p>
            <w:pPr>
              <w:spacing w:after="0"/>
              <w:rPr>
                <w:sz w:val="18"/>
                <w:szCs w:val="18"/>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7,420</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7,457</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87,947</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88,923</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260" w:type="dxa"/>
            <w:vAlign w:val="bottom"/>
            <w:shd w:val="clear" w:color="auto" w:fill="CEFFE7"/>
          </w:tcPr>
          <w:p>
            <w:pPr>
              <w:spacing w:after="0"/>
              <w:rPr>
                <w:sz w:val="18"/>
                <w:szCs w:val="18"/>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1,375</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1,385</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20,561</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21,011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1"/>
                <w:szCs w:val="21"/>
                <w:color w:val="auto"/>
                <w:vertAlign w:val="superscript"/>
              </w:rPr>
              <w:t>(b)</w:t>
            </w:r>
          </w:p>
        </w:tc>
        <w:tc>
          <w:tcPr>
            <w:tcW w:w="260" w:type="dxa"/>
            <w:vAlign w:val="bottom"/>
            <w:shd w:val="clear" w:color="auto" w:fill="CEFFE7"/>
          </w:tcPr>
          <w:p>
            <w:pPr>
              <w:spacing w:after="0"/>
              <w:rPr>
                <w:sz w:val="18"/>
                <w:szCs w:val="18"/>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69,387</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63,243</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5,339</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5,961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26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23,435</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27,549</w:t>
            </w: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Total regulatory assets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723,344</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796,599</w:t>
            </w:r>
          </w:p>
        </w:tc>
      </w:tr>
      <w:tr>
        <w:trPr>
          <w:trHeight w:val="216"/>
        </w:trPr>
        <w:tc>
          <w:tcPr>
            <w:tcW w:w="728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rPr>
              <w:t>Less current regulatory assets</w:t>
            </w:r>
          </w:p>
        </w:tc>
        <w:tc>
          <w:tcPr>
            <w:tcW w:w="26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(265,496)</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(270,290)</w:t>
            </w:r>
          </w:p>
        </w:tc>
      </w:tr>
      <w:tr>
        <w:trPr>
          <w:trHeight w:val="210"/>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assets, non-current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457,848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526,309</w:t>
            </w:r>
          </w:p>
        </w:tc>
      </w:tr>
      <w:tr>
        <w:trPr>
          <w:trHeight w:val="20"/>
        </w:trPr>
        <w:tc>
          <w:tcPr>
            <w:tcW w:w="1360" w:type="dxa"/>
            <w:vAlign w:val="bottom"/>
            <w:tcBorders>
              <w:bottom w:val="single" w:sz="8" w:color="CEFFE7"/>
            </w:tcBorders>
          </w:tcPr>
          <w:p>
            <w:pPr>
              <w:spacing w:after="0" w:line="20" w:lineRule="exact"/>
              <w:rPr>
                <w:sz w:val="1"/>
                <w:szCs w:val="1"/>
                <w:color w:val="auto"/>
              </w:rPr>
            </w:pPr>
          </w:p>
        </w:tc>
        <w:tc>
          <w:tcPr>
            <w:tcW w:w="5920" w:type="dxa"/>
            <w:vAlign w:val="bottom"/>
            <w:tcBorders>
              <w:bottom w:val="single" w:sz="8" w:color="CEFFE7"/>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shd w:val="clear" w:color="auto" w:fill="CEFFE7"/>
          </w:tcPr>
          <w:p>
            <w:pPr>
              <w:spacing w:after="0"/>
              <w:rPr>
                <w:sz w:val="14"/>
                <w:szCs w:val="14"/>
                <w:color w:val="auto"/>
              </w:rPr>
            </w:pPr>
          </w:p>
        </w:tc>
        <w:tc>
          <w:tcPr>
            <w:tcW w:w="5920" w:type="dxa"/>
            <w:vAlign w:val="bottom"/>
            <w:shd w:val="clear" w:color="auto" w:fill="CEFFE7"/>
          </w:tcPr>
          <w:p>
            <w:pPr>
              <w:spacing w:after="0"/>
              <w:rPr>
                <w:sz w:val="14"/>
                <w:szCs w:val="14"/>
                <w:color w:val="auto"/>
              </w:rPr>
            </w:pPr>
          </w:p>
        </w:tc>
        <w:tc>
          <w:tcPr>
            <w:tcW w:w="260" w:type="dxa"/>
            <w:vAlign w:val="bottom"/>
            <w:shd w:val="clear" w:color="auto" w:fill="CEFFE7"/>
          </w:tcPr>
          <w:p>
            <w:pPr>
              <w:spacing w:after="0"/>
              <w:rPr>
                <w:sz w:val="14"/>
                <w:szCs w:val="14"/>
                <w:color w:val="auto"/>
              </w:rPr>
            </w:pPr>
          </w:p>
        </w:tc>
        <w:tc>
          <w:tcPr>
            <w:tcW w:w="1720" w:type="dxa"/>
            <w:vAlign w:val="bottom"/>
            <w:shd w:val="clear" w:color="auto" w:fill="CEFFE7"/>
          </w:tcPr>
          <w:p>
            <w:pPr>
              <w:spacing w:after="0"/>
              <w:rPr>
                <w:sz w:val="14"/>
                <w:szCs w:val="14"/>
                <w:color w:val="auto"/>
              </w:rPr>
            </w:pPr>
          </w:p>
        </w:tc>
        <w:tc>
          <w:tcPr>
            <w:tcW w:w="180" w:type="dxa"/>
            <w:vAlign w:val="bottom"/>
            <w:shd w:val="clear" w:color="auto" w:fill="CEFFE7"/>
          </w:tcPr>
          <w:p>
            <w:pPr>
              <w:spacing w:after="0"/>
              <w:rPr>
                <w:sz w:val="14"/>
                <w:szCs w:val="14"/>
                <w:color w:val="auto"/>
              </w:rPr>
            </w:pPr>
          </w:p>
        </w:tc>
        <w:tc>
          <w:tcPr>
            <w:tcW w:w="1800" w:type="dxa"/>
            <w:vAlign w:val="bottom"/>
            <w:shd w:val="clear" w:color="auto" w:fill="CEFFE7"/>
          </w:tcPr>
          <w:p>
            <w:pPr>
              <w:spacing w:after="0"/>
              <w:rPr>
                <w:sz w:val="14"/>
                <w:szCs w:val="14"/>
                <w:color w:val="auto"/>
              </w:rPr>
            </w:pPr>
          </w:p>
        </w:tc>
      </w:tr>
      <w:tr>
        <w:trPr>
          <w:trHeight w:val="215"/>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liabilities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7"/>
        </w:trPr>
        <w:tc>
          <w:tcPr>
            <w:tcW w:w="7280" w:type="dxa"/>
            <w:vAlign w:val="bottom"/>
            <w:gridSpan w:val="2"/>
            <w:shd w:val="clear" w:color="auto" w:fill="CEFFE7"/>
          </w:tcPr>
          <w:p>
            <w:pPr>
              <w:ind w:left="140"/>
              <w:spacing w:after="0" w:line="217"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38,343</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6,113</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(c)</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31,943</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32,241</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260" w:type="dxa"/>
            <w:vAlign w:val="bottom"/>
            <w:shd w:val="clear" w:color="auto" w:fill="CEFFE7"/>
          </w:tcPr>
          <w:p>
            <w:pPr>
              <w:spacing w:after="0"/>
              <w:rPr>
                <w:sz w:val="18"/>
                <w:szCs w:val="18"/>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181,690</w:t>
            </w:r>
          </w:p>
        </w:tc>
        <w:tc>
          <w:tcPr>
            <w:tcW w:w="18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179,976</w:t>
            </w:r>
          </w:p>
        </w:tc>
      </w:tr>
      <w:tr>
        <w:trPr>
          <w:trHeight w:val="216"/>
        </w:trPr>
        <w:tc>
          <w:tcPr>
            <w:tcW w:w="7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259,856</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264,042</w:t>
            </w:r>
          </w:p>
        </w:tc>
      </w:tr>
      <w:tr>
        <w:trPr>
          <w:trHeight w:val="216"/>
        </w:trPr>
        <w:tc>
          <w:tcPr>
            <w:tcW w:w="7280" w:type="dxa"/>
            <w:vAlign w:val="bottom"/>
            <w:gridSpan w:val="2"/>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tc>
        <w:tc>
          <w:tcPr>
            <w:tcW w:w="26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23,352</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20,579</w:t>
            </w: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Total regulatory liabilities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535,184</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502,951</w:t>
            </w:r>
          </w:p>
        </w:tc>
      </w:tr>
      <w:tr>
        <w:trPr>
          <w:trHeight w:val="216"/>
        </w:trPr>
        <w:tc>
          <w:tcPr>
            <w:tcW w:w="728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rPr>
              <w:t>Less current regulatory liabilities</w:t>
            </w:r>
          </w:p>
        </w:tc>
        <w:tc>
          <w:tcPr>
            <w:tcW w:w="26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(52,742)</w:t>
            </w:r>
          </w:p>
        </w:tc>
        <w:tc>
          <w:tcPr>
            <w:tcW w:w="18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(17,574)</w:t>
            </w:r>
          </w:p>
        </w:tc>
      </w:tr>
      <w:tr>
        <w:trPr>
          <w:trHeight w:val="210"/>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Regulatory liabilities, non-current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482,442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485,377</w:t>
            </w:r>
          </w:p>
        </w:tc>
      </w:tr>
      <w:tr>
        <w:trPr>
          <w:trHeight w:val="20"/>
        </w:trPr>
        <w:tc>
          <w:tcPr>
            <w:tcW w:w="13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right="120" w:hanging="332"/>
        <w:spacing w:after="0" w:line="256" w:lineRule="auto"/>
        <w:tabs>
          <w:tab w:leader="none" w:pos="349" w:val="left"/>
        </w:tabs>
        <w:numPr>
          <w:ilvl w:val="0"/>
          <w:numId w:val="5"/>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vary by jurisdiction and some jurisdictions are still subject to pending applications with the respective utility commission. See further information below.</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Except as discussed below, there have been no other significant changes to our Regulatory Matters from those previously disclosed in Note 2 of the Notes to the Consolidated Financial Statements in our 2021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Winter Storm Uri</w:t>
      </w:r>
    </w:p>
    <w:p>
      <w:pPr>
        <w:spacing w:after="0" w:line="260"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substantial increase in heating and energy demand and contributed to unforeseeable and unprecedented market prices for natural gas and electricity. As a result of Winter Storm Uri, we incurred significant incremental fuel, purchased power and natural gas costs.</w:t>
      </w:r>
    </w:p>
    <w:p>
      <w:pPr>
        <w:spacing w:after="0" w:line="21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Utilities submitted Winter Storm Uri cost recovery applications in our state jurisdictions seeking to recover $546 million of these incremental costs through separate tracking mechanisms over a weighted-average recovery period of 3.5 years. These incremental cost estimates are subject to adjustments as final decisions are issued by the respective utility commissions. In these applications, we seek approval to recover carrying costs. For the three months ended March 31, 2022 and 2021, $2.3 million and $0, respectively, of carrying costs were accrued and recorded to a regulatory asset.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On January 27, 2022, Kansas Gas received approval from the KCC for their Winter Storm Uri cost recovery settlement with final rates implemented in February 2022. In March 2022, Colorado Electric and Colorado Gas received approval from the CPUC for their respective Winter Storm Uri cost recovery settlements with final rates implemented in April 2022.</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To date, Colorado Electric, Colorado Gas, Iowa Gas, Kansas Gas, Nebraska Gas and South Dakota Electric received commission approval of their Winter Storm Uri cost recovery applications. Additionally, Arkansas Gas and Wyoming Gas received approval for interim cost recovery subject to a final decision on carrying costs and recovery periods at a later date. For the three months ended March 31, 2022, our Utilities collected $73 million of Winter Storm Uri incremental costs and carrying costs from customers. As of March 31, 2022, we estimate that our remaining Winter Storm Uri regulatory asset has a weighted-average recovery period of 3.1 years.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26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part of Kansas Gas’s 2021 rate review settlement agreement, Kansas Gas will deliver $3.0 million of TCJA and state tax reform benefits to customers, annually, for three years starting in 2022 (approximately $9.1 million of total benefits expected to be delivered). For the three months ended March 31, 2022, Kansas Gas delivered $0.8 million of TCJA-related bill credits to customers.</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These bill credits, which resulted in a reduction of revenue, were offset by a reduction in income tax expense and resulted in a minimal impact to Net income for the three months ended March 31, 2022.</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26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On December 10, 2021, Arkansas Gas filed a rate review with the APSC seeking recovery of significant infrastructure investments in its 7,200-mile natural gas pipeline system. The rate review requests $22 million in new annual revenue with a capital structure of 50.9% equity and 49.1% debt and a return on equity of 10.2%. The request seeks to finalize rates in the fourth quarter of 2022.</w:t>
      </w:r>
    </w:p>
    <w:p>
      <w:pPr>
        <w:spacing w:after="0" w:line="200" w:lineRule="exact"/>
        <w:rPr>
          <w:sz w:val="20"/>
          <w:szCs w:val="20"/>
          <w:color w:val="auto"/>
        </w:rPr>
      </w:pPr>
    </w:p>
    <w:p>
      <w:pPr>
        <w:spacing w:after="0" w:line="234"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48"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2021 Annual Report on Form 10-K except for those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Power Sales Agreement</w:t>
      </w:r>
    </w:p>
    <w:p>
      <w:pPr>
        <w:spacing w:after="0" w:line="26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On May 3, 2022, South Dakota Electric entered into an agreement with MDU to provide MDU capacity and energy up to a maximum of 50 MW in excess of Wygen III ownership. This agreement, which has similar terms and conditions as South Dakota Electric’s existing agreement with MDU expiring on December 31, 2023, is effective on January 1, 2024 and will expire on December 31, 2028.</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(U.S. District Court for the City and County of Denver, Colorado)</w:t>
      </w:r>
    </w:p>
    <w:p>
      <w:pPr>
        <w:spacing w:after="0" w:line="233"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believe we have meritorious defenses to the verdict and intend to appeal the verdict. At this time, we believe that the liability related to this matter, if any, is not reasonably estimable.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Power Purchase Agreement</w:t>
      </w:r>
    </w:p>
    <w:p>
      <w:pPr>
        <w:spacing w:after="0" w:line="26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February 19, 2021, Colorado Electric entered into an agreement with TC Colorado Solar, LLC (TC Solar) to purchase up to 200 MW of renewable energy upon construction of a new solar facility, to be owned by TC Solar. This agreement relates to a new solar facility to be constructed and would expire 15 years after construction completion. On January 31, 2022, TC Solar provided notice of its intent to terminate the PPA. We disputed TC Solar's right to termination and, pursuant to the agreement, entered resolution negotiations to amend certain contract terms with TC Solar, which are ongoing.</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Transmission Service Agreements</w:t>
      </w:r>
    </w:p>
    <w:p>
      <w:pPr>
        <w:spacing w:after="0" w:line="246"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On January 1, 2022, Colorado Electric entered into a firm point-to-point transmission service agreement that provides Tri-State Generation and Transmission Association Inc. with a maximum of 58 MW of transmission capacity. This agreement expires December 31, 2024.</w:t>
      </w:r>
    </w:p>
    <w:p>
      <w:pPr>
        <w:spacing w:after="0" w:line="16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On January 1, 2022, South Dakota Electric entered into a firm point-to-point transmission service agreement that provides MEAN with a maximum of 20 MW of transmission capacity. This agreement expires December 31, 2023.</w:t>
      </w:r>
    </w:p>
    <w:p>
      <w:pPr>
        <w:spacing w:after="0" w:line="200" w:lineRule="exact"/>
        <w:rPr>
          <w:sz w:val="20"/>
          <w:szCs w:val="20"/>
          <w:color w:val="auto"/>
        </w:rPr>
      </w:pPr>
    </w:p>
    <w:p>
      <w:pPr>
        <w:spacing w:after="0" w:line="211"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4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three months ended March 31, 2022 and 2021. Sales tax and other similar taxes are excluded from revenues.</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340" w:type="dxa"/>
            <w:vAlign w:val="bottom"/>
            <w:gridSpan w:val="3"/>
            <w:vMerge w:val="restart"/>
          </w:tcPr>
          <w:p>
            <w:pPr>
              <w:ind w:left="20"/>
              <w:spacing w:after="0"/>
              <w:rPr>
                <w:sz w:val="20"/>
                <w:szCs w:val="20"/>
                <w:color w:val="auto"/>
              </w:rPr>
            </w:pPr>
            <w:r>
              <w:rPr>
                <w:rFonts w:ascii="Arial" w:cs="Arial" w:eastAsia="Arial" w:hAnsi="Arial"/>
                <w:sz w:val="16"/>
                <w:szCs w:val="16"/>
                <w:color w:val="auto"/>
              </w:rPr>
              <w:t>Three Months Ended March 31, 2022</w:t>
            </w:r>
          </w:p>
        </w:tc>
        <w:tc>
          <w:tcPr>
            <w:tcW w:w="220" w:type="dxa"/>
            <w:vAlign w:val="bottom"/>
          </w:tcPr>
          <w:p>
            <w:pPr>
              <w:spacing w:after="0"/>
              <w:rPr>
                <w:sz w:val="16"/>
                <w:szCs w:val="16"/>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6"/>
                <w:szCs w:val="16"/>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00" w:type="dxa"/>
            <w:vAlign w:val="bottom"/>
          </w:tcPr>
          <w:p>
            <w:pPr>
              <w:spacing w:after="0"/>
              <w:rPr>
                <w:sz w:val="16"/>
                <w:szCs w:val="16"/>
                <w:color w:val="auto"/>
              </w:rPr>
            </w:pPr>
          </w:p>
        </w:tc>
        <w:tc>
          <w:tcPr>
            <w:tcW w:w="1320" w:type="dxa"/>
            <w:vAlign w:val="bottom"/>
            <w:vMerge w:val="restart"/>
          </w:tcPr>
          <w:p>
            <w:pPr>
              <w:jc w:val="right"/>
              <w:ind w:right="5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434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340" w:type="dxa"/>
            <w:vAlign w:val="bottom"/>
            <w:gridSpan w:val="3"/>
          </w:tcPr>
          <w:p>
            <w:pPr>
              <w:ind w:left="20"/>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3"/>
          </w:tcPr>
          <w:p>
            <w:pPr>
              <w:jc w:val="right"/>
              <w:ind w:right="1119"/>
              <w:spacing w:after="0" w:line="170" w:lineRule="exact"/>
              <w:rPr>
                <w:sz w:val="20"/>
                <w:szCs w:val="20"/>
                <w:color w:val="auto"/>
              </w:rPr>
            </w:pPr>
            <w:r>
              <w:rPr>
                <w:rFonts w:ascii="Arial" w:cs="Arial" w:eastAsia="Arial" w:hAnsi="Arial"/>
                <w:sz w:val="16"/>
                <w:szCs w:val="16"/>
                <w:color w:val="auto"/>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172,806</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561,013</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EFFE7"/>
          </w:tcPr>
          <w:p>
            <w:pPr>
              <w:jc w:val="right"/>
              <w:ind w:right="199"/>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733,819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49,523</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49,424</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10,275</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7,154</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7,392</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15,433</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9,575</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(4,149)</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20,859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gridSpan w:val="2"/>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205,668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620,349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(4,248)</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821,769</w:t>
            </w:r>
          </w:p>
        </w:tc>
        <w:tc>
          <w:tcPr>
            <w:tcW w:w="0" w:type="dxa"/>
            <w:vAlign w:val="bottom"/>
          </w:tcPr>
          <w:p>
            <w:pPr>
              <w:spacing w:after="0"/>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2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870</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1,043</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(112)</w:t>
            </w:r>
          </w:p>
        </w:tc>
        <w:tc>
          <w:tcPr>
            <w:tcW w:w="40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210"/>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206,538</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621,392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(4,360)</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823,570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314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EFFE7"/>
          </w:tcPr>
          <w:p>
            <w:pPr>
              <w:spacing w:after="0"/>
              <w:rPr>
                <w:sz w:val="10"/>
                <w:szCs w:val="10"/>
                <w:color w:val="auto"/>
              </w:rPr>
            </w:pPr>
          </w:p>
        </w:tc>
        <w:tc>
          <w:tcPr>
            <w:tcW w:w="1180" w:type="dxa"/>
            <w:vAlign w:val="bottom"/>
            <w:shd w:val="clear" w:color="auto" w:fill="CEFFE7"/>
          </w:tcPr>
          <w:p>
            <w:pPr>
              <w:spacing w:after="0"/>
              <w:rPr>
                <w:sz w:val="10"/>
                <w:szCs w:val="10"/>
                <w:color w:val="auto"/>
              </w:rPr>
            </w:pPr>
          </w:p>
        </w:tc>
        <w:tc>
          <w:tcPr>
            <w:tcW w:w="314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146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142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1480" w:type="dxa"/>
            <w:vAlign w:val="bottom"/>
            <w:shd w:val="clear" w:color="auto" w:fill="CEFFE7"/>
          </w:tcPr>
          <w:p>
            <w:pPr>
              <w:spacing w:after="0"/>
              <w:rPr>
                <w:sz w:val="10"/>
                <w:szCs w:val="10"/>
                <w:color w:val="auto"/>
              </w:rPr>
            </w:pPr>
          </w:p>
        </w:tc>
        <w:tc>
          <w:tcPr>
            <w:tcW w:w="400" w:type="dxa"/>
            <w:vAlign w:val="bottom"/>
            <w:shd w:val="clear" w:color="auto" w:fill="CEFFE7"/>
          </w:tcPr>
          <w:p>
            <w:pPr>
              <w:spacing w:after="0"/>
              <w:rPr>
                <w:sz w:val="10"/>
                <w:szCs w:val="10"/>
                <w:color w:val="auto"/>
              </w:rPr>
            </w:pPr>
          </w:p>
        </w:tc>
        <w:tc>
          <w:tcPr>
            <w:tcW w:w="132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40"/>
        <w:spacing w:after="0"/>
        <w:rPr>
          <w:sz w:val="20"/>
          <w:szCs w:val="20"/>
          <w:color w:val="auto"/>
        </w:rPr>
      </w:pPr>
      <w:r>
        <w:rPr>
          <w:rFonts w:ascii="Arial" w:cs="Arial" w:eastAsia="Arial" w:hAnsi="Arial"/>
          <w:sz w:val="16"/>
          <w:szCs w:val="16"/>
          <w:u w:val="single" w:color="auto"/>
          <w:color w:val="auto"/>
        </w:rPr>
        <w:t>Timing of revenue recognition:</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7,113</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59"/>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120" w:type="dxa"/>
            <w:vAlign w:val="bottom"/>
          </w:tcPr>
          <w:p>
            <w:pPr>
              <w:jc w:val="right"/>
              <w:spacing w:after="0"/>
              <w:rPr>
                <w:sz w:val="20"/>
                <w:szCs w:val="20"/>
                <w:color w:val="auto"/>
              </w:rPr>
            </w:pPr>
            <w:r>
              <w:rPr>
                <w:rFonts w:ascii="Arial" w:cs="Arial" w:eastAsia="Arial" w:hAnsi="Arial"/>
                <w:sz w:val="16"/>
                <w:szCs w:val="16"/>
                <w:color w:val="auto"/>
              </w:rPr>
              <w:t>7,113</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198,555</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620,349</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(4,248)</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814,656</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205,668</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620,349</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(4,248)</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821,769</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-453390</wp:posOffset>
            </wp:positionV>
            <wp:extent cx="71151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-179070</wp:posOffset>
            </wp:positionV>
            <wp:extent cx="711517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125" w:right="339" w:bottom="1440" w:gutter="0" w:footer="0" w:header="0"/>
          <w:type w:val="continuous"/>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40" w:type="dxa"/>
            <w:vAlign w:val="bottom"/>
            <w:gridSpan w:val="2"/>
            <w:vMerge w:val="restart"/>
          </w:tcPr>
          <w:p>
            <w:pPr>
              <w:spacing w:after="0"/>
              <w:rPr>
                <w:sz w:val="20"/>
                <w:szCs w:val="20"/>
                <w:color w:val="auto"/>
              </w:rPr>
            </w:pPr>
            <w:r>
              <w:rPr>
                <w:rFonts w:ascii="Arial" w:cs="Arial" w:eastAsia="Arial" w:hAnsi="Arial"/>
                <w:sz w:val="16"/>
                <w:szCs w:val="16"/>
                <w:color w:val="auto"/>
              </w:rPr>
              <w:t>Three Months Ended March 31, 2021</w:t>
            </w:r>
          </w:p>
        </w:tc>
        <w:tc>
          <w:tcPr>
            <w:tcW w:w="220" w:type="dxa"/>
            <w:vAlign w:val="bottom"/>
          </w:tcPr>
          <w:p>
            <w:pPr>
              <w:spacing w:after="0"/>
              <w:rPr>
                <w:sz w:val="16"/>
                <w:szCs w:val="16"/>
                <w:color w:val="auto"/>
              </w:rPr>
            </w:pPr>
          </w:p>
        </w:tc>
        <w:tc>
          <w:tcPr>
            <w:tcW w:w="1460" w:type="dxa"/>
            <w:vAlign w:val="bottom"/>
            <w:vMerge w:val="restart"/>
          </w:tcPr>
          <w:p>
            <w:pPr>
              <w:jc w:val="right"/>
              <w:ind w:right="179"/>
              <w:spacing w:after="0"/>
              <w:rPr>
                <w:sz w:val="20"/>
                <w:szCs w:val="20"/>
                <w:color w:val="auto"/>
              </w:rPr>
            </w:pPr>
            <w:r>
              <w:rPr>
                <w:rFonts w:ascii="Arial" w:cs="Arial" w:eastAsia="Arial" w:hAnsi="Arial"/>
                <w:sz w:val="16"/>
                <w:szCs w:val="16"/>
                <w:color w:val="auto"/>
              </w:rPr>
              <w:t>Electric Utilities</w:t>
            </w:r>
          </w:p>
        </w:tc>
        <w:tc>
          <w:tcPr>
            <w:tcW w:w="300" w:type="dxa"/>
            <w:vAlign w:val="bottom"/>
          </w:tcPr>
          <w:p>
            <w:pPr>
              <w:spacing w:after="0"/>
              <w:rPr>
                <w:sz w:val="16"/>
                <w:szCs w:val="16"/>
                <w:color w:val="auto"/>
              </w:rPr>
            </w:pPr>
          </w:p>
        </w:tc>
        <w:tc>
          <w:tcPr>
            <w:tcW w:w="1420" w:type="dxa"/>
            <w:vAlign w:val="bottom"/>
            <w:vMerge w:val="restart"/>
          </w:tcPr>
          <w:p>
            <w:pPr>
              <w:jc w:val="right"/>
              <w:ind w:right="299"/>
              <w:spacing w:after="0"/>
              <w:rPr>
                <w:sz w:val="20"/>
                <w:szCs w:val="20"/>
                <w:color w:val="auto"/>
              </w:rPr>
            </w:pPr>
            <w:r>
              <w:rPr>
                <w:rFonts w:ascii="Arial" w:cs="Arial" w:eastAsia="Arial" w:hAnsi="Arial"/>
                <w:sz w:val="16"/>
                <w:szCs w:val="16"/>
                <w:color w:val="auto"/>
              </w:rPr>
              <w:t>Gas Utilities</w:t>
            </w:r>
          </w:p>
        </w:tc>
        <w:tc>
          <w:tcPr>
            <w:tcW w:w="26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Inter-company</w:t>
            </w:r>
          </w:p>
        </w:tc>
        <w:tc>
          <w:tcPr>
            <w:tcW w:w="420" w:type="dxa"/>
            <w:vAlign w:val="bottom"/>
          </w:tcPr>
          <w:p>
            <w:pPr>
              <w:spacing w:after="0"/>
              <w:rPr>
                <w:sz w:val="16"/>
                <w:szCs w:val="16"/>
                <w:color w:val="auto"/>
              </w:rPr>
            </w:pPr>
          </w:p>
        </w:tc>
        <w:tc>
          <w:tcPr>
            <w:tcW w:w="1320" w:type="dxa"/>
            <w:vAlign w:val="bottom"/>
            <w:vMerge w:val="restart"/>
          </w:tcPr>
          <w:p>
            <w:pPr>
              <w:jc w:val="right"/>
              <w:ind w:right="6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Revenues</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40" w:type="dxa"/>
            <w:vAlign w:val="bottom"/>
            <w:gridSpan w:val="2"/>
          </w:tcPr>
          <w:p>
            <w:pPr>
              <w:spacing w:after="0" w:line="170" w:lineRule="exact"/>
              <w:rPr>
                <w:sz w:val="20"/>
                <w:szCs w:val="20"/>
                <w:color w:val="auto"/>
              </w:rPr>
            </w:pPr>
            <w:r>
              <w:rPr>
                <w:rFonts w:ascii="Arial" w:cs="Arial" w:eastAsia="Arial" w:hAnsi="Arial"/>
                <w:sz w:val="16"/>
                <w:szCs w:val="16"/>
                <w:color w:val="auto"/>
              </w:rPr>
              <w:t>Customer Types:</w:t>
            </w: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60" w:type="dxa"/>
            <w:vAlign w:val="bottom"/>
            <w:gridSpan w:val="3"/>
          </w:tcPr>
          <w:p>
            <w:pPr>
              <w:jc w:val="right"/>
              <w:ind w:right="1099"/>
              <w:spacing w:after="0" w:line="170" w:lineRule="exact"/>
              <w:rPr>
                <w:sz w:val="20"/>
                <w:szCs w:val="20"/>
                <w:color w:val="auto"/>
              </w:rPr>
            </w:pPr>
            <w:r>
              <w:rPr>
                <w:rFonts w:ascii="Arial" w:cs="Arial" w:eastAsia="Arial" w:hAnsi="Arial"/>
                <w:sz w:val="16"/>
                <w:szCs w:val="16"/>
                <w:color w:val="auto"/>
              </w:rPr>
              <w:t>(in thousands)</w:t>
            </w: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204,280</w:t>
            </w:r>
          </w:p>
        </w:tc>
        <w:tc>
          <w:tcPr>
            <w:tcW w:w="30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341,605</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545,885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47,951</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(110)</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47,841</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11,359</w:t>
            </w:r>
          </w:p>
        </w:tc>
        <w:tc>
          <w:tcPr>
            <w:tcW w:w="30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8"/>
                <w:szCs w:val="18"/>
                <w:color w:val="auto"/>
              </w:rPr>
            </w:pPr>
          </w:p>
        </w:tc>
        <w:tc>
          <w:tcPr>
            <w:tcW w:w="1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EFFE7"/>
          </w:tcPr>
          <w:p>
            <w:pPr>
              <w:spacing w:after="0"/>
              <w:rPr>
                <w:sz w:val="18"/>
                <w:szCs w:val="18"/>
                <w:color w:val="auto"/>
              </w:rPr>
            </w:pP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11,359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4,772</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4,845</w:t>
            </w:r>
          </w:p>
        </w:tc>
        <w:tc>
          <w:tcPr>
            <w:tcW w:w="0" w:type="dxa"/>
            <w:vAlign w:val="bottom"/>
          </w:tcPr>
          <w:p>
            <w:pPr>
              <w:spacing w:after="0"/>
              <w:rPr>
                <w:sz w:val="1"/>
                <w:szCs w:val="1"/>
                <w:color w:val="auto"/>
              </w:rPr>
            </w:pPr>
          </w:p>
        </w:tc>
      </w:tr>
      <w:tr>
        <w:trPr>
          <w:trHeight w:val="217"/>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14,186</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10,390</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(4,289)</w:t>
            </w:r>
          </w:p>
        </w:tc>
        <w:tc>
          <w:tcPr>
            <w:tcW w:w="4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20,287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234,597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400,019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(4,399)</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630,217</w:t>
            </w:r>
          </w:p>
        </w:tc>
        <w:tc>
          <w:tcPr>
            <w:tcW w:w="0" w:type="dxa"/>
            <w:vAlign w:val="bottom"/>
          </w:tcPr>
          <w:p>
            <w:pPr>
              <w:spacing w:after="0"/>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3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807</w:t>
            </w:r>
          </w:p>
        </w:tc>
        <w:tc>
          <w:tcPr>
            <w:tcW w:w="30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2,500</w:t>
            </w:r>
          </w:p>
        </w:tc>
        <w:tc>
          <w:tcPr>
            <w:tcW w:w="260" w:type="dxa"/>
            <w:vAlign w:val="bottom"/>
            <w:tcBorders>
              <w:bottom w:val="single" w:sz="8" w:color="auto"/>
            </w:tcBorders>
            <w:shd w:val="clear" w:color="auto" w:fill="CEFFE7"/>
          </w:tcPr>
          <w:p>
            <w:pPr>
              <w:spacing w:after="0"/>
              <w:rPr>
                <w:sz w:val="18"/>
                <w:szCs w:val="18"/>
                <w:color w:val="auto"/>
              </w:rPr>
            </w:pP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w:t>
            </w:r>
          </w:p>
        </w:tc>
        <w:tc>
          <w:tcPr>
            <w:tcW w:w="420" w:type="dxa"/>
            <w:vAlign w:val="bottom"/>
            <w:tcBorders>
              <w:bottom w:val="single" w:sz="8" w:color="auto"/>
            </w:tcBorders>
            <w:shd w:val="clear" w:color="auto" w:fill="CEFFE7"/>
          </w:tcPr>
          <w:p>
            <w:pPr>
              <w:spacing w:after="0"/>
              <w:rPr>
                <w:sz w:val="18"/>
                <w:szCs w:val="18"/>
                <w:color w:val="auto"/>
              </w:rPr>
            </w:pP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235,404</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402,519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(4,491)</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633,432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240" w:type="dxa"/>
            <w:vAlign w:val="bottom"/>
            <w:tcBorders>
              <w:bottom w:val="single" w:sz="8" w:color="CEFFE7"/>
            </w:tcBorders>
          </w:tcPr>
          <w:p>
            <w:pPr>
              <w:spacing w:after="0" w:line="20" w:lineRule="exact"/>
              <w:rPr>
                <w:sz w:val="1"/>
                <w:szCs w:val="1"/>
                <w:color w:val="auto"/>
              </w:rPr>
            </w:pPr>
          </w:p>
        </w:tc>
        <w:tc>
          <w:tcPr>
            <w:tcW w:w="310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EFFE7"/>
          </w:tcPr>
          <w:p>
            <w:pPr>
              <w:spacing w:after="0"/>
              <w:rPr>
                <w:sz w:val="10"/>
                <w:szCs w:val="10"/>
                <w:color w:val="auto"/>
              </w:rPr>
            </w:pPr>
          </w:p>
        </w:tc>
        <w:tc>
          <w:tcPr>
            <w:tcW w:w="1240" w:type="dxa"/>
            <w:vAlign w:val="bottom"/>
            <w:shd w:val="clear" w:color="auto" w:fill="CEFFE7"/>
          </w:tcPr>
          <w:p>
            <w:pPr>
              <w:spacing w:after="0"/>
              <w:rPr>
                <w:sz w:val="10"/>
                <w:szCs w:val="10"/>
                <w:color w:val="auto"/>
              </w:rPr>
            </w:pPr>
          </w:p>
        </w:tc>
        <w:tc>
          <w:tcPr>
            <w:tcW w:w="31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1460" w:type="dxa"/>
            <w:vAlign w:val="bottom"/>
            <w:shd w:val="clear" w:color="auto" w:fill="CEFFE7"/>
          </w:tcPr>
          <w:p>
            <w:pPr>
              <w:spacing w:after="0"/>
              <w:rPr>
                <w:sz w:val="10"/>
                <w:szCs w:val="10"/>
                <w:color w:val="auto"/>
              </w:rPr>
            </w:pPr>
          </w:p>
        </w:tc>
        <w:tc>
          <w:tcPr>
            <w:tcW w:w="300" w:type="dxa"/>
            <w:vAlign w:val="bottom"/>
            <w:shd w:val="clear" w:color="auto" w:fill="CEFFE7"/>
          </w:tcPr>
          <w:p>
            <w:pPr>
              <w:spacing w:after="0"/>
              <w:rPr>
                <w:sz w:val="10"/>
                <w:szCs w:val="10"/>
                <w:color w:val="auto"/>
              </w:rPr>
            </w:pPr>
          </w:p>
        </w:tc>
        <w:tc>
          <w:tcPr>
            <w:tcW w:w="142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1480" w:type="dxa"/>
            <w:vAlign w:val="bottom"/>
            <w:shd w:val="clear" w:color="auto" w:fill="CEFFE7"/>
          </w:tcPr>
          <w:p>
            <w:pPr>
              <w:spacing w:after="0"/>
              <w:rPr>
                <w:sz w:val="10"/>
                <w:szCs w:val="10"/>
                <w:color w:val="auto"/>
              </w:rPr>
            </w:pPr>
          </w:p>
        </w:tc>
        <w:tc>
          <w:tcPr>
            <w:tcW w:w="420" w:type="dxa"/>
            <w:vAlign w:val="bottom"/>
            <w:shd w:val="clear" w:color="auto" w:fill="CEFFE7"/>
          </w:tcPr>
          <w:p>
            <w:pPr>
              <w:spacing w:after="0"/>
              <w:rPr>
                <w:sz w:val="10"/>
                <w:szCs w:val="10"/>
                <w:color w:val="auto"/>
              </w:rPr>
            </w:pPr>
          </w:p>
        </w:tc>
        <w:tc>
          <w:tcPr>
            <w:tcW w:w="1320" w:type="dxa"/>
            <w:vAlign w:val="bottom"/>
            <w:shd w:val="clear" w:color="auto" w:fill="CEFFE7"/>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140" w:right="800" w:hanging="120"/>
        <w:spacing w:after="0" w:line="299" w:lineRule="auto"/>
        <w:rPr>
          <w:sz w:val="20"/>
          <w:szCs w:val="20"/>
          <w:color w:val="auto"/>
        </w:rPr>
      </w:pPr>
      <w:r>
        <w:rPr>
          <w:rFonts w:ascii="Arial" w:cs="Arial" w:eastAsia="Arial" w:hAnsi="Arial"/>
          <w:sz w:val="16"/>
          <w:szCs w:val="16"/>
          <w:u w:val="single" w:color="auto"/>
          <w:color w:val="auto"/>
        </w:rPr>
        <w:t xml:space="preserve">Timing of Revenue Recognition: </w:t>
      </w:r>
      <w:r>
        <w:rPr>
          <w:rFonts w:ascii="Arial" w:cs="Arial" w:eastAsia="Arial" w:hAnsi="Arial"/>
          <w:sz w:val="16"/>
          <w:szCs w:val="16"/>
          <w:color w:val="auto"/>
        </w:rPr>
        <w:t>Services transferred at a point in time Services transferred over time</w:t>
      </w: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6,976</w:t>
            </w:r>
          </w:p>
        </w:tc>
        <w:tc>
          <w:tcPr>
            <w:tcW w:w="6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459"/>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399"/>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6,976</w:t>
            </w:r>
          </w:p>
        </w:tc>
      </w:tr>
      <w:tr>
        <w:trPr>
          <w:trHeight w:val="217"/>
        </w:trPr>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227,621</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400,019</w:t>
            </w: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623,241</w:t>
            </w:r>
          </w:p>
        </w:tc>
      </w:tr>
      <w:tr>
        <w:trPr>
          <w:trHeight w:val="210"/>
        </w:trPr>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234,597</w:t>
            </w:r>
          </w:p>
        </w:tc>
        <w:tc>
          <w:tcPr>
            <w:tcW w:w="6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400,019</w:t>
            </w:r>
          </w:p>
        </w:tc>
        <w:tc>
          <w:tcPr>
            <w:tcW w:w="6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w:t>
            </w: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630,217</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-453390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8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right="10000" w:firstLine="8"/>
        <w:spacing w:after="0" w:line="554" w:lineRule="auto"/>
        <w:tabs>
          <w:tab w:leader="none" w:pos="37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had the following Notes payable outstanding in the accompanying Condensed Consolidated Balance Sheets (in thousands) as of:</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March 31, 2022</w:t>
            </w: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319"/>
              <w:spacing w:after="0" w:line="157" w:lineRule="exact"/>
              <w:rPr>
                <w:sz w:val="20"/>
                <w:szCs w:val="20"/>
                <w:color w:val="auto"/>
              </w:rPr>
            </w:pPr>
            <w:r>
              <w:rPr>
                <w:rFonts w:ascii="Arial" w:cs="Arial" w:eastAsia="Arial" w:hAnsi="Arial"/>
                <w:sz w:val="16"/>
                <w:szCs w:val="16"/>
                <w:color w:val="auto"/>
              </w:rPr>
              <w:t>Balance</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200" w:type="dxa"/>
            <w:vAlign w:val="bottom"/>
          </w:tcPr>
          <w:p>
            <w:pPr>
              <w:spacing w:after="0"/>
              <w:rPr>
                <w:sz w:val="13"/>
                <w:szCs w:val="13"/>
                <w:color w:val="auto"/>
              </w:rPr>
            </w:pPr>
          </w:p>
        </w:tc>
        <w:tc>
          <w:tcPr>
            <w:tcW w:w="1220" w:type="dxa"/>
            <w:vAlign w:val="bottom"/>
          </w:tcPr>
          <w:p>
            <w:pPr>
              <w:jc w:val="right"/>
              <w:ind w:right="319"/>
              <w:spacing w:after="0" w:line="157" w:lineRule="exact"/>
              <w:rPr>
                <w:sz w:val="20"/>
                <w:szCs w:val="20"/>
                <w:color w:val="auto"/>
              </w:rPr>
            </w:pPr>
            <w:r>
              <w:rPr>
                <w:rFonts w:ascii="Arial" w:cs="Arial" w:eastAsia="Arial" w:hAnsi="Arial"/>
                <w:sz w:val="16"/>
                <w:szCs w:val="16"/>
                <w:color w:val="auto"/>
              </w:rPr>
              <w:t>Balance</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Outstanding</w:t>
            </w:r>
          </w:p>
        </w:tc>
        <w:tc>
          <w:tcPr>
            <w:tcW w:w="14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Outstanding</w:t>
            </w: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Revolving Credit Facility</w:t>
            </w:r>
          </w:p>
        </w:tc>
        <w:tc>
          <w:tcPr>
            <w:tcW w:w="2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EFFE7"/>
          </w:tcPr>
          <w:p>
            <w:pPr>
              <w:spacing w:after="0"/>
              <w:rPr>
                <w:sz w:val="18"/>
                <w:szCs w:val="18"/>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16,855</w:t>
            </w:r>
          </w:p>
        </w:tc>
        <w:tc>
          <w:tcPr>
            <w:tcW w:w="2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27,209</w:t>
            </w:r>
          </w:p>
        </w:tc>
        <w:tc>
          <w:tcPr>
            <w:tcW w:w="0" w:type="dxa"/>
            <w:vAlign w:val="bottom"/>
          </w:tcPr>
          <w:p>
            <w:pPr>
              <w:spacing w:after="0"/>
              <w:rPr>
                <w:sz w:val="1"/>
                <w:szCs w:val="1"/>
                <w:color w:val="auto"/>
              </w:rPr>
            </w:pPr>
          </w:p>
        </w:tc>
      </w:tr>
      <w:tr>
        <w:trPr>
          <w:trHeight w:val="215"/>
        </w:trPr>
        <w:tc>
          <w:tcPr>
            <w:tcW w:w="5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CP Program</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341,480</w:t>
            </w: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420,180</w:t>
            </w: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546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 Notes payable</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341,480</w:t>
            </w:r>
          </w:p>
        </w:tc>
        <w:tc>
          <w:tcPr>
            <w:tcW w:w="740" w:type="dxa"/>
            <w:vAlign w:val="bottom"/>
            <w:tcBorders>
              <w:bottom w:val="single" w:sz="8" w:color="auto"/>
            </w:tcBorders>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16,855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420,180</w:t>
            </w:r>
          </w:p>
        </w:tc>
        <w:tc>
          <w:tcPr>
            <w:tcW w:w="82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27,209</w:t>
            </w:r>
          </w:p>
        </w:tc>
        <w:tc>
          <w:tcPr>
            <w:tcW w:w="0" w:type="dxa"/>
            <w:vAlign w:val="bottom"/>
          </w:tcPr>
          <w:p>
            <w:pPr>
              <w:spacing w:after="0"/>
              <w:rPr>
                <w:sz w:val="1"/>
                <w:szCs w:val="1"/>
                <w:color w:val="auto"/>
              </w:rPr>
            </w:pPr>
          </w:p>
        </w:tc>
      </w:tr>
      <w:tr>
        <w:trPr>
          <w:trHeight w:val="20"/>
        </w:trPr>
        <w:tc>
          <w:tcPr>
            <w:tcW w:w="54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 Letters of credit are off-balance sheet commitments that reduce the borrowing capacity available on our corporate Revolving Credit Facility.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net short-term repayments related to our Revolving Credit Facility and CP Program during the three months ended March 31, 2022 were $79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on short-term borrowings related to our Revolving Credit Facility and CP Program at March 31, 2022 was 0.79%.</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26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Under our Revolving Credit Facility, we are required to maintain a Consolidated Indebtedness to Capitalization Ratio not to exceed 0.65 to 1.00. Subject to applicable cure periods, a violation of any of these covenants would constitute an event of default that entitles the lenders to terminate their remaining commitments and accelerate all principal and interest outstanding.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gridSpan w:val="2"/>
          </w:tcPr>
          <w:p>
            <w:pPr>
              <w:spacing w:after="0"/>
              <w:rPr>
                <w:sz w:val="20"/>
                <w:szCs w:val="20"/>
                <w:color w:val="auto"/>
              </w:rPr>
            </w:pPr>
            <w:r>
              <w:rPr>
                <w:rFonts w:ascii="Arial" w:cs="Arial" w:eastAsia="Arial" w:hAnsi="Arial"/>
                <w:sz w:val="16"/>
                <w:szCs w:val="16"/>
                <w:color w:val="auto"/>
              </w:rPr>
              <w:t>We were in compliance with our covenants at March 31, 2022 as shown below:</w:t>
            </w:r>
          </w:p>
        </w:tc>
        <w:tc>
          <w:tcPr>
            <w:tcW w:w="2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73"/>
        </w:trPr>
        <w:tc>
          <w:tcPr>
            <w:tcW w:w="20" w:type="dxa"/>
            <w:vAlign w:val="bottom"/>
          </w:tcPr>
          <w:p>
            <w:pPr>
              <w:spacing w:after="0"/>
              <w:rPr>
                <w:sz w:val="24"/>
                <w:szCs w:val="24"/>
                <w:color w:val="auto"/>
              </w:rPr>
            </w:pPr>
          </w:p>
        </w:tc>
        <w:tc>
          <w:tcPr>
            <w:tcW w:w="6160" w:type="dxa"/>
            <w:vAlign w:val="bottom"/>
            <w:tcBorders>
              <w:bottom w:val="single" w:sz="8" w:color="CEFFE7"/>
            </w:tcBorders>
          </w:tcPr>
          <w:p>
            <w:pPr>
              <w:spacing w:after="0"/>
              <w:rPr>
                <w:sz w:val="24"/>
                <w:szCs w:val="2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As of March 31, 2022</w:t>
            </w:r>
          </w:p>
        </w:tc>
        <w:tc>
          <w:tcPr>
            <w:tcW w:w="25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Covenant Requirement</w:t>
            </w:r>
          </w:p>
        </w:tc>
      </w:tr>
      <w:tr>
        <w:trPr>
          <w:trHeight w:val="210"/>
        </w:trPr>
        <w:tc>
          <w:tcPr>
            <w:tcW w:w="20" w:type="dxa"/>
            <w:vAlign w:val="bottom"/>
          </w:tcPr>
          <w:p>
            <w:pPr>
              <w:spacing w:after="0"/>
              <w:rPr>
                <w:sz w:val="18"/>
                <w:szCs w:val="18"/>
                <w:color w:val="auto"/>
              </w:rPr>
            </w:pPr>
          </w:p>
        </w:tc>
        <w:tc>
          <w:tcPr>
            <w:tcW w:w="6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2540" w:type="dxa"/>
            <w:vAlign w:val="bottom"/>
            <w:shd w:val="clear" w:color="auto" w:fill="CEFFE7"/>
          </w:tcPr>
          <w:p>
            <w:pPr>
              <w:jc w:val="right"/>
              <w:ind w:right="959"/>
              <w:spacing w:after="0"/>
              <w:rPr>
                <w:sz w:val="20"/>
                <w:szCs w:val="20"/>
                <w:color w:val="auto"/>
              </w:rPr>
            </w:pPr>
            <w:r>
              <w:rPr>
                <w:rFonts w:ascii="Arial" w:cs="Arial" w:eastAsia="Arial" w:hAnsi="Arial"/>
                <w:sz w:val="16"/>
                <w:szCs w:val="16"/>
                <w:color w:val="auto"/>
              </w:rPr>
              <w:t>61.0%</w:t>
            </w:r>
          </w:p>
        </w:tc>
        <w:tc>
          <w:tcPr>
            <w:tcW w:w="1480" w:type="dxa"/>
            <w:vAlign w:val="bottom"/>
            <w:shd w:val="clear" w:color="auto" w:fill="CEFFE7"/>
          </w:tcPr>
          <w:p>
            <w:pPr>
              <w:ind w:left="540"/>
              <w:spacing w:after="0"/>
              <w:rPr>
                <w:sz w:val="20"/>
                <w:szCs w:val="20"/>
                <w:color w:val="auto"/>
              </w:rPr>
            </w:pPr>
            <w:r>
              <w:rPr>
                <w:rFonts w:ascii="Arial" w:cs="Arial" w:eastAsia="Arial" w:hAnsi="Arial"/>
                <w:sz w:val="16"/>
                <w:szCs w:val="16"/>
                <w:color w:val="auto"/>
              </w:rPr>
              <w:t>Less than</w:t>
            </w:r>
          </w:p>
        </w:tc>
        <w:tc>
          <w:tcPr>
            <w:tcW w:w="10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65%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we were in compliance with these financial covenants.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2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During the three months ended March 31, 2022, we issued a total of 55,707 shares of common stock under the ATM for proceeds of $3.8 million. During the three months ended March 31, 2021, we did not issue any shares of common stock under the ATM.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3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 reconciliation of share amounts used to compute earnings per share in the accompanying Condensed Consolidated Statements of Income was as follows (in thousands, except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80" w:type="dxa"/>
            <w:vAlign w:val="bottom"/>
            <w:gridSpan w:val="3"/>
          </w:tcPr>
          <w:p>
            <w:pPr>
              <w:jc w:val="right"/>
              <w:ind w:right="679"/>
              <w:spacing w:after="0"/>
              <w:rPr>
                <w:sz w:val="20"/>
                <w:szCs w:val="20"/>
                <w:color w:val="auto"/>
              </w:rPr>
            </w:pPr>
            <w:r>
              <w:rPr>
                <w:rFonts w:ascii="Arial" w:cs="Arial" w:eastAsia="Arial" w:hAnsi="Arial"/>
                <w:sz w:val="16"/>
                <w:szCs w:val="16"/>
                <w:color w:val="auto"/>
              </w:rPr>
              <w:t>Three Months Ended March 31,</w:t>
            </w:r>
          </w:p>
        </w:tc>
      </w:tr>
      <w:tr>
        <w:trPr>
          <w:trHeight w:val="217"/>
        </w:trPr>
        <w:tc>
          <w:tcPr>
            <w:tcW w:w="7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2022</w:t>
            </w: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2021</w:t>
            </w:r>
          </w:p>
        </w:tc>
      </w:tr>
      <w:tr>
        <w:trPr>
          <w:trHeight w:val="143"/>
        </w:trPr>
        <w:tc>
          <w:tcPr>
            <w:tcW w:w="7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41"/>
        </w:trPr>
        <w:tc>
          <w:tcPr>
            <w:tcW w:w="7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420" w:type="dxa"/>
            <w:vAlign w:val="bottom"/>
            <w:tcBorders>
              <w:bottom w:val="single" w:sz="8" w:color="auto"/>
            </w:tcBorders>
            <w:gridSpan w:val="2"/>
            <w:shd w:val="clear" w:color="auto" w:fill="CEFFE7"/>
          </w:tcPr>
          <w:p>
            <w:pPr>
              <w:jc w:val="right"/>
              <w:ind w:right="320"/>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117,526</w:t>
            </w:r>
          </w:p>
        </w:tc>
        <w:tc>
          <w:tcPr>
            <w:tcW w:w="700" w:type="dxa"/>
            <w:vAlign w:val="bottom"/>
            <w:tcBorders>
              <w:bottom w:val="single" w:sz="8" w:color="auto"/>
            </w:tcBorders>
            <w:shd w:val="clear" w:color="auto" w:fill="CEFFE7"/>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96,316</w:t>
            </w:r>
          </w:p>
        </w:tc>
      </w:tr>
      <w:tr>
        <w:trPr>
          <w:trHeight w:val="20"/>
        </w:trPr>
        <w:tc>
          <w:tcPr>
            <w:tcW w:w="74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r>
      <w:tr>
        <w:trPr>
          <w:trHeight w:val="109"/>
        </w:trPr>
        <w:tc>
          <w:tcPr>
            <w:tcW w:w="7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16"/>
        </w:trPr>
        <w:tc>
          <w:tcPr>
            <w:tcW w:w="7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shares - basic</w:t>
            </w:r>
          </w:p>
        </w:tc>
        <w:tc>
          <w:tcPr>
            <w:tcW w:w="2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64,565</w:t>
            </w:r>
          </w:p>
        </w:tc>
        <w:tc>
          <w:tcPr>
            <w:tcW w:w="7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62,633</w:t>
            </w: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4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Equity compensation</w:t>
            </w:r>
          </w:p>
        </w:tc>
        <w:tc>
          <w:tcPr>
            <w:tcW w:w="20" w:type="dxa"/>
            <w:vAlign w:val="bottom"/>
            <w:tcBorders>
              <w:bottom w:val="single" w:sz="8" w:color="auto"/>
            </w:tcBorders>
            <w:shd w:val="clear" w:color="auto" w:fill="CEFFE7"/>
          </w:tcPr>
          <w:p>
            <w:pPr>
              <w:spacing w:after="0"/>
              <w:rPr>
                <w:sz w:val="18"/>
                <w:szCs w:val="18"/>
                <w:color w:val="auto"/>
              </w:rPr>
            </w:pPr>
          </w:p>
        </w:tc>
        <w:tc>
          <w:tcPr>
            <w:tcW w:w="40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156</w:t>
            </w:r>
          </w:p>
        </w:tc>
        <w:tc>
          <w:tcPr>
            <w:tcW w:w="7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w:t>
            </w: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64,721</w:t>
            </w: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62,691</w:t>
            </w:r>
          </w:p>
        </w:tc>
      </w:tr>
      <w:tr>
        <w:trPr>
          <w:trHeight w:val="20"/>
        </w:trPr>
        <w:tc>
          <w:tcPr>
            <w:tcW w:w="7440" w:type="dxa"/>
            <w:vAlign w:val="bottom"/>
            <w:tcBorders>
              <w:bottom w:val="single" w:sz="8" w:color="CEFFE7"/>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7440" w:type="dxa"/>
            <w:vAlign w:val="bottom"/>
            <w:shd w:val="clear" w:color="auto" w:fill="CEFFE7"/>
          </w:tcPr>
          <w:p>
            <w:pPr>
              <w:spacing w:after="0"/>
              <w:rPr>
                <w:sz w:val="11"/>
                <w:szCs w:val="11"/>
                <w:color w:val="auto"/>
              </w:rPr>
            </w:pPr>
          </w:p>
        </w:tc>
        <w:tc>
          <w:tcPr>
            <w:tcW w:w="20" w:type="dxa"/>
            <w:vAlign w:val="bottom"/>
            <w:shd w:val="clear" w:color="auto" w:fill="CEFFE7"/>
          </w:tcPr>
          <w:p>
            <w:pPr>
              <w:spacing w:after="0"/>
              <w:rPr>
                <w:sz w:val="11"/>
                <w:szCs w:val="11"/>
                <w:color w:val="auto"/>
              </w:rPr>
            </w:pPr>
          </w:p>
        </w:tc>
        <w:tc>
          <w:tcPr>
            <w:tcW w:w="400" w:type="dxa"/>
            <w:vAlign w:val="bottom"/>
            <w:shd w:val="clear" w:color="auto" w:fill="CEFFE7"/>
          </w:tcPr>
          <w:p>
            <w:pPr>
              <w:spacing w:after="0"/>
              <w:rPr>
                <w:sz w:val="11"/>
                <w:szCs w:val="11"/>
                <w:color w:val="auto"/>
              </w:rPr>
            </w:pPr>
          </w:p>
        </w:tc>
        <w:tc>
          <w:tcPr>
            <w:tcW w:w="1460" w:type="dxa"/>
            <w:vAlign w:val="bottom"/>
            <w:shd w:val="clear" w:color="auto" w:fill="CEFFE7"/>
          </w:tcPr>
          <w:p>
            <w:pPr>
              <w:spacing w:after="0"/>
              <w:rPr>
                <w:sz w:val="11"/>
                <w:szCs w:val="11"/>
                <w:color w:val="auto"/>
              </w:rPr>
            </w:pPr>
          </w:p>
        </w:tc>
        <w:tc>
          <w:tcPr>
            <w:tcW w:w="700" w:type="dxa"/>
            <w:vAlign w:val="bottom"/>
            <w:shd w:val="clear" w:color="auto" w:fill="CEFFE7"/>
          </w:tcPr>
          <w:p>
            <w:pPr>
              <w:spacing w:after="0"/>
              <w:rPr>
                <w:sz w:val="11"/>
                <w:szCs w:val="11"/>
                <w:color w:val="auto"/>
              </w:rPr>
            </w:pPr>
          </w:p>
        </w:tc>
        <w:tc>
          <w:tcPr>
            <w:tcW w:w="1220" w:type="dxa"/>
            <w:vAlign w:val="bottom"/>
            <w:shd w:val="clear" w:color="auto" w:fill="CEFFE7"/>
          </w:tcPr>
          <w:p>
            <w:pPr>
              <w:spacing w:after="0"/>
              <w:rPr>
                <w:sz w:val="11"/>
                <w:szCs w:val="1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4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Earnings per share, Basic</w:t>
            </w:r>
          </w:p>
        </w:tc>
        <w:tc>
          <w:tcPr>
            <w:tcW w:w="420" w:type="dxa"/>
            <w:vAlign w:val="bottom"/>
            <w:gridSpan w:val="2"/>
            <w:shd w:val="clear" w:color="auto" w:fill="CEFFE7"/>
          </w:tcPr>
          <w:p>
            <w:pPr>
              <w:jc w:val="right"/>
              <w:ind w:right="320"/>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1.82</w:t>
            </w:r>
          </w:p>
        </w:tc>
        <w:tc>
          <w:tcPr>
            <w:tcW w:w="70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1.54</w:t>
            </w:r>
          </w:p>
        </w:tc>
      </w:tr>
      <w:tr>
        <w:trPr>
          <w:trHeight w:val="215"/>
        </w:trPr>
        <w:tc>
          <w:tcPr>
            <w:tcW w:w="7440" w:type="dxa"/>
            <w:vAlign w:val="bottom"/>
          </w:tcPr>
          <w:p>
            <w:pPr>
              <w:ind w:left="140"/>
              <w:spacing w:after="0"/>
              <w:rPr>
                <w:sz w:val="20"/>
                <w:szCs w:val="20"/>
                <w:color w:val="auto"/>
              </w:rPr>
            </w:pPr>
            <w:r>
              <w:rPr>
                <w:rFonts w:ascii="Arial" w:cs="Arial" w:eastAsia="Arial" w:hAnsi="Arial"/>
                <w:sz w:val="16"/>
                <w:szCs w:val="16"/>
                <w:color w:val="auto"/>
              </w:rPr>
              <w:t>Earnings per share, Diluted</w:t>
            </w:r>
          </w:p>
        </w:tc>
        <w:tc>
          <w:tcPr>
            <w:tcW w:w="420" w:type="dxa"/>
            <w:vAlign w:val="bottom"/>
            <w:gridSpan w:val="2"/>
          </w:tcPr>
          <w:p>
            <w:pPr>
              <w:jc w:val="right"/>
              <w:ind w:right="320"/>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1.82</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526"/>
        </w:trPr>
        <w:tc>
          <w:tcPr>
            <w:tcW w:w="10020" w:type="dxa"/>
            <w:vAlign w:val="bottom"/>
            <w:gridSpan w:val="5"/>
          </w:tcPr>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thousands):</w:t>
            </w:r>
          </w:p>
        </w:tc>
        <w:tc>
          <w:tcPr>
            <w:tcW w:w="1220" w:type="dxa"/>
            <w:vAlign w:val="bottom"/>
          </w:tcPr>
          <w:p>
            <w:pPr>
              <w:spacing w:after="0"/>
              <w:rPr>
                <w:sz w:val="24"/>
                <w:szCs w:val="24"/>
                <w:color w:val="auto"/>
              </w:rPr>
            </w:pPr>
          </w:p>
        </w:tc>
      </w:tr>
      <w:tr>
        <w:trPr>
          <w:trHeight w:val="243"/>
        </w:trPr>
        <w:tc>
          <w:tcPr>
            <w:tcW w:w="7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80" w:type="dxa"/>
            <w:vAlign w:val="bottom"/>
            <w:gridSpan w:val="3"/>
          </w:tcPr>
          <w:p>
            <w:pPr>
              <w:jc w:val="right"/>
              <w:ind w:right="679"/>
              <w:spacing w:after="0"/>
              <w:rPr>
                <w:sz w:val="20"/>
                <w:szCs w:val="20"/>
                <w:color w:val="auto"/>
              </w:rPr>
            </w:pPr>
            <w:r>
              <w:rPr>
                <w:rFonts w:ascii="Arial" w:cs="Arial" w:eastAsia="Arial" w:hAnsi="Arial"/>
                <w:sz w:val="16"/>
                <w:szCs w:val="16"/>
                <w:color w:val="auto"/>
              </w:rPr>
              <w:t>Three Months Ended March 31,</w:t>
            </w:r>
          </w:p>
        </w:tc>
      </w:tr>
      <w:tr>
        <w:trPr>
          <w:trHeight w:val="217"/>
        </w:trPr>
        <w:tc>
          <w:tcPr>
            <w:tcW w:w="7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2022</w:t>
            </w: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2021</w:t>
            </w:r>
          </w:p>
        </w:tc>
      </w:tr>
      <w:tr>
        <w:trPr>
          <w:trHeight w:val="251"/>
        </w:trPr>
        <w:tc>
          <w:tcPr>
            <w:tcW w:w="7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6"/>
        </w:trPr>
        <w:tc>
          <w:tcPr>
            <w:tcW w:w="7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Equity compensation</w:t>
            </w:r>
          </w:p>
        </w:tc>
        <w:tc>
          <w:tcPr>
            <w:tcW w:w="2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74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Restricted stock</w:t>
            </w:r>
          </w:p>
        </w:tc>
        <w:tc>
          <w:tcPr>
            <w:tcW w:w="20" w:type="dxa"/>
            <w:vAlign w:val="bottom"/>
            <w:tcBorders>
              <w:bottom w:val="single" w:sz="8" w:color="CEFFE7"/>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74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Anti-dilutive shares</w:t>
            </w:r>
          </w:p>
        </w:tc>
        <w:tc>
          <w:tcPr>
            <w:tcW w:w="20" w:type="dxa"/>
            <w:vAlign w:val="bottom"/>
            <w:tcBorders>
              <w:bottom w:val="single" w:sz="8" w:color="CEFFE7"/>
            </w:tcBorders>
            <w:shd w:val="clear" w:color="auto" w:fill="CEFFE7"/>
          </w:tcPr>
          <w:p>
            <w:pPr>
              <w:spacing w:after="0"/>
              <w:rPr>
                <w:sz w:val="20"/>
                <w:szCs w:val="20"/>
                <w:color w:val="auto"/>
              </w:rPr>
            </w:pPr>
          </w:p>
        </w:tc>
        <w:tc>
          <w:tcPr>
            <w:tcW w:w="400" w:type="dxa"/>
            <w:vAlign w:val="bottom"/>
            <w:tcBorders>
              <w:bottom w:val="single" w:sz="8" w:color="auto"/>
            </w:tcBorders>
            <w:shd w:val="clear" w:color="auto" w:fill="CEFFE7"/>
          </w:tcPr>
          <w:p>
            <w:pPr>
              <w:spacing w:after="0"/>
              <w:rPr>
                <w:sz w:val="20"/>
                <w:szCs w:val="20"/>
                <w:color w:val="auto"/>
              </w:rPr>
            </w:pP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EFFE7"/>
          </w:tcPr>
          <w:p>
            <w:pPr>
              <w:spacing w:after="0"/>
              <w:rPr>
                <w:sz w:val="20"/>
                <w:szCs w:val="20"/>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w:t>
            </w:r>
          </w:p>
        </w:tc>
      </w:tr>
      <w:tr>
        <w:trPr>
          <w:trHeight w:val="20"/>
        </w:trPr>
        <w:tc>
          <w:tcPr>
            <w:tcW w:w="74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122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8240" w:firstLine="8"/>
        <w:spacing w:after="0" w:line="572" w:lineRule="auto"/>
        <w:tabs>
          <w:tab w:leader="none" w:pos="37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248"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68" w:lineRule="exact"/>
        <w:rPr>
          <w:sz w:val="20"/>
          <w:szCs w:val="20"/>
          <w:color w:val="auto"/>
        </w:rPr>
      </w:pPr>
    </w:p>
    <w:p>
      <w:pPr>
        <w:ind w:left="500" w:right="180" w:hanging="330"/>
        <w:spacing w:after="0" w:line="275"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the COVID-19 pandemic, weather (Winter Storm Uri), market speculation, inflation, pipeline constraints, and other factors that may impact natural gas and electric supply and demand; and</w:t>
      </w:r>
    </w:p>
    <w:p>
      <w:pPr>
        <w:spacing w:after="0" w:line="191" w:lineRule="exact"/>
        <w:rPr>
          <w:rFonts w:ascii="Arial" w:cs="Arial" w:eastAsia="Arial" w:hAnsi="Arial"/>
          <w:sz w:val="16"/>
          <w:szCs w:val="16"/>
          <w:color w:val="auto"/>
        </w:rPr>
      </w:pPr>
    </w:p>
    <w:p>
      <w:pPr>
        <w:ind w:left="500" w:right="400" w:hanging="330"/>
        <w:spacing w:after="0" w:line="304"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248"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6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r>
        <w:rPr>
          <w:rFonts w:ascii="Arial" w:cs="Arial" w:eastAsia="Arial" w:hAnsi="Arial"/>
          <w:sz w:val="16"/>
          <w:szCs w:val="16"/>
          <w:u w:val="single" w:color="auto"/>
          <w:color w:val="0000FF"/>
        </w:rPr>
        <w:t>Note 8</w:t>
      </w:r>
      <w:r>
        <w:rPr>
          <w:rFonts w:ascii="Arial" w:cs="Arial" w:eastAsia="Arial" w:hAnsi="Arial"/>
          <w:sz w:val="16"/>
          <w:szCs w:val="16"/>
          <w:color w:val="auto"/>
        </w:rPr>
        <w:t>.</w:t>
      </w:r>
    </w:p>
    <w:p>
      <w:pPr>
        <w:spacing w:after="0" w:line="18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21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regulatory commission guidelines. When the related costs are recovered through our rates, the hedging activity is recognized in the Condensed Consolidated Statements of Income.</w:t>
      </w:r>
    </w:p>
    <w:p>
      <w:pPr>
        <w:spacing w:after="0" w:line="200"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use wholesale power purchase and sale contracts to manage purchased power costs and load requirements associated with serving our electric customers. Periodically, certain wholesale energy contracts are considered derivative instruments due to not qualifying for the normal purchase and normal sales exception to derivative accounting. Changes in the fair value of these commodity derivatives are recognized in the Condensed Consolidated Statements of Income.</w:t>
      </w:r>
    </w:p>
    <w:p>
      <w:pPr>
        <w:spacing w:after="0" w:line="21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April 2022 through December 2024.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Condensed Consolidated Balance Sheets and reclassified into earnings in the same period that the underlying hedged item is recognized in earnings. Effectiveness of our hedging position is evaluated at least quarterly.</w:t>
      </w:r>
    </w:p>
    <w:p>
      <w:pPr>
        <w:spacing w:after="0" w:line="2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060" w:type="dxa"/>
            <w:vAlign w:val="bottom"/>
            <w:gridSpan w:val="4"/>
          </w:tcPr>
          <w:p>
            <w:pPr>
              <w:ind w:left="920"/>
              <w:spacing w:after="0"/>
              <w:rPr>
                <w:sz w:val="20"/>
                <w:szCs w:val="20"/>
                <w:color w:val="auto"/>
              </w:rPr>
            </w:pPr>
            <w:r>
              <w:rPr>
                <w:rFonts w:ascii="Arial" w:cs="Arial" w:eastAsia="Arial" w:hAnsi="Arial"/>
                <w:sz w:val="16"/>
                <w:szCs w:val="16"/>
                <w:color w:val="auto"/>
              </w:rPr>
              <w:t>March 31, 2022</w:t>
            </w:r>
          </w:p>
        </w:tc>
        <w:tc>
          <w:tcPr>
            <w:tcW w:w="2980" w:type="dxa"/>
            <w:vAlign w:val="bottom"/>
            <w:gridSpan w:val="3"/>
          </w:tcPr>
          <w:p>
            <w:pPr>
              <w:ind w:left="780"/>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54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6"/>
                <w:szCs w:val="16"/>
                <w:color w:val="auto"/>
              </w:rPr>
              <w:t>Notional</w:t>
            </w:r>
          </w:p>
        </w:tc>
        <w:tc>
          <w:tcPr>
            <w:tcW w:w="142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color w:val="auto"/>
              </w:rPr>
              <w:t>Maximum</w:t>
            </w:r>
          </w:p>
        </w:tc>
        <w:tc>
          <w:tcPr>
            <w:tcW w:w="100" w:type="dxa"/>
            <w:vAlign w:val="bottom"/>
          </w:tcPr>
          <w:p>
            <w:pPr>
              <w:spacing w:after="0"/>
              <w:rPr>
                <w:sz w:val="13"/>
                <w:szCs w:val="13"/>
                <w:color w:val="auto"/>
              </w:rPr>
            </w:pPr>
          </w:p>
        </w:tc>
        <w:tc>
          <w:tcPr>
            <w:tcW w:w="154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6"/>
                <w:szCs w:val="16"/>
                <w:color w:val="auto"/>
              </w:rPr>
              <w:t>Notional</w:t>
            </w:r>
          </w:p>
        </w:tc>
        <w:tc>
          <w:tcPr>
            <w:tcW w:w="1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color w:val="auto"/>
              </w:rPr>
              <w:t>Maximum</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2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w w:val="96"/>
              </w:rPr>
              <w:t>Term</w:t>
            </w:r>
          </w:p>
        </w:tc>
        <w:tc>
          <w:tcPr>
            <w:tcW w:w="154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6"/>
              </w:rPr>
              <w:t>Term</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rPr>
              <w:t>Amounts (MMBtus)</w:t>
            </w:r>
          </w:p>
        </w:tc>
        <w:tc>
          <w:tcPr>
            <w:tcW w:w="152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color w:val="auto"/>
              </w:rPr>
              <w:t>Amounts (MMBtus)</w:t>
            </w: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0" w:type="dxa"/>
            <w:vAlign w:val="bottom"/>
          </w:tcPr>
          <w:p>
            <w:pPr>
              <w:spacing w:after="0"/>
              <w:rPr>
                <w:sz w:val="1"/>
                <w:szCs w:val="1"/>
                <w:color w:val="auto"/>
              </w:rPr>
            </w:pPr>
          </w:p>
        </w:tc>
      </w:tr>
      <w:tr>
        <w:trPr>
          <w:trHeight w:val="209"/>
        </w:trPr>
        <w:tc>
          <w:tcPr>
            <w:tcW w:w="520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4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EFFE7"/>
            </w:tcBorders>
            <w:shd w:val="clear" w:color="auto" w:fill="CEFFE7"/>
          </w:tcPr>
          <w:p>
            <w:pPr>
              <w:spacing w:after="0"/>
              <w:rPr>
                <w:sz w:val="18"/>
                <w:szCs w:val="18"/>
                <w:color w:val="auto"/>
              </w:rPr>
            </w:pPr>
          </w:p>
        </w:tc>
        <w:tc>
          <w:tcPr>
            <w:tcW w:w="142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0</w:t>
            </w:r>
          </w:p>
        </w:tc>
        <w:tc>
          <w:tcPr>
            <w:tcW w:w="100" w:type="dxa"/>
            <w:vAlign w:val="bottom"/>
            <w:tcBorders>
              <w:top w:val="single" w:sz="8" w:color="CEFFE7"/>
            </w:tcBorders>
            <w:shd w:val="clear" w:color="auto" w:fill="CEFFE7"/>
          </w:tcPr>
          <w:p>
            <w:pPr>
              <w:spacing w:after="0"/>
              <w:rPr>
                <w:sz w:val="18"/>
                <w:szCs w:val="18"/>
                <w:color w:val="auto"/>
              </w:rPr>
            </w:pPr>
          </w:p>
        </w:tc>
        <w:tc>
          <w:tcPr>
            <w:tcW w:w="14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590,000</w:t>
            </w:r>
          </w:p>
        </w:tc>
        <w:tc>
          <w:tcPr>
            <w:tcW w:w="100" w:type="dxa"/>
            <w:vAlign w:val="bottom"/>
            <w:tcBorders>
              <w:top w:val="single" w:sz="8" w:color="CEFFE7"/>
            </w:tcBorders>
            <w:shd w:val="clear" w:color="auto" w:fill="CEFFE7"/>
          </w:tcPr>
          <w:p>
            <w:pPr>
              <w:spacing w:after="0"/>
              <w:rPr>
                <w:sz w:val="18"/>
                <w:szCs w:val="18"/>
                <w:color w:val="auto"/>
              </w:rPr>
            </w:pPr>
          </w:p>
        </w:tc>
        <w:tc>
          <w:tcPr>
            <w:tcW w:w="144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3,100,000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7"/>
        </w:trPr>
        <w:tc>
          <w:tcPr>
            <w:tcW w:w="52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54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0</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870,000</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2,750,000</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4,570,000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52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4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4,181,531</w:t>
            </w:r>
          </w:p>
        </w:tc>
        <w:tc>
          <w:tcPr>
            <w:tcW w:w="120" w:type="dxa"/>
            <w:vAlign w:val="bottom"/>
            <w:shd w:val="clear" w:color="auto" w:fill="CEFFE7"/>
          </w:tcPr>
          <w:p>
            <w:pPr>
              <w:spacing w:after="0"/>
              <w:rPr>
                <w:sz w:val="18"/>
                <w:szCs w:val="18"/>
                <w:color w:val="auto"/>
              </w:rPr>
            </w:pPr>
          </w:p>
        </w:tc>
        <w:tc>
          <w:tcPr>
            <w:tcW w:w="142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16,416,677</w:t>
            </w:r>
          </w:p>
        </w:tc>
        <w:tc>
          <w:tcPr>
            <w:tcW w:w="100" w:type="dxa"/>
            <w:vAlign w:val="bottom"/>
            <w:shd w:val="clear" w:color="auto" w:fill="CEFFE7"/>
          </w:tcPr>
          <w:p>
            <w:pPr>
              <w:spacing w:after="0"/>
              <w:rPr>
                <w:sz w:val="18"/>
                <w:szCs w:val="18"/>
                <w:color w:val="auto"/>
              </w:rPr>
            </w:pPr>
          </w:p>
        </w:tc>
        <w:tc>
          <w:tcPr>
            <w:tcW w:w="14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of March 31, 2022, 410,000 MMBtus of natural gas over-the-counter swaps purchases were designated as cash flow hedges.</w:t>
      </w:r>
    </w:p>
    <w:p>
      <w:pPr>
        <w:spacing w:after="0" w:line="14" w:lineRule="exact"/>
        <w:rPr>
          <w:rFonts w:ascii="Arial" w:cs="Arial" w:eastAsia="Arial" w:hAnsi="Arial"/>
          <w:sz w:val="14"/>
          <w:szCs w:val="14"/>
          <w:color w:val="auto"/>
        </w:rPr>
      </w:pPr>
    </w:p>
    <w:p>
      <w:pPr>
        <w:ind w:left="360" w:hanging="352"/>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239" w:lineRule="exact"/>
        <w:rPr>
          <w:sz w:val="20"/>
          <w:szCs w:val="20"/>
          <w:color w:val="auto"/>
        </w:rPr>
      </w:pPr>
    </w:p>
    <w:p>
      <w:pPr>
        <w:jc w:val="both"/>
        <w:ind w:right="620"/>
        <w:spacing w:after="0" w:line="275"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March 31, 2022, the Company posted $0.3 million related to such provisions, which is included in Other current assets on the Condensed Consolidated Balance Sheets.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248"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thousands) as of:</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3900" w:type="dxa"/>
            <w:vAlign w:val="bottom"/>
            <w:vMerge w:val="restart"/>
          </w:tcPr>
          <w:p>
            <w:pPr>
              <w:ind w:left="1100"/>
              <w:spacing w:after="0"/>
              <w:rPr>
                <w:sz w:val="20"/>
                <w:szCs w:val="20"/>
                <w:color w:val="auto"/>
              </w:rPr>
            </w:pPr>
            <w:r>
              <w:rPr>
                <w:rFonts w:ascii="Arial" w:cs="Arial" w:eastAsia="Arial" w:hAnsi="Arial"/>
                <w:sz w:val="16"/>
                <w:szCs w:val="16"/>
                <w:color w:val="auto"/>
              </w:rPr>
              <w:t>Balance Sheet Location</w:t>
            </w:r>
          </w:p>
        </w:tc>
        <w:tc>
          <w:tcPr>
            <w:tcW w:w="120" w:type="dxa"/>
            <w:vAlign w:val="bottom"/>
          </w:tcPr>
          <w:p>
            <w:pPr>
              <w:spacing w:after="0"/>
              <w:rPr>
                <w:sz w:val="16"/>
                <w:szCs w:val="16"/>
                <w:color w:val="auto"/>
              </w:rPr>
            </w:pPr>
          </w:p>
        </w:tc>
        <w:tc>
          <w:tcPr>
            <w:tcW w:w="1260" w:type="dxa"/>
            <w:vAlign w:val="bottom"/>
            <w:vMerge w:val="restart"/>
          </w:tcPr>
          <w:p>
            <w:pPr>
              <w:jc w:val="right"/>
              <w:ind w:right="39"/>
              <w:spacing w:after="0"/>
              <w:rPr>
                <w:sz w:val="20"/>
                <w:szCs w:val="20"/>
                <w:color w:val="auto"/>
              </w:rPr>
            </w:pPr>
            <w:r>
              <w:rPr>
                <w:rFonts w:ascii="Arial" w:cs="Arial" w:eastAsia="Arial" w:hAnsi="Arial"/>
                <w:sz w:val="16"/>
                <w:szCs w:val="16"/>
                <w:color w:val="auto"/>
              </w:rPr>
              <w:t>March 31, 2022</w:t>
            </w:r>
          </w:p>
        </w:tc>
        <w:tc>
          <w:tcPr>
            <w:tcW w:w="140" w:type="dxa"/>
            <w:vAlign w:val="bottom"/>
          </w:tcPr>
          <w:p>
            <w:pPr>
              <w:spacing w:after="0"/>
              <w:rPr>
                <w:sz w:val="16"/>
                <w:szCs w:val="16"/>
                <w:color w:val="auto"/>
              </w:rPr>
            </w:pP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3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96"/>
        </w:trPr>
        <w:tc>
          <w:tcPr>
            <w:tcW w:w="4580" w:type="dxa"/>
            <w:vAlign w:val="bottom"/>
          </w:tcPr>
          <w:p>
            <w:pPr>
              <w:ind w:left="20"/>
              <w:spacing w:after="0"/>
              <w:rPr>
                <w:sz w:val="20"/>
                <w:szCs w:val="20"/>
                <w:color w:val="auto"/>
              </w:rPr>
            </w:pPr>
            <w:r>
              <w:rPr>
                <w:rFonts w:ascii="Arial" w:cs="Arial" w:eastAsia="Arial" w:hAnsi="Arial"/>
                <w:sz w:val="16"/>
                <w:szCs w:val="16"/>
                <w:color w:val="auto"/>
              </w:rPr>
              <w:t>Derivatives designated as hedges:</w:t>
            </w: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9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26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90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1,081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120" w:type="dxa"/>
            <w:vAlign w:val="bottom"/>
            <w:tcBorders>
              <w:bottom w:val="single" w:sz="8" w:color="auto"/>
            </w:tcBorders>
            <w:shd w:val="clear" w:color="auto" w:fill="CEFFE7"/>
          </w:tcPr>
          <w:p>
            <w:pPr>
              <w:spacing w:after="0"/>
              <w:rPr>
                <w:sz w:val="18"/>
                <w:szCs w:val="18"/>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auto"/>
            </w:tcBorders>
            <w:shd w:val="clear" w:color="auto" w:fill="CEFFE7"/>
          </w:tcPr>
          <w:p>
            <w:pPr>
              <w:spacing w:after="0"/>
              <w:rPr>
                <w:sz w:val="18"/>
                <w:szCs w:val="18"/>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EFFE7"/>
            </w:tcBorders>
          </w:tcPr>
          <w:p>
            <w:pPr>
              <w:spacing w:after="0" w:line="20" w:lineRule="exact"/>
              <w:rPr>
                <w:sz w:val="1"/>
                <w:szCs w:val="1"/>
                <w:color w:val="auto"/>
              </w:rPr>
            </w:pPr>
          </w:p>
        </w:tc>
        <w:tc>
          <w:tcPr>
            <w:tcW w:w="3900" w:type="dxa"/>
            <w:vAlign w:val="bottom"/>
            <w:tcBorders>
              <w:bottom w:val="single" w:sz="8" w:color="CEFFE7"/>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EFFE7"/>
          </w:tcPr>
          <w:p>
            <w:pPr>
              <w:spacing w:after="0"/>
              <w:rPr>
                <w:sz w:val="20"/>
                <w:szCs w:val="20"/>
                <w:color w:val="auto"/>
              </w:rPr>
            </w:pPr>
          </w:p>
        </w:tc>
        <w:tc>
          <w:tcPr>
            <w:tcW w:w="3900" w:type="dxa"/>
            <w:vAlign w:val="bottom"/>
            <w:shd w:val="clear" w:color="auto" w:fill="CEFFE7"/>
          </w:tcPr>
          <w:p>
            <w:pPr>
              <w:spacing w:after="0"/>
              <w:rPr>
                <w:sz w:val="20"/>
                <w:szCs w:val="20"/>
                <w:color w:val="auto"/>
              </w:rPr>
            </w:pPr>
          </w:p>
        </w:tc>
        <w:tc>
          <w:tcPr>
            <w:tcW w:w="120" w:type="dxa"/>
            <w:vAlign w:val="bottom"/>
            <w:shd w:val="clear" w:color="auto" w:fill="CEFFE7"/>
          </w:tcPr>
          <w:p>
            <w:pPr>
              <w:spacing w:after="0"/>
              <w:rPr>
                <w:sz w:val="20"/>
                <w:szCs w:val="20"/>
                <w:color w:val="auto"/>
              </w:rPr>
            </w:pPr>
          </w:p>
        </w:tc>
        <w:tc>
          <w:tcPr>
            <w:tcW w:w="126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24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Derivatives not designated as hedges: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9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26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90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6,301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12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596</w:t>
            </w: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12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(191)</w:t>
            </w:r>
          </w:p>
        </w:tc>
        <w:tc>
          <w:tcPr>
            <w:tcW w:w="14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(1,439)</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CEFFE7"/>
            </w:tcBorders>
          </w:tcPr>
          <w:p>
            <w:pPr>
              <w:ind w:left="300"/>
              <w:spacing w:after="0"/>
              <w:rPr>
                <w:sz w:val="20"/>
                <w:szCs w:val="20"/>
                <w:color w:val="auto"/>
              </w:rPr>
            </w:pPr>
            <w:r>
              <w:rPr>
                <w:rFonts w:ascii="Arial" w:cs="Arial" w:eastAsia="Arial" w:hAnsi="Arial"/>
                <w:sz w:val="16"/>
                <w:szCs w:val="16"/>
                <w:color w:val="auto"/>
              </w:rPr>
              <w:t>Noncurrent commodity derivatives</w:t>
            </w:r>
          </w:p>
        </w:tc>
        <w:tc>
          <w:tcPr>
            <w:tcW w:w="39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9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6,677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39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24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impacts of cash flow hedges on our Condensed Consolidated Statements of Comprehensive Income and Condensed Consolidated Statements of Income are presented below for the three months ended March 31, 2022 and 2021. Note that this presentation does not reflect the gains or losses arising from the underlying physical transactions; therefore, it is not indicative of the economic profit or loss we realized when the underlying physical and financial transactions were settled.</w:t>
      </w:r>
    </w:p>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3"/>
          </w:tcPr>
          <w:p>
            <w:pPr>
              <w:jc w:val="right"/>
              <w:spacing w:after="0" w:line="174" w:lineRule="exact"/>
              <w:rPr>
                <w:sz w:val="20"/>
                <w:szCs w:val="20"/>
                <w:color w:val="auto"/>
              </w:rPr>
            </w:pPr>
            <w:r>
              <w:rPr>
                <w:rFonts w:ascii="Arial" w:cs="Arial" w:eastAsia="Arial" w:hAnsi="Arial"/>
                <w:sz w:val="16"/>
                <w:szCs w:val="16"/>
                <w:color w:val="FFFFFF"/>
                <w:w w:val="99"/>
              </w:rPr>
              <w:t>Three Months Ended March</w:t>
            </w:r>
          </w:p>
        </w:tc>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3"/>
          </w:tcPr>
          <w:p>
            <w:pPr>
              <w:jc w:val="center"/>
              <w:spacing w:after="0" w:line="174" w:lineRule="exact"/>
              <w:rPr>
                <w:sz w:val="20"/>
                <w:szCs w:val="20"/>
                <w:color w:val="auto"/>
              </w:rPr>
            </w:pPr>
            <w:r>
              <w:rPr>
                <w:rFonts w:ascii="Arial" w:cs="Arial" w:eastAsia="Arial" w:hAnsi="Arial"/>
                <w:sz w:val="16"/>
                <w:szCs w:val="16"/>
                <w:color w:val="FFFFFF"/>
              </w:rPr>
              <w:t>Three Months Ended March</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499"/>
              <w:spacing w:after="0"/>
              <w:rPr>
                <w:sz w:val="20"/>
                <w:szCs w:val="20"/>
                <w:color w:val="auto"/>
              </w:rPr>
            </w:pPr>
            <w:r>
              <w:rPr>
                <w:rFonts w:ascii="Arial" w:cs="Arial" w:eastAsia="Arial" w:hAnsi="Arial"/>
                <w:sz w:val="16"/>
                <w:szCs w:val="16"/>
                <w:color w:val="FFFFFF"/>
              </w:rPr>
              <w:t>31,</w:t>
            </w:r>
          </w:p>
        </w:tc>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left="639"/>
              <w:spacing w:after="0"/>
              <w:rPr>
                <w:sz w:val="20"/>
                <w:szCs w:val="20"/>
                <w:color w:val="auto"/>
              </w:rPr>
            </w:pPr>
            <w:r>
              <w:rPr>
                <w:rFonts w:ascii="Arial" w:cs="Arial" w:eastAsia="Arial" w:hAnsi="Arial"/>
                <w:sz w:val="16"/>
                <w:szCs w:val="16"/>
                <w:color w:val="FFFFFF"/>
                <w:w w:val="98"/>
              </w:rPr>
              <w:t>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460" w:type="dxa"/>
            <w:vAlign w:val="bottom"/>
          </w:tcPr>
          <w:p>
            <w:pPr>
              <w:spacing w:after="0"/>
              <w:rPr>
                <w:sz w:val="23"/>
                <w:szCs w:val="23"/>
                <w:color w:val="auto"/>
              </w:rPr>
            </w:pPr>
          </w:p>
        </w:tc>
        <w:tc>
          <w:tcPr>
            <w:tcW w:w="2160" w:type="dxa"/>
            <w:vAlign w:val="bottom"/>
            <w:gridSpan w:val="4"/>
          </w:tcPr>
          <w:p>
            <w:pPr>
              <w:jc w:val="right"/>
              <w:spacing w:after="0"/>
              <w:rPr>
                <w:sz w:val="20"/>
                <w:szCs w:val="20"/>
                <w:color w:val="auto"/>
              </w:rPr>
            </w:pPr>
            <w:r>
              <w:rPr>
                <w:rFonts w:ascii="Arial" w:cs="Arial" w:eastAsia="Arial" w:hAnsi="Arial"/>
                <w:sz w:val="16"/>
                <w:szCs w:val="16"/>
                <w:color w:val="auto"/>
              </w:rPr>
              <w:t>Three Months Ended March</w:t>
            </w:r>
          </w:p>
        </w:tc>
        <w:tc>
          <w:tcPr>
            <w:tcW w:w="3420" w:type="dxa"/>
            <w:vAlign w:val="bottom"/>
          </w:tcPr>
          <w:p>
            <w:pPr>
              <w:spacing w:after="0"/>
              <w:rPr>
                <w:sz w:val="23"/>
                <w:szCs w:val="23"/>
                <w:color w:val="auto"/>
              </w:rPr>
            </w:pPr>
          </w:p>
        </w:tc>
        <w:tc>
          <w:tcPr>
            <w:tcW w:w="2200" w:type="dxa"/>
            <w:vAlign w:val="bottom"/>
            <w:gridSpan w:val="4"/>
          </w:tcPr>
          <w:p>
            <w:pPr>
              <w:jc w:val="center"/>
              <w:spacing w:after="0"/>
              <w:rPr>
                <w:sz w:val="20"/>
                <w:szCs w:val="20"/>
                <w:color w:val="auto"/>
              </w:rPr>
            </w:pPr>
            <w:r>
              <w:rPr>
                <w:rFonts w:ascii="Arial" w:cs="Arial" w:eastAsia="Arial" w:hAnsi="Arial"/>
                <w:sz w:val="16"/>
                <w:szCs w:val="16"/>
                <w:color w:val="auto"/>
              </w:rPr>
              <w:t>Three Months Ended March</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31,</w:t>
            </w:r>
          </w:p>
        </w:tc>
        <w:tc>
          <w:tcPr>
            <w:tcW w:w="340" w:type="dxa"/>
            <w:vAlign w:val="bottom"/>
            <w:tcBorders>
              <w:bottom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color w:val="auto"/>
              </w:rPr>
              <w:t>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6"/>
        </w:trPr>
        <w:tc>
          <w:tcPr>
            <w:tcW w:w="3460" w:type="dxa"/>
            <w:vAlign w:val="bottom"/>
            <w:vMerge w:val="restart"/>
          </w:tcPr>
          <w:p>
            <w:pPr>
              <w:jc w:val="center"/>
              <w:spacing w:after="0"/>
              <w:rPr>
                <w:sz w:val="20"/>
                <w:szCs w:val="20"/>
                <w:color w:val="auto"/>
              </w:rPr>
            </w:pPr>
            <w:r>
              <w:rPr>
                <w:rFonts w:ascii="Arial" w:cs="Arial" w:eastAsia="Arial" w:hAnsi="Arial"/>
                <w:sz w:val="16"/>
                <w:szCs w:val="16"/>
                <w:color w:val="auto"/>
              </w:rPr>
              <w:t>Derivatives in Cash Flow Hedging</w:t>
            </w:r>
          </w:p>
        </w:tc>
        <w:tc>
          <w:tcPr>
            <w:tcW w:w="120" w:type="dxa"/>
            <w:vAlign w:val="bottom"/>
          </w:tcPr>
          <w:p>
            <w:pPr>
              <w:spacing w:after="0"/>
              <w:rPr>
                <w:sz w:val="13"/>
                <w:szCs w:val="13"/>
                <w:color w:val="auto"/>
              </w:rPr>
            </w:pPr>
          </w:p>
        </w:tc>
        <w:tc>
          <w:tcPr>
            <w:tcW w:w="2040" w:type="dxa"/>
            <w:vAlign w:val="bottom"/>
            <w:gridSpan w:val="3"/>
            <w:vMerge w:val="restart"/>
          </w:tcPr>
          <w:p>
            <w:pPr>
              <w:jc w:val="center"/>
              <w:ind w:right="19"/>
              <w:spacing w:after="0"/>
              <w:rPr>
                <w:sz w:val="20"/>
                <w:szCs w:val="20"/>
                <w:color w:val="auto"/>
              </w:rPr>
            </w:pPr>
            <w:r>
              <w:rPr>
                <w:rFonts w:ascii="Arial" w:cs="Arial" w:eastAsia="Arial" w:hAnsi="Arial"/>
                <w:sz w:val="16"/>
                <w:szCs w:val="16"/>
                <w:color w:val="auto"/>
              </w:rPr>
              <w:t>Amount of Gain/(Loss)</w:t>
            </w:r>
          </w:p>
        </w:tc>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3"/>
          </w:tcPr>
          <w:p>
            <w:pPr>
              <w:jc w:val="center"/>
              <w:ind w:right="39"/>
              <w:spacing w:after="0" w:line="156" w:lineRule="exact"/>
              <w:rPr>
                <w:sz w:val="20"/>
                <w:szCs w:val="20"/>
                <w:color w:val="auto"/>
              </w:rPr>
            </w:pPr>
            <w:r>
              <w:rPr>
                <w:rFonts w:ascii="Arial" w:cs="Arial" w:eastAsia="Arial" w:hAnsi="Arial"/>
                <w:sz w:val="16"/>
                <w:szCs w:val="16"/>
                <w:color w:val="auto"/>
              </w:rPr>
              <w:t>Amount of Gain/(Loss)</w:t>
            </w: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vMerge w:val="continue"/>
          </w:tcPr>
          <w:p>
            <w:pPr>
              <w:spacing w:after="0"/>
              <w:rPr>
                <w:sz w:val="14"/>
                <w:szCs w:val="14"/>
                <w:color w:val="auto"/>
              </w:rPr>
            </w:pPr>
          </w:p>
        </w:tc>
        <w:tc>
          <w:tcPr>
            <w:tcW w:w="3420" w:type="dxa"/>
            <w:vAlign w:val="bottom"/>
            <w:vMerge w:val="restart"/>
          </w:tcPr>
          <w:p>
            <w:pPr>
              <w:ind w:left="720"/>
              <w:spacing w:after="0"/>
              <w:rPr>
                <w:sz w:val="20"/>
                <w:szCs w:val="20"/>
                <w:color w:val="auto"/>
              </w:rPr>
            </w:pPr>
            <w:r>
              <w:rPr>
                <w:rFonts w:ascii="Arial" w:cs="Arial" w:eastAsia="Arial" w:hAnsi="Arial"/>
                <w:sz w:val="16"/>
                <w:szCs w:val="16"/>
                <w:color w:val="auto"/>
              </w:rPr>
              <w:t>Income Statement Location</w:t>
            </w:r>
          </w:p>
        </w:tc>
        <w:tc>
          <w:tcPr>
            <w:tcW w:w="220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6"/>
                <w:szCs w:val="16"/>
                <w:color w:val="auto"/>
              </w:rPr>
              <w:t>Recognized in OCI</w:t>
            </w:r>
          </w:p>
        </w:tc>
        <w:tc>
          <w:tcPr>
            <w:tcW w:w="3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color w:val="auto"/>
              </w:rPr>
              <w:t>(in thousands)</w:t>
            </w:r>
          </w:p>
        </w:tc>
        <w:tc>
          <w:tcPr>
            <w:tcW w:w="340" w:type="dxa"/>
            <w:vAlign w:val="bottom"/>
            <w:tcBorders>
              <w:bottom w:val="single" w:sz="8" w:color="auto"/>
            </w:tcBorders>
          </w:tcPr>
          <w:p>
            <w:pPr>
              <w:spacing w:after="0"/>
              <w:rPr>
                <w:sz w:val="18"/>
                <w:szCs w:val="18"/>
                <w:color w:val="auto"/>
              </w:rPr>
            </w:pPr>
          </w:p>
        </w:tc>
        <w:tc>
          <w:tcPr>
            <w:tcW w:w="342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10"/>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center"/>
              <w:ind w:left="479"/>
              <w:spacing w:after="0"/>
              <w:rPr>
                <w:sz w:val="20"/>
                <w:szCs w:val="20"/>
                <w:color w:val="auto"/>
              </w:rPr>
            </w:pPr>
            <w:r>
              <w:rPr>
                <w:rFonts w:ascii="Arial" w:cs="Arial" w:eastAsia="Arial" w:hAnsi="Arial"/>
                <w:sz w:val="16"/>
                <w:szCs w:val="16"/>
                <w:color w:val="auto"/>
              </w:rPr>
              <w:t>713</w:t>
            </w:r>
          </w:p>
        </w:tc>
        <w:tc>
          <w:tcPr>
            <w:tcW w:w="740" w:type="dxa"/>
            <w:vAlign w:val="bottom"/>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713</w:t>
            </w:r>
          </w:p>
        </w:tc>
        <w:tc>
          <w:tcPr>
            <w:tcW w:w="34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340" w:type="dxa"/>
            <w:vAlign w:val="bottom"/>
            <w:shd w:val="clear" w:color="auto" w:fill="CEFFE7"/>
          </w:tcPr>
          <w:p>
            <w:pPr>
              <w:jc w:val="center"/>
              <w:ind w:right="1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162"/>
        </w:trPr>
        <w:tc>
          <w:tcPr>
            <w:tcW w:w="3460" w:type="dxa"/>
            <w:vAlign w:val="bottom"/>
            <w:vMerge w:val="restart"/>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Pr>
          <w:p>
            <w:pPr>
              <w:spacing w:after="0"/>
              <w:rPr>
                <w:sz w:val="14"/>
                <w:szCs w:val="14"/>
                <w:color w:val="auto"/>
              </w:rPr>
            </w:pPr>
          </w:p>
        </w:tc>
        <w:tc>
          <w:tcPr>
            <w:tcW w:w="960" w:type="dxa"/>
            <w:vAlign w:val="bottom"/>
            <w:vMerge w:val="restart"/>
          </w:tcPr>
          <w:p>
            <w:pPr>
              <w:jc w:val="center"/>
              <w:ind w:left="459"/>
              <w:spacing w:after="0"/>
              <w:rPr>
                <w:sz w:val="20"/>
                <w:szCs w:val="20"/>
                <w:color w:val="auto"/>
              </w:rPr>
            </w:pPr>
            <w:r>
              <w:rPr>
                <w:rFonts w:ascii="Arial" w:cs="Arial" w:eastAsia="Arial" w:hAnsi="Arial"/>
                <w:sz w:val="16"/>
                <w:szCs w:val="16"/>
                <w:color w:val="auto"/>
              </w:rPr>
              <w:t>(867)</w:t>
            </w:r>
          </w:p>
        </w:tc>
        <w:tc>
          <w:tcPr>
            <w:tcW w:w="7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w w:val="97"/>
              </w:rPr>
              <w:t>173</w:t>
            </w:r>
          </w:p>
        </w:tc>
        <w:tc>
          <w:tcPr>
            <w:tcW w:w="3420" w:type="dxa"/>
            <w:vAlign w:val="bottom"/>
          </w:tcPr>
          <w:p>
            <w:pPr>
              <w:ind w:left="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2,254</w:t>
            </w: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3460" w:type="dxa"/>
            <w:vAlign w:val="bottom"/>
            <w:tcBorders>
              <w:bottom w:val="single" w:sz="8" w:color="CEFFE7"/>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34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sold</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4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center"/>
              <w:ind w:left="459"/>
              <w:spacing w:after="0"/>
              <w:rPr>
                <w:sz w:val="20"/>
                <w:szCs w:val="20"/>
                <w:color w:val="auto"/>
              </w:rPr>
            </w:pPr>
            <w:r>
              <w:rPr>
                <w:rFonts w:ascii="Arial" w:cs="Arial" w:eastAsia="Arial" w:hAnsi="Arial"/>
                <w:sz w:val="16"/>
                <w:szCs w:val="16"/>
                <w:color w:val="auto"/>
              </w:rPr>
              <w:t>(154)</w:t>
            </w:r>
          </w:p>
        </w:tc>
        <w:tc>
          <w:tcPr>
            <w:tcW w:w="74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97"/>
              </w:rPr>
              <w:t>886</w:t>
            </w:r>
          </w:p>
        </w:tc>
        <w:tc>
          <w:tcPr>
            <w:tcW w:w="342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1,541</w:t>
            </w:r>
          </w:p>
        </w:tc>
        <w:tc>
          <w:tcPr>
            <w:tcW w:w="340" w:type="dxa"/>
            <w:vAlign w:val="bottom"/>
            <w:tcBorders>
              <w:bottom w:val="single" w:sz="8" w:color="auto"/>
            </w:tcBorders>
            <w:shd w:val="clear" w:color="auto" w:fill="CEFFE7"/>
          </w:tcPr>
          <w:p>
            <w:pPr>
              <w:jc w:val="center"/>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34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of March 31, 2022, $1.8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24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Condensed Consolidated Statements of Income for the three months ended March 31, 2022 and 2021. Note that this presentation does not reflect the expected gains or losses arising from the underlying physical transactions; therefore, it is not indicative of the economic profit or loss we realized when the underlying physical and financial transactions were settled.</w:t>
      </w:r>
    </w:p>
    <w:p>
      <w:pPr>
        <w:spacing w:after="0" w:line="11"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Three Months Ended March 31,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41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3"/>
        </w:trPr>
        <w:tc>
          <w:tcPr>
            <w:tcW w:w="1360" w:type="dxa"/>
            <w:vAlign w:val="bottom"/>
            <w:tcBorders>
              <w:top w:val="single" w:sz="8" w:color="0000FF"/>
            </w:tcBorders>
          </w:tcPr>
          <w:p>
            <w:pPr>
              <w:spacing w:after="0"/>
              <w:rPr>
                <w:sz w:val="24"/>
                <w:szCs w:val="24"/>
                <w:color w:val="auto"/>
              </w:rPr>
            </w:pPr>
          </w:p>
        </w:tc>
        <w:tc>
          <w:tcPr>
            <w:tcW w:w="2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80" w:type="dxa"/>
            <w:vAlign w:val="bottom"/>
            <w:gridSpan w:val="3"/>
          </w:tcPr>
          <w:p>
            <w:pPr>
              <w:jc w:val="center"/>
              <w:ind w:right="19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7"/>
        </w:trPr>
        <w:tc>
          <w:tcPr>
            <w:tcW w:w="4100" w:type="dxa"/>
            <w:vAlign w:val="bottom"/>
            <w:gridSpan w:val="2"/>
            <w:vMerge w:val="restart"/>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vMerge w:val="restart"/>
          </w:tcPr>
          <w:p>
            <w:pPr>
              <w:ind w:left="860"/>
              <w:spacing w:after="0"/>
              <w:rPr>
                <w:sz w:val="20"/>
                <w:szCs w:val="20"/>
                <w:color w:val="auto"/>
              </w:rPr>
            </w:pPr>
            <w:r>
              <w:rPr>
                <w:rFonts w:ascii="Arial" w:cs="Arial" w:eastAsia="Arial" w:hAnsi="Arial"/>
                <w:sz w:val="16"/>
                <w:szCs w:val="16"/>
                <w:color w:val="auto"/>
              </w:rPr>
              <w:t>Income Statement Location</w:t>
            </w:r>
          </w:p>
        </w:tc>
        <w:tc>
          <w:tcPr>
            <w:tcW w:w="280" w:type="dxa"/>
            <w:vAlign w:val="bottom"/>
          </w:tcPr>
          <w:p>
            <w:pPr>
              <w:spacing w:after="0"/>
              <w:rPr>
                <w:sz w:val="13"/>
                <w:szCs w:val="13"/>
                <w:color w:val="auto"/>
              </w:rPr>
            </w:pPr>
          </w:p>
        </w:tc>
        <w:tc>
          <w:tcPr>
            <w:tcW w:w="3280" w:type="dxa"/>
            <w:vAlign w:val="bottom"/>
            <w:gridSpan w:val="3"/>
          </w:tcPr>
          <w:p>
            <w:pPr>
              <w:jc w:val="center"/>
              <w:ind w:right="179"/>
              <w:spacing w:after="0" w:line="157" w:lineRule="exact"/>
              <w:rPr>
                <w:sz w:val="20"/>
                <w:szCs w:val="20"/>
                <w:color w:val="auto"/>
              </w:rPr>
            </w:pPr>
            <w:r>
              <w:rPr>
                <w:rFonts w:ascii="Arial" w:cs="Arial" w:eastAsia="Arial" w:hAnsi="Arial"/>
                <w:sz w:val="16"/>
                <w:szCs w:val="16"/>
                <w:color w:val="auto"/>
              </w:rPr>
              <w:t>Amount of Gain/(Loss) on Derivatives</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auto"/>
            </w:tcBorders>
            <w:gridSpan w:val="2"/>
            <w:vMerge w:val="continue"/>
          </w:tcPr>
          <w:p>
            <w:pPr>
              <w:spacing w:after="0"/>
              <w:rPr>
                <w:sz w:val="18"/>
                <w:szCs w:val="18"/>
                <w:color w:val="auto"/>
              </w:rPr>
            </w:pPr>
          </w:p>
        </w:tc>
        <w:tc>
          <w:tcPr>
            <w:tcW w:w="35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00" w:type="dxa"/>
            <w:vAlign w:val="bottom"/>
            <w:gridSpan w:val="2"/>
            <w:vMerge w:val="restart"/>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line="163"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16"/>
        </w:trPr>
        <w:tc>
          <w:tcPr>
            <w:tcW w:w="4100" w:type="dxa"/>
            <w:vAlign w:val="bottom"/>
            <w:gridSpan w:val="2"/>
            <w:vMerge w:val="continue"/>
            <w:shd w:val="clear" w:color="auto" w:fill="CEFFE7"/>
          </w:tcPr>
          <w:p>
            <w:pPr>
              <w:spacing w:after="0"/>
              <w:rPr>
                <w:sz w:val="18"/>
                <w:szCs w:val="18"/>
                <w:color w:val="auto"/>
              </w:rPr>
            </w:pP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vMerge w:val="continue"/>
            <w:shd w:val="clear" w:color="auto" w:fill="CEFFE7"/>
          </w:tcPr>
          <w:p>
            <w:pPr>
              <w:spacing w:after="0"/>
              <w:rPr>
                <w:sz w:val="18"/>
                <w:szCs w:val="18"/>
                <w:color w:val="auto"/>
              </w:rPr>
            </w:pPr>
          </w:p>
        </w:tc>
        <w:tc>
          <w:tcPr>
            <w:tcW w:w="1480" w:type="dxa"/>
            <w:vAlign w:val="bottom"/>
            <w:vMerge w:val="continue"/>
            <w:shd w:val="clear" w:color="auto" w:fill="CEFFE7"/>
          </w:tcPr>
          <w:p>
            <w:pPr>
              <w:spacing w:after="0"/>
              <w:rPr>
                <w:sz w:val="18"/>
                <w:szCs w:val="18"/>
                <w:color w:val="auto"/>
              </w:rPr>
            </w:pPr>
          </w:p>
        </w:tc>
        <w:tc>
          <w:tcPr>
            <w:tcW w:w="640" w:type="dxa"/>
            <w:vAlign w:val="bottom"/>
            <w:vMerge w:val="continue"/>
            <w:shd w:val="clear" w:color="auto" w:fill="CEFFE7"/>
          </w:tcPr>
          <w:p>
            <w:pPr>
              <w:spacing w:after="0"/>
              <w:rPr>
                <w:sz w:val="18"/>
                <w:szCs w:val="18"/>
                <w:color w:val="auto"/>
              </w:rPr>
            </w:pPr>
          </w:p>
        </w:tc>
        <w:tc>
          <w:tcPr>
            <w:tcW w:w="116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gridSpan w:val="2"/>
            <w:vMerge w:val="restart"/>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Pr>
          <w:p>
            <w:pPr>
              <w:ind w:left="120"/>
              <w:spacing w:after="0" w:line="162"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3,494</w:t>
            </w:r>
          </w:p>
        </w:tc>
        <w:tc>
          <w:tcPr>
            <w:tcW w:w="6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5"/>
        </w:trPr>
        <w:tc>
          <w:tcPr>
            <w:tcW w:w="4100" w:type="dxa"/>
            <w:vAlign w:val="bottom"/>
            <w:tcBorders>
              <w:bottom w:val="single" w:sz="8" w:color="CEFFE7"/>
            </w:tcBorders>
            <w:gridSpan w:val="2"/>
            <w:vMerge w:val="continue"/>
          </w:tcPr>
          <w:p>
            <w:pPr>
              <w:spacing w:after="0"/>
              <w:rPr>
                <w:sz w:val="18"/>
                <w:szCs w:val="18"/>
                <w:color w:val="auto"/>
              </w:rPr>
            </w:pP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360" w:type="dxa"/>
            <w:vAlign w:val="bottom"/>
            <w:tcBorders>
              <w:bottom w:val="single" w:sz="8" w:color="CEFFE7"/>
            </w:tcBorders>
            <w:shd w:val="clear" w:color="auto" w:fill="CEFFE7"/>
          </w:tcPr>
          <w:p>
            <w:pPr>
              <w:spacing w:after="0"/>
              <w:rPr>
                <w:sz w:val="19"/>
                <w:szCs w:val="19"/>
                <w:color w:val="auto"/>
              </w:rPr>
            </w:pPr>
          </w:p>
        </w:tc>
        <w:tc>
          <w:tcPr>
            <w:tcW w:w="274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3,494</w:t>
            </w:r>
          </w:p>
        </w:tc>
        <w:tc>
          <w:tcPr>
            <w:tcW w:w="64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74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4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 accounts related to these financial instruments in our Gas Utilities were $0.2 million and $2.6 million as of March 31, 2022 and December 31, 2021, respectively. For our Electric Utilities, the unrealized gains and losses arising from these derivatives are recognized in the Condensed Consolidated Statements of Income.</w:t>
      </w:r>
    </w:p>
    <w:p>
      <w:pPr>
        <w:spacing w:after="0" w:line="200" w:lineRule="exact"/>
        <w:rPr>
          <w:sz w:val="20"/>
          <w:szCs w:val="20"/>
          <w:color w:val="auto"/>
        </w:rPr>
      </w:pPr>
    </w:p>
    <w:p>
      <w:pPr>
        <w:spacing w:after="0" w:line="242"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23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91"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6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9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6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 For additional information, see Note 1 of our Notes to the Consolidated Financial Statements in our 2021 Annual Report on Form 10-K.</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following tables set forth, by level within the fair value hierarchy, our gross assets and gross liabilities and related offsetting of cash collateral and contractual netting rights as permitted by GAAP that were accounted for at fair value on a recurring basis for derivative instruments.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9"/>
              </w:rPr>
              <w:t>As of March 31, 2022</w:t>
            </w: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00" w:type="dxa"/>
            <w:vAlign w:val="bottom"/>
            <w:gridSpan w:val="2"/>
          </w:tcPr>
          <w:p>
            <w:pPr>
              <w:jc w:val="center"/>
              <w:ind w:right="399"/>
              <w:spacing w:after="0" w:line="183" w:lineRule="exact"/>
              <w:rPr>
                <w:sz w:val="20"/>
                <w:szCs w:val="20"/>
                <w:color w:val="auto"/>
              </w:rPr>
            </w:pPr>
            <w:r>
              <w:rPr>
                <w:rFonts w:ascii="Arial" w:cs="Arial" w:eastAsia="Arial" w:hAnsi="Arial"/>
                <w:sz w:val="16"/>
                <w:szCs w:val="16"/>
                <w:color w:val="auto"/>
              </w:rPr>
              <w:t>Cash Collateral and</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4"/>
                <w:szCs w:val="14"/>
                <w:color w:val="auto"/>
              </w:rPr>
            </w:pPr>
          </w:p>
        </w:tc>
        <w:tc>
          <w:tcPr>
            <w:tcW w:w="1900" w:type="dxa"/>
            <w:vAlign w:val="bottom"/>
            <w:gridSpan w:val="2"/>
          </w:tcPr>
          <w:p>
            <w:pPr>
              <w:jc w:val="center"/>
              <w:ind w:right="399"/>
              <w:spacing w:after="0" w:line="162" w:lineRule="exact"/>
              <w:rPr>
                <w:sz w:val="20"/>
                <w:szCs w:val="20"/>
                <w:color w:val="auto"/>
              </w:rPr>
            </w:pPr>
            <w:r>
              <w:rPr>
                <w:rFonts w:ascii="Arial" w:cs="Arial" w:eastAsia="Arial" w:hAnsi="Arial"/>
                <w:sz w:val="16"/>
                <w:szCs w:val="16"/>
                <w:color w:val="auto"/>
              </w:rPr>
              <w:t>Counterparty</w:t>
            </w: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EFFE7"/>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399"/>
              <w:spacing w:after="0" w:line="216" w:lineRule="exact"/>
              <w:rPr>
                <w:sz w:val="20"/>
                <w:szCs w:val="20"/>
                <w:color w:val="auto"/>
              </w:rPr>
            </w:pPr>
            <w:r>
              <w:rPr>
                <w:rFonts w:ascii="Arial" w:cs="Arial" w:eastAsia="Arial" w:hAnsi="Arial"/>
                <w:sz w:val="16"/>
                <w:szCs w:val="16"/>
                <w:color w:val="auto"/>
                <w:w w:val="96"/>
              </w:rPr>
              <w:t xml:space="preserve">Netting </w:t>
            </w:r>
            <w:r>
              <w:rPr>
                <w:rFonts w:ascii="Arial" w:cs="Arial" w:eastAsia="Arial" w:hAnsi="Arial"/>
                <w:sz w:val="21"/>
                <w:szCs w:val="21"/>
                <w:color w:val="auto"/>
                <w:w w:val="96"/>
                <w:vertAlign w:val="superscript"/>
              </w:rPr>
              <w:t>(a)</w:t>
            </w: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2940" w:type="dxa"/>
            <w:vAlign w:val="bottom"/>
            <w:gridSpan w:val="4"/>
            <w:shd w:val="clear" w:color="auto" w:fill="CEFFE7"/>
          </w:tcPr>
          <w:p>
            <w:pPr>
              <w:ind w:left="260"/>
              <w:spacing w:after="0"/>
              <w:rPr>
                <w:sz w:val="20"/>
                <w:szCs w:val="20"/>
                <w:color w:val="auto"/>
              </w:rPr>
            </w:pPr>
            <w:r>
              <w:rPr>
                <w:rFonts w:ascii="Arial" w:cs="Arial" w:eastAsia="Arial" w:hAnsi="Arial"/>
                <w:sz w:val="16"/>
                <w:szCs w:val="16"/>
                <w:color w:val="auto"/>
              </w:rPr>
              <w:t>(in thousands)</w:t>
            </w:r>
          </w:p>
        </w:tc>
        <w:tc>
          <w:tcPr>
            <w:tcW w:w="11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7,989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ind w:left="8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7,989</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7,989</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EFFE7"/>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580" w:type="dxa"/>
            <w:vAlign w:val="bottom"/>
            <w:shd w:val="clear" w:color="auto" w:fill="CEFFE7"/>
          </w:tcPr>
          <w:p>
            <w:pPr>
              <w:spacing w:after="0"/>
              <w:rPr>
                <w:sz w:val="6"/>
                <w:szCs w:val="6"/>
                <w:color w:val="auto"/>
              </w:rPr>
            </w:pPr>
          </w:p>
        </w:tc>
        <w:tc>
          <w:tcPr>
            <w:tcW w:w="780" w:type="dxa"/>
            <w:vAlign w:val="bottom"/>
            <w:shd w:val="clear" w:color="auto" w:fill="CEFFE7"/>
          </w:tcPr>
          <w:p>
            <w:pPr>
              <w:spacing w:after="0"/>
              <w:rPr>
                <w:sz w:val="6"/>
                <w:szCs w:val="6"/>
                <w:color w:val="auto"/>
              </w:rPr>
            </w:pPr>
          </w:p>
        </w:tc>
        <w:tc>
          <w:tcPr>
            <w:tcW w:w="440" w:type="dxa"/>
            <w:vAlign w:val="bottom"/>
            <w:shd w:val="clear" w:color="auto" w:fill="CEFFE7"/>
          </w:tcPr>
          <w:p>
            <w:pPr>
              <w:spacing w:after="0"/>
              <w:rPr>
                <w:sz w:val="6"/>
                <w:szCs w:val="6"/>
                <w:color w:val="auto"/>
              </w:rPr>
            </w:pPr>
          </w:p>
        </w:tc>
        <w:tc>
          <w:tcPr>
            <w:tcW w:w="84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280" w:type="dxa"/>
            <w:vAlign w:val="bottom"/>
            <w:shd w:val="clear" w:color="auto" w:fill="CEFFE7"/>
          </w:tcPr>
          <w:p>
            <w:pPr>
              <w:spacing w:after="0"/>
              <w:rPr>
                <w:sz w:val="6"/>
                <w:szCs w:val="6"/>
                <w:color w:val="auto"/>
              </w:rPr>
            </w:pPr>
          </w:p>
        </w:tc>
        <w:tc>
          <w:tcPr>
            <w:tcW w:w="72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500" w:type="dxa"/>
            <w:vAlign w:val="bottom"/>
            <w:shd w:val="clear" w:color="auto" w:fill="CEFFE7"/>
          </w:tcPr>
          <w:p>
            <w:pPr>
              <w:spacing w:after="0"/>
              <w:rPr>
                <w:sz w:val="6"/>
                <w:szCs w:val="6"/>
                <w:color w:val="auto"/>
              </w:rPr>
            </w:pPr>
          </w:p>
        </w:tc>
        <w:tc>
          <w:tcPr>
            <w:tcW w:w="1400" w:type="dxa"/>
            <w:vAlign w:val="bottom"/>
            <w:shd w:val="clear" w:color="auto" w:fill="CEFFE7"/>
          </w:tcPr>
          <w:p>
            <w:pPr>
              <w:spacing w:after="0"/>
              <w:rPr>
                <w:sz w:val="6"/>
                <w:szCs w:val="6"/>
                <w:color w:val="auto"/>
              </w:rPr>
            </w:pPr>
          </w:p>
        </w:tc>
        <w:tc>
          <w:tcPr>
            <w:tcW w:w="116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EFFE7"/>
          </w:tcPr>
          <w:p>
            <w:pPr>
              <w:spacing w:after="0"/>
              <w:rPr>
                <w:sz w:val="18"/>
                <w:szCs w:val="18"/>
                <w:color w:val="auto"/>
              </w:rPr>
            </w:pPr>
          </w:p>
        </w:tc>
        <w:tc>
          <w:tcPr>
            <w:tcW w:w="720" w:type="dxa"/>
            <w:vAlign w:val="bottom"/>
            <w:tcBorders>
              <w:bottom w:val="single" w:sz="8" w:color="auto"/>
            </w:tcBorders>
            <w:shd w:val="clear" w:color="auto" w:fill="CEFFE7"/>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ind w:left="8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March 31, 2022, we had no commodity derivative assets or liabilities, or related gross collateral amounts, that were subject to master netting agreements.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center"/>
              <w:ind w:right="900"/>
              <w:spacing w:after="0"/>
              <w:rPr>
                <w:sz w:val="20"/>
                <w:szCs w:val="20"/>
                <w:color w:val="auto"/>
              </w:rPr>
            </w:pPr>
            <w:r>
              <w:rPr>
                <w:rFonts w:ascii="Arial" w:cs="Arial" w:eastAsia="Arial" w:hAnsi="Arial"/>
                <w:sz w:val="16"/>
                <w:szCs w:val="16"/>
                <w:color w:val="auto"/>
              </w:rPr>
              <w:t>As of December 31, 2021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Pr>
          <w:p>
            <w:pPr>
              <w:spacing w:after="0"/>
              <w:rPr>
                <w:sz w:val="14"/>
                <w:szCs w:val="14"/>
                <w:color w:val="auto"/>
              </w:rPr>
            </w:pPr>
          </w:p>
        </w:tc>
        <w:tc>
          <w:tcPr>
            <w:tcW w:w="840" w:type="dxa"/>
            <w:vAlign w:val="bottom"/>
            <w:vMerge w:val="restart"/>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Pr>
          <w:p>
            <w:pPr>
              <w:spacing w:after="0"/>
              <w:rPr>
                <w:sz w:val="14"/>
                <w:szCs w:val="14"/>
                <w:color w:val="auto"/>
              </w:rPr>
            </w:pPr>
          </w:p>
        </w:tc>
        <w:tc>
          <w:tcPr>
            <w:tcW w:w="1540" w:type="dxa"/>
            <w:vAlign w:val="bottom"/>
            <w:gridSpan w:val="2"/>
          </w:tcPr>
          <w:p>
            <w:pPr>
              <w:jc w:val="center"/>
              <w:ind w:right="120"/>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EFFE7"/>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line="216" w:lineRule="exact"/>
              <w:rPr>
                <w:sz w:val="20"/>
                <w:szCs w:val="20"/>
                <w:color w:val="auto"/>
              </w:rPr>
            </w:pPr>
            <w:r>
              <w:rPr>
                <w:rFonts w:ascii="Arial" w:cs="Arial" w:eastAsia="Arial" w:hAnsi="Arial"/>
                <w:sz w:val="16"/>
                <w:szCs w:val="16"/>
                <w:color w:val="auto"/>
                <w:w w:val="91"/>
              </w:rPr>
              <w:t xml:space="preserve">Netting </w:t>
            </w:r>
            <w:r>
              <w:rPr>
                <w:rFonts w:ascii="Arial" w:cs="Arial" w:eastAsia="Arial" w:hAnsi="Arial"/>
                <w:sz w:val="21"/>
                <w:szCs w:val="21"/>
                <w:color w:val="auto"/>
                <w:w w:val="91"/>
                <w:vertAlign w:val="superscript"/>
              </w:rPr>
              <w:t>(a)</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740" w:type="dxa"/>
            <w:vAlign w:val="bottom"/>
            <w:gridSpan w:val="4"/>
            <w:shd w:val="clear" w:color="auto" w:fill="CEFFE7"/>
          </w:tcPr>
          <w:p>
            <w:pPr>
              <w:jc w:val="center"/>
              <w:ind w:right="880"/>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7,569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(2,374)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(2,374)</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5,195</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EFFE7"/>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580" w:type="dxa"/>
            <w:vAlign w:val="bottom"/>
            <w:shd w:val="clear" w:color="auto" w:fill="CEFFE7"/>
          </w:tcPr>
          <w:p>
            <w:pPr>
              <w:spacing w:after="0"/>
              <w:rPr>
                <w:sz w:val="6"/>
                <w:szCs w:val="6"/>
                <w:color w:val="auto"/>
              </w:rPr>
            </w:pPr>
          </w:p>
        </w:tc>
        <w:tc>
          <w:tcPr>
            <w:tcW w:w="780" w:type="dxa"/>
            <w:vAlign w:val="bottom"/>
            <w:shd w:val="clear" w:color="auto" w:fill="CEFFE7"/>
          </w:tcPr>
          <w:p>
            <w:pPr>
              <w:spacing w:after="0"/>
              <w:rPr>
                <w:sz w:val="6"/>
                <w:szCs w:val="6"/>
                <w:color w:val="auto"/>
              </w:rPr>
            </w:pPr>
          </w:p>
        </w:tc>
        <w:tc>
          <w:tcPr>
            <w:tcW w:w="440" w:type="dxa"/>
            <w:vAlign w:val="bottom"/>
            <w:shd w:val="clear" w:color="auto" w:fill="CEFFE7"/>
          </w:tcPr>
          <w:p>
            <w:pPr>
              <w:spacing w:after="0"/>
              <w:rPr>
                <w:sz w:val="6"/>
                <w:szCs w:val="6"/>
                <w:color w:val="auto"/>
              </w:rPr>
            </w:pPr>
          </w:p>
        </w:tc>
        <w:tc>
          <w:tcPr>
            <w:tcW w:w="840" w:type="dxa"/>
            <w:vAlign w:val="bottom"/>
            <w:shd w:val="clear" w:color="auto" w:fill="CEFFE7"/>
          </w:tcPr>
          <w:p>
            <w:pPr>
              <w:spacing w:after="0"/>
              <w:rPr>
                <w:sz w:val="6"/>
                <w:szCs w:val="6"/>
                <w:color w:val="auto"/>
              </w:rPr>
            </w:pPr>
          </w:p>
        </w:tc>
        <w:tc>
          <w:tcPr>
            <w:tcW w:w="220" w:type="dxa"/>
            <w:vAlign w:val="bottom"/>
            <w:shd w:val="clear" w:color="auto" w:fill="CEFFE7"/>
          </w:tcPr>
          <w:p>
            <w:pPr>
              <w:spacing w:after="0"/>
              <w:rPr>
                <w:sz w:val="6"/>
                <w:szCs w:val="6"/>
                <w:color w:val="auto"/>
              </w:rPr>
            </w:pPr>
          </w:p>
        </w:tc>
        <w:tc>
          <w:tcPr>
            <w:tcW w:w="120" w:type="dxa"/>
            <w:vAlign w:val="bottom"/>
            <w:shd w:val="clear" w:color="auto" w:fill="CEFFE7"/>
          </w:tcPr>
          <w:p>
            <w:pPr>
              <w:spacing w:after="0"/>
              <w:rPr>
                <w:sz w:val="6"/>
                <w:szCs w:val="6"/>
                <w:color w:val="auto"/>
              </w:rPr>
            </w:pPr>
          </w:p>
        </w:tc>
        <w:tc>
          <w:tcPr>
            <w:tcW w:w="880" w:type="dxa"/>
            <w:vAlign w:val="bottom"/>
            <w:shd w:val="clear" w:color="auto" w:fill="CEFFE7"/>
          </w:tcPr>
          <w:p>
            <w:pPr>
              <w:spacing w:after="0"/>
              <w:rPr>
                <w:sz w:val="6"/>
                <w:szCs w:val="6"/>
                <w:color w:val="auto"/>
              </w:rPr>
            </w:pPr>
          </w:p>
        </w:tc>
        <w:tc>
          <w:tcPr>
            <w:tcW w:w="320" w:type="dxa"/>
            <w:vAlign w:val="bottom"/>
            <w:shd w:val="clear" w:color="auto" w:fill="CEFFE7"/>
          </w:tcPr>
          <w:p>
            <w:pPr>
              <w:spacing w:after="0"/>
              <w:rPr>
                <w:sz w:val="6"/>
                <w:szCs w:val="6"/>
                <w:color w:val="auto"/>
              </w:rPr>
            </w:pPr>
          </w:p>
        </w:tc>
        <w:tc>
          <w:tcPr>
            <w:tcW w:w="640" w:type="dxa"/>
            <w:vAlign w:val="bottom"/>
            <w:shd w:val="clear" w:color="auto" w:fill="CEFFE7"/>
          </w:tcPr>
          <w:p>
            <w:pPr>
              <w:spacing w:after="0"/>
              <w:rPr>
                <w:sz w:val="6"/>
                <w:szCs w:val="6"/>
                <w:color w:val="auto"/>
              </w:rPr>
            </w:pPr>
          </w:p>
        </w:tc>
        <w:tc>
          <w:tcPr>
            <w:tcW w:w="900" w:type="dxa"/>
            <w:vAlign w:val="bottom"/>
            <w:shd w:val="clear" w:color="auto" w:fill="CEFFE7"/>
          </w:tcPr>
          <w:p>
            <w:pPr>
              <w:spacing w:after="0"/>
              <w:rPr>
                <w:sz w:val="6"/>
                <w:szCs w:val="6"/>
                <w:color w:val="auto"/>
              </w:rPr>
            </w:pPr>
          </w:p>
        </w:tc>
        <w:tc>
          <w:tcPr>
            <w:tcW w:w="360" w:type="dxa"/>
            <w:vAlign w:val="bottom"/>
            <w:shd w:val="clear" w:color="auto" w:fill="CEFFE7"/>
          </w:tcPr>
          <w:p>
            <w:pPr>
              <w:spacing w:after="0"/>
              <w:rPr>
                <w:sz w:val="6"/>
                <w:szCs w:val="6"/>
                <w:color w:val="auto"/>
              </w:rPr>
            </w:pPr>
          </w:p>
        </w:tc>
        <w:tc>
          <w:tcPr>
            <w:tcW w:w="116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3,273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(1,814)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(1,814)</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right="580" w:hanging="332"/>
        <w:spacing w:after="0" w:line="274" w:lineRule="auto"/>
        <w:tabs>
          <w:tab w:leader="none" w:pos="34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2021, $2.4 million of our commodity derivative assets and $1.8 million of our commodity derivative liabilities, as well as related gross collateral amounts, were subject to master netting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260"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13 to the Consolidated Financial Statements included in our 2021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24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Condensed Consolidated Balance Sheets (in thousands) as of:</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color w:val="auto"/>
              </w:rPr>
              <w:t>March 31, 2022</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color w:val="auto"/>
              </w:rPr>
              <w:t>December 31, 2021</w:t>
            </w:r>
          </w:p>
        </w:tc>
        <w:tc>
          <w:tcPr>
            <w:tcW w:w="0" w:type="dxa"/>
            <w:vAlign w:val="bottom"/>
          </w:tcPr>
          <w:p>
            <w:pPr>
              <w:spacing w:after="0"/>
              <w:rPr>
                <w:sz w:val="1"/>
                <w:szCs w:val="1"/>
                <w:color w:val="auto"/>
              </w:rPr>
            </w:pPr>
          </w:p>
        </w:tc>
      </w:tr>
      <w:tr>
        <w:trPr>
          <w:trHeight w:val="157"/>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79"/>
              <w:spacing w:after="0" w:line="157" w:lineRule="exact"/>
              <w:rPr>
                <w:sz w:val="20"/>
                <w:szCs w:val="20"/>
                <w:color w:val="auto"/>
              </w:rPr>
            </w:pPr>
            <w:r>
              <w:rPr>
                <w:rFonts w:ascii="Arial" w:cs="Arial" w:eastAsia="Arial" w:hAnsi="Arial"/>
                <w:sz w:val="16"/>
                <w:szCs w:val="16"/>
                <w:color w:val="auto"/>
              </w:rPr>
              <w:t>Carrying</w:t>
            </w: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6"/>
                <w:szCs w:val="16"/>
                <w:color w:val="auto"/>
              </w:rPr>
              <w:t>Fair Value</w:t>
            </w:r>
          </w:p>
        </w:tc>
        <w:tc>
          <w:tcPr>
            <w:tcW w:w="220" w:type="dxa"/>
            <w:vAlign w:val="bottom"/>
          </w:tcPr>
          <w:p>
            <w:pPr>
              <w:spacing w:after="0"/>
              <w:rPr>
                <w:sz w:val="13"/>
                <w:szCs w:val="13"/>
                <w:color w:val="auto"/>
              </w:rPr>
            </w:pPr>
          </w:p>
        </w:tc>
        <w:tc>
          <w:tcPr>
            <w:tcW w:w="1080" w:type="dxa"/>
            <w:vAlign w:val="bottom"/>
          </w:tcPr>
          <w:p>
            <w:pPr>
              <w:jc w:val="right"/>
              <w:ind w:right="279"/>
              <w:spacing w:after="0" w:line="157" w:lineRule="exact"/>
              <w:rPr>
                <w:sz w:val="20"/>
                <w:szCs w:val="20"/>
                <w:color w:val="auto"/>
              </w:rPr>
            </w:pPr>
            <w:r>
              <w:rPr>
                <w:rFonts w:ascii="Arial" w:cs="Arial" w:eastAsia="Arial" w:hAnsi="Arial"/>
                <w:sz w:val="16"/>
                <w:szCs w:val="16"/>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color w:val="auto"/>
              </w:rPr>
              <w:t>Fair Value</w:t>
            </w:r>
          </w:p>
        </w:tc>
        <w:tc>
          <w:tcPr>
            <w:tcW w:w="0" w:type="dxa"/>
            <w:vAlign w:val="bottom"/>
          </w:tcPr>
          <w:p>
            <w:pPr>
              <w:spacing w:after="0"/>
              <w:rPr>
                <w:sz w:val="1"/>
                <w:szCs w:val="1"/>
                <w:color w:val="auto"/>
              </w:rPr>
            </w:pPr>
          </w:p>
        </w:tc>
      </w:tr>
      <w:tr>
        <w:trPr>
          <w:trHeight w:val="215"/>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22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4,128,291</w:t>
            </w:r>
          </w:p>
        </w:tc>
        <w:tc>
          <w:tcPr>
            <w:tcW w:w="2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4,201,135</w:t>
            </w:r>
          </w:p>
        </w:tc>
        <w:tc>
          <w:tcPr>
            <w:tcW w:w="14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4,126,923</w:t>
            </w:r>
          </w:p>
        </w:tc>
        <w:tc>
          <w:tcPr>
            <w:tcW w:w="24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4,570,619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right="140" w:hanging="332"/>
        <w:spacing w:after="0" w:line="284" w:lineRule="auto"/>
        <w:tabs>
          <w:tab w:leader="none" w:pos="3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200" w:lineRule="exact"/>
        <w:rPr>
          <w:sz w:val="20"/>
          <w:szCs w:val="20"/>
          <w:color w:val="auto"/>
        </w:rPr>
      </w:pPr>
    </w:p>
    <w:p>
      <w:pPr>
        <w:spacing w:after="0" w:line="23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48"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Income for the period, net of tax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3"/>
          </w:tcPr>
          <w:p>
            <w:pPr>
              <w:jc w:val="right"/>
              <w:ind w:right="279"/>
              <w:spacing w:after="0"/>
              <w:rPr>
                <w:sz w:val="20"/>
                <w:szCs w:val="20"/>
                <w:color w:val="auto"/>
              </w:rPr>
            </w:pPr>
            <w:r>
              <w:rPr>
                <w:rFonts w:ascii="Arial" w:cs="Arial" w:eastAsia="Arial" w:hAnsi="Arial"/>
                <w:sz w:val="16"/>
                <w:szCs w:val="16"/>
                <w:color w:val="auto"/>
              </w:rPr>
              <w:t>Amount Reclassified from AOCI</w:t>
            </w:r>
          </w:p>
        </w:tc>
        <w:tc>
          <w:tcPr>
            <w:tcW w:w="0" w:type="dxa"/>
            <w:vAlign w:val="bottom"/>
          </w:tcPr>
          <w:p>
            <w:pPr>
              <w:spacing w:after="0"/>
              <w:rPr>
                <w:sz w:val="1"/>
                <w:szCs w:val="1"/>
                <w:color w:val="auto"/>
              </w:rPr>
            </w:pPr>
          </w:p>
        </w:tc>
      </w:tr>
      <w:tr>
        <w:trPr>
          <w:trHeight w:val="271"/>
        </w:trPr>
        <w:tc>
          <w:tcPr>
            <w:tcW w:w="4580" w:type="dxa"/>
            <w:vAlign w:val="bottom"/>
          </w:tcPr>
          <w:p>
            <w:pPr>
              <w:spacing w:after="0"/>
              <w:rPr>
                <w:sz w:val="23"/>
                <w:szCs w:val="23"/>
                <w:color w:val="auto"/>
              </w:rPr>
            </w:pPr>
          </w:p>
        </w:tc>
        <w:tc>
          <w:tcPr>
            <w:tcW w:w="3640" w:type="dxa"/>
            <w:vAlign w:val="bottom"/>
            <w:gridSpan w:val="2"/>
            <w:vMerge w:val="restart"/>
          </w:tcPr>
          <w:p>
            <w:pPr>
              <w:ind w:left="320"/>
              <w:spacing w:after="0"/>
              <w:rPr>
                <w:sz w:val="20"/>
                <w:szCs w:val="20"/>
                <w:color w:val="auto"/>
              </w:rPr>
            </w:pPr>
            <w:r>
              <w:rPr>
                <w:rFonts w:ascii="Arial" w:cs="Arial" w:eastAsia="Arial" w:hAnsi="Arial"/>
                <w:sz w:val="16"/>
                <w:szCs w:val="16"/>
                <w:color w:val="auto"/>
              </w:rPr>
              <w:t>Location on the Condensed Consolidated</w:t>
            </w:r>
          </w:p>
        </w:tc>
        <w:tc>
          <w:tcPr>
            <w:tcW w:w="24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35"/>
        </w:trPr>
        <w:tc>
          <w:tcPr>
            <w:tcW w:w="4580" w:type="dxa"/>
            <w:vAlign w:val="bottom"/>
          </w:tcPr>
          <w:p>
            <w:pPr>
              <w:spacing w:after="0"/>
              <w:rPr>
                <w:sz w:val="3"/>
                <w:szCs w:val="3"/>
                <w:color w:val="auto"/>
              </w:rPr>
            </w:pPr>
          </w:p>
        </w:tc>
        <w:tc>
          <w:tcPr>
            <w:tcW w:w="364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vMerge w:val="restart"/>
          </w:tcPr>
          <w:p>
            <w:pPr>
              <w:jc w:val="right"/>
              <w:ind w:right="479"/>
              <w:spacing w:after="0"/>
              <w:rPr>
                <w:sz w:val="20"/>
                <w:szCs w:val="20"/>
                <w:color w:val="auto"/>
              </w:rPr>
            </w:pPr>
            <w:r>
              <w:rPr>
                <w:rFonts w:ascii="Arial" w:cs="Arial" w:eastAsia="Arial" w:hAnsi="Arial"/>
                <w:sz w:val="16"/>
                <w:szCs w:val="16"/>
                <w:color w:val="auto"/>
              </w:rPr>
              <w:t>2022</w:t>
            </w:r>
          </w:p>
        </w:tc>
        <w:tc>
          <w:tcPr>
            <w:tcW w:w="340" w:type="dxa"/>
            <w:vAlign w:val="bottom"/>
          </w:tcPr>
          <w:p>
            <w:pPr>
              <w:spacing w:after="0"/>
              <w:rPr>
                <w:sz w:val="3"/>
                <w:szCs w:val="3"/>
                <w:color w:val="auto"/>
              </w:rPr>
            </w:pPr>
          </w:p>
        </w:tc>
        <w:tc>
          <w:tcPr>
            <w:tcW w:w="1180" w:type="dxa"/>
            <w:vAlign w:val="bottom"/>
            <w:vMerge w:val="restart"/>
          </w:tcPr>
          <w:p>
            <w:pPr>
              <w:jc w:val="right"/>
              <w:ind w:right="49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line="20" w:lineRule="exact"/>
              <w:rPr>
                <w:sz w:val="1"/>
                <w:szCs w:val="1"/>
                <w:color w:val="auto"/>
              </w:rPr>
            </w:pPr>
          </w:p>
        </w:tc>
      </w:tr>
      <w:tr>
        <w:trPr>
          <w:trHeight w:val="215"/>
        </w:trPr>
        <w:tc>
          <w:tcPr>
            <w:tcW w:w="4580" w:type="dxa"/>
            <w:vAlign w:val="bottom"/>
          </w:tcPr>
          <w:p>
            <w:pPr>
              <w:spacing w:after="0"/>
              <w:rPr>
                <w:sz w:val="18"/>
                <w:szCs w:val="18"/>
                <w:color w:val="auto"/>
              </w:rPr>
            </w:pPr>
          </w:p>
        </w:tc>
        <w:tc>
          <w:tcPr>
            <w:tcW w:w="3640" w:type="dxa"/>
            <w:vAlign w:val="bottom"/>
            <w:gridSpan w:val="2"/>
          </w:tcPr>
          <w:p>
            <w:pPr>
              <w:ind w:left="1020"/>
              <w:spacing w:after="0"/>
              <w:rPr>
                <w:sz w:val="20"/>
                <w:szCs w:val="20"/>
                <w:color w:val="auto"/>
              </w:rPr>
            </w:pPr>
            <w:r>
              <w:rPr>
                <w:rFonts w:ascii="Arial" w:cs="Arial" w:eastAsia="Arial" w:hAnsi="Arial"/>
                <w:sz w:val="16"/>
                <w:szCs w:val="16"/>
                <w:color w:val="auto"/>
              </w:rPr>
              <w:t>Statements of Income</w:t>
            </w: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Gains and (losses) on cash flow hedges:</w:t>
            </w:r>
          </w:p>
        </w:tc>
        <w:tc>
          <w:tcPr>
            <w:tcW w:w="350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CEFFE7"/>
            </w:tcBorders>
            <w:shd w:val="clear" w:color="auto" w:fill="CEFFE7"/>
          </w:tcPr>
          <w:p>
            <w:pPr>
              <w:spacing w:after="0"/>
              <w:rPr>
                <w:sz w:val="18"/>
                <w:szCs w:val="18"/>
                <w:color w:val="auto"/>
              </w:rPr>
            </w:pPr>
          </w:p>
        </w:tc>
        <w:tc>
          <w:tcPr>
            <w:tcW w:w="240" w:type="dxa"/>
            <w:vAlign w:val="bottom"/>
            <w:tcBorders>
              <w:top w:val="single" w:sz="8" w:color="auto"/>
            </w:tcBorders>
            <w:shd w:val="clear" w:color="auto" w:fill="CEFFE7"/>
          </w:tcPr>
          <w:p>
            <w:pPr>
              <w:spacing w:after="0"/>
              <w:rPr>
                <w:sz w:val="18"/>
                <w:szCs w:val="18"/>
                <w:color w:val="auto"/>
              </w:rPr>
            </w:pPr>
          </w:p>
        </w:tc>
        <w:tc>
          <w:tcPr>
            <w:tcW w:w="1260" w:type="dxa"/>
            <w:vAlign w:val="bottom"/>
            <w:tcBorders>
              <w:top w:val="single" w:sz="8" w:color="auto"/>
            </w:tcBorders>
            <w:shd w:val="clear" w:color="auto" w:fill="CEFFE7"/>
          </w:tcPr>
          <w:p>
            <w:pPr>
              <w:spacing w:after="0"/>
              <w:rPr>
                <w:sz w:val="18"/>
                <w:szCs w:val="18"/>
                <w:color w:val="auto"/>
              </w:rPr>
            </w:pPr>
          </w:p>
        </w:tc>
        <w:tc>
          <w:tcPr>
            <w:tcW w:w="340" w:type="dxa"/>
            <w:vAlign w:val="bottom"/>
            <w:tcBorders>
              <w:top w:val="single" w:sz="8" w:color="auto"/>
            </w:tcBorders>
            <w:shd w:val="clear" w:color="auto" w:fill="CEFFE7"/>
          </w:tcPr>
          <w:p>
            <w:pPr>
              <w:spacing w:after="0"/>
              <w:rPr>
                <w:sz w:val="18"/>
                <w:szCs w:val="18"/>
                <w:color w:val="auto"/>
              </w:rPr>
            </w:pPr>
          </w:p>
        </w:tc>
        <w:tc>
          <w:tcPr>
            <w:tcW w:w="1180" w:type="dxa"/>
            <w:vAlign w:val="bottom"/>
            <w:tcBorders>
              <w:top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640" w:type="dxa"/>
            <w:vAlign w:val="bottom"/>
            <w:gridSpan w:val="2"/>
          </w:tcPr>
          <w:p>
            <w:pPr>
              <w:ind w:left="120"/>
              <w:spacing w:after="0"/>
              <w:rPr>
                <w:sz w:val="20"/>
                <w:szCs w:val="20"/>
                <w:color w:val="auto"/>
              </w:rPr>
            </w:pPr>
            <w:r>
              <w:rPr>
                <w:rFonts w:ascii="Arial" w:cs="Arial" w:eastAsia="Arial" w:hAnsi="Arial"/>
                <w:sz w:val="16"/>
                <w:szCs w:val="16"/>
                <w:color w:val="auto"/>
              </w:rPr>
              <w:t>Interest expense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(713)</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(713)</w:t>
            </w:r>
          </w:p>
        </w:tc>
        <w:tc>
          <w:tcPr>
            <w:tcW w:w="0" w:type="dxa"/>
            <w:vAlign w:val="bottom"/>
          </w:tcPr>
          <w:p>
            <w:pPr>
              <w:spacing w:after="0"/>
              <w:rPr>
                <w:sz w:val="1"/>
                <w:szCs w:val="1"/>
                <w:color w:val="auto"/>
              </w:rPr>
            </w:pPr>
          </w:p>
        </w:tc>
      </w:tr>
      <w:tr>
        <w:trPr>
          <w:trHeight w:val="163"/>
        </w:trPr>
        <w:tc>
          <w:tcPr>
            <w:tcW w:w="4580" w:type="dxa"/>
            <w:vAlign w:val="bottom"/>
            <w:vMerge w:val="restart"/>
            <w:shd w:val="clear" w:color="auto" w:fill="CEFFE7"/>
          </w:tcPr>
          <w:p>
            <w:pPr>
              <w:ind w:left="20"/>
              <w:spacing w:after="0"/>
              <w:rPr>
                <w:sz w:val="20"/>
                <w:szCs w:val="20"/>
                <w:color w:val="auto"/>
              </w:rPr>
            </w:pPr>
            <w:r>
              <w:rPr>
                <w:rFonts w:ascii="Arial" w:cs="Arial" w:eastAsia="Arial" w:hAnsi="Arial"/>
                <w:sz w:val="16"/>
                <w:szCs w:val="16"/>
                <w:color w:val="auto"/>
              </w:rPr>
              <w:t>Commodity contracts</w:t>
            </w:r>
          </w:p>
        </w:tc>
        <w:tc>
          <w:tcPr>
            <w:tcW w:w="3640" w:type="dxa"/>
            <w:vAlign w:val="bottom"/>
            <w:gridSpan w:val="2"/>
            <w:shd w:val="clear" w:color="auto" w:fill="CEFFE7"/>
          </w:tcPr>
          <w:p>
            <w:pPr>
              <w:ind w:left="120"/>
              <w:spacing w:after="0" w:line="163" w:lineRule="exact"/>
              <w:rPr>
                <w:sz w:val="20"/>
                <w:szCs w:val="20"/>
                <w:color w:val="auto"/>
              </w:rPr>
            </w:pPr>
            <w:r>
              <w:rPr>
                <w:rFonts w:ascii="Arial" w:cs="Arial" w:eastAsia="Arial" w:hAnsi="Arial"/>
                <w:sz w:val="16"/>
                <w:szCs w:val="16"/>
                <w:color w:val="auto"/>
              </w:rPr>
              <w:t>Fuel, purchased power and cost of natural gas</w:t>
            </w:r>
          </w:p>
        </w:tc>
        <w:tc>
          <w:tcPr>
            <w:tcW w:w="240" w:type="dxa"/>
            <w:vAlign w:val="bottom"/>
            <w:shd w:val="clear" w:color="auto" w:fill="CEFFE7"/>
          </w:tcPr>
          <w:p>
            <w:pPr>
              <w:spacing w:after="0"/>
              <w:rPr>
                <w:sz w:val="14"/>
                <w:szCs w:val="14"/>
                <w:color w:val="auto"/>
              </w:rPr>
            </w:pPr>
          </w:p>
        </w:tc>
        <w:tc>
          <w:tcPr>
            <w:tcW w:w="12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2,254</w:t>
            </w:r>
          </w:p>
        </w:tc>
        <w:tc>
          <w:tcPr>
            <w:tcW w:w="340" w:type="dxa"/>
            <w:vAlign w:val="bottom"/>
            <w:shd w:val="clear" w:color="auto" w:fill="CEFFE7"/>
          </w:tcPr>
          <w:p>
            <w:pPr>
              <w:spacing w:after="0"/>
              <w:rPr>
                <w:sz w:val="14"/>
                <w:szCs w:val="14"/>
                <w:color w:val="auto"/>
              </w:rPr>
            </w:pPr>
          </w:p>
        </w:tc>
        <w:tc>
          <w:tcPr>
            <w:tcW w:w="11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4580" w:type="dxa"/>
            <w:vAlign w:val="bottom"/>
            <w:vMerge w:val="continue"/>
            <w:shd w:val="clear" w:color="auto" w:fill="CEFFE7"/>
          </w:tcPr>
          <w:p>
            <w:pPr>
              <w:spacing w:after="0"/>
              <w:rPr>
                <w:sz w:val="18"/>
                <w:szCs w:val="18"/>
                <w:color w:val="auto"/>
              </w:rPr>
            </w:pPr>
          </w:p>
        </w:tc>
        <w:tc>
          <w:tcPr>
            <w:tcW w:w="36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40" w:type="dxa"/>
            <w:vAlign w:val="bottom"/>
            <w:tcBorders>
              <w:bottom w:val="single" w:sz="8" w:color="auto"/>
            </w:tcBorders>
            <w:shd w:val="clear" w:color="auto" w:fill="CEFFE7"/>
          </w:tcPr>
          <w:p>
            <w:pPr>
              <w:spacing w:after="0"/>
              <w:rPr>
                <w:sz w:val="18"/>
                <w:szCs w:val="18"/>
                <w:color w:val="auto"/>
              </w:rPr>
            </w:pPr>
          </w:p>
        </w:tc>
        <w:tc>
          <w:tcPr>
            <w:tcW w:w="1260" w:type="dxa"/>
            <w:vAlign w:val="bottom"/>
            <w:tcBorders>
              <w:bottom w:val="single" w:sz="8" w:color="auto"/>
            </w:tcBorders>
            <w:vMerge w:val="continue"/>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w:t>
            </w:r>
          </w:p>
        </w:tc>
        <w:tc>
          <w:tcPr>
            <w:tcW w:w="36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EFFE7"/>
          </w:tcPr>
          <w:p>
            <w:pPr>
              <w:spacing w:after="0"/>
              <w:rPr>
                <w:sz w:val="18"/>
                <w:szCs w:val="18"/>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(375)</w:t>
            </w:r>
          </w:p>
        </w:tc>
        <w:tc>
          <w:tcPr>
            <w:tcW w:w="34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42"/>
        </w:trPr>
        <w:tc>
          <w:tcPr>
            <w:tcW w:w="4580" w:type="dxa"/>
            <w:vAlign w:val="bottom"/>
          </w:tcPr>
          <w:p>
            <w:pPr>
              <w:ind w:left="20"/>
              <w:spacing w:after="0" w:line="142" w:lineRule="exact"/>
              <w:rPr>
                <w:sz w:val="20"/>
                <w:szCs w:val="20"/>
                <w:color w:val="auto"/>
              </w:rPr>
            </w:pPr>
            <w:r>
              <w:rPr>
                <w:rFonts w:ascii="Arial" w:cs="Arial" w:eastAsia="Arial" w:hAnsi="Arial"/>
                <w:sz w:val="16"/>
                <w:szCs w:val="16"/>
                <w:color w:val="auto"/>
              </w:rPr>
              <w:t>Total reclassification adjustments related to cash flow hedges,</w:t>
            </w:r>
          </w:p>
        </w:tc>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1,166</w:t>
            </w: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of tax</w:t>
            </w:r>
          </w:p>
        </w:tc>
        <w:tc>
          <w:tcPr>
            <w:tcW w:w="3500" w:type="dxa"/>
            <w:vAlign w:val="bottom"/>
            <w:tcBorders>
              <w:bottom w:val="single" w:sz="8" w:color="CEFFE7"/>
            </w:tcBorders>
          </w:tcPr>
          <w:p>
            <w:pPr>
              <w:spacing w:after="0"/>
              <w:rPr>
                <w:sz w:val="18"/>
                <w:szCs w:val="18"/>
                <w:color w:val="auto"/>
              </w:rPr>
            </w:pPr>
          </w:p>
        </w:tc>
        <w:tc>
          <w:tcPr>
            <w:tcW w:w="14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580" w:type="dxa"/>
            <w:vAlign w:val="bottom"/>
            <w:shd w:val="clear" w:color="auto" w:fill="CEFFE7"/>
          </w:tcPr>
          <w:p>
            <w:pPr>
              <w:spacing w:after="0"/>
              <w:rPr>
                <w:sz w:val="6"/>
                <w:szCs w:val="6"/>
                <w:color w:val="auto"/>
              </w:rPr>
            </w:pPr>
          </w:p>
        </w:tc>
        <w:tc>
          <w:tcPr>
            <w:tcW w:w="3500" w:type="dxa"/>
            <w:vAlign w:val="bottom"/>
            <w:shd w:val="clear" w:color="auto" w:fill="CEFFE7"/>
          </w:tcPr>
          <w:p>
            <w:pPr>
              <w:spacing w:after="0"/>
              <w:rPr>
                <w:sz w:val="6"/>
                <w:szCs w:val="6"/>
                <w:color w:val="auto"/>
              </w:rPr>
            </w:pPr>
          </w:p>
        </w:tc>
        <w:tc>
          <w:tcPr>
            <w:tcW w:w="140" w:type="dxa"/>
            <w:vAlign w:val="bottom"/>
            <w:shd w:val="clear" w:color="auto" w:fill="CEFFE7"/>
          </w:tcPr>
          <w:p>
            <w:pPr>
              <w:spacing w:after="0"/>
              <w:rPr>
                <w:sz w:val="6"/>
                <w:szCs w:val="6"/>
                <w:color w:val="auto"/>
              </w:rPr>
            </w:pPr>
          </w:p>
        </w:tc>
        <w:tc>
          <w:tcPr>
            <w:tcW w:w="240" w:type="dxa"/>
            <w:vAlign w:val="bottom"/>
            <w:shd w:val="clear" w:color="auto" w:fill="CEFFE7"/>
          </w:tcPr>
          <w:p>
            <w:pPr>
              <w:spacing w:after="0"/>
              <w:rPr>
                <w:sz w:val="6"/>
                <w:szCs w:val="6"/>
                <w:color w:val="auto"/>
              </w:rPr>
            </w:pPr>
          </w:p>
        </w:tc>
        <w:tc>
          <w:tcPr>
            <w:tcW w:w="1260" w:type="dxa"/>
            <w:vAlign w:val="bottom"/>
            <w:shd w:val="clear" w:color="auto" w:fill="CEFFE7"/>
          </w:tcPr>
          <w:p>
            <w:pPr>
              <w:spacing w:after="0"/>
              <w:rPr>
                <w:sz w:val="6"/>
                <w:szCs w:val="6"/>
                <w:color w:val="auto"/>
              </w:rPr>
            </w:pPr>
          </w:p>
        </w:tc>
        <w:tc>
          <w:tcPr>
            <w:tcW w:w="340" w:type="dxa"/>
            <w:vAlign w:val="bottom"/>
            <w:shd w:val="clear" w:color="auto" w:fill="CEFFE7"/>
          </w:tcPr>
          <w:p>
            <w:pPr>
              <w:spacing w:after="0"/>
              <w:rPr>
                <w:sz w:val="6"/>
                <w:szCs w:val="6"/>
                <w:color w:val="auto"/>
              </w:rPr>
            </w:pPr>
          </w:p>
        </w:tc>
        <w:tc>
          <w:tcPr>
            <w:tcW w:w="1180" w:type="dxa"/>
            <w:vAlign w:val="bottom"/>
            <w:shd w:val="clear" w:color="auto" w:fill="CEFFE7"/>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Prior service cost</w:t>
            </w:r>
          </w:p>
        </w:tc>
        <w:tc>
          <w:tcPr>
            <w:tcW w:w="36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Actuarial gain (loss)</w:t>
            </w:r>
          </w:p>
        </w:tc>
        <w:tc>
          <w:tcPr>
            <w:tcW w:w="364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Operations and maintenance</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0"/>
        </w:trPr>
        <w:tc>
          <w:tcPr>
            <w:tcW w:w="4580" w:type="dxa"/>
            <w:vAlign w:val="bottom"/>
            <w:shd w:val="clear" w:color="auto" w:fill="CEFFE7"/>
          </w:tcPr>
          <w:p>
            <w:pPr>
              <w:spacing w:after="0"/>
              <w:rPr>
                <w:sz w:val="18"/>
                <w:szCs w:val="18"/>
                <w:color w:val="auto"/>
              </w:rPr>
            </w:pPr>
          </w:p>
        </w:tc>
        <w:tc>
          <w:tcPr>
            <w:tcW w:w="35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(164)</w:t>
            </w:r>
          </w:p>
        </w:tc>
        <w:tc>
          <w:tcPr>
            <w:tcW w:w="34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w:t>
            </w:r>
          </w:p>
        </w:tc>
        <w:tc>
          <w:tcPr>
            <w:tcW w:w="364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43"/>
        </w:trPr>
        <w:tc>
          <w:tcPr>
            <w:tcW w:w="4580" w:type="dxa"/>
            <w:vAlign w:val="bottom"/>
            <w:shd w:val="clear" w:color="auto" w:fill="CEFFE7"/>
          </w:tcPr>
          <w:p>
            <w:pPr>
              <w:ind w:left="20"/>
              <w:spacing w:after="0" w:line="143" w:lineRule="exact"/>
              <w:rPr>
                <w:sz w:val="20"/>
                <w:szCs w:val="20"/>
                <w:color w:val="auto"/>
              </w:rPr>
            </w:pPr>
            <w:r>
              <w:rPr>
                <w:rFonts w:ascii="Arial" w:cs="Arial" w:eastAsia="Arial" w:hAnsi="Arial"/>
                <w:sz w:val="16"/>
                <w:szCs w:val="16"/>
                <w:color w:val="auto"/>
              </w:rPr>
              <w:t>Total reclassification adjustments related to defined benefit</w:t>
            </w:r>
          </w:p>
        </w:tc>
        <w:tc>
          <w:tcPr>
            <w:tcW w:w="3500" w:type="dxa"/>
            <w:vAlign w:val="bottom"/>
            <w:shd w:val="clear" w:color="auto" w:fill="CEFFE7"/>
          </w:tcPr>
          <w:p>
            <w:pPr>
              <w:spacing w:after="0"/>
              <w:rPr>
                <w:sz w:val="12"/>
                <w:szCs w:val="12"/>
                <w:color w:val="auto"/>
              </w:rPr>
            </w:pPr>
          </w:p>
        </w:tc>
        <w:tc>
          <w:tcPr>
            <w:tcW w:w="140" w:type="dxa"/>
            <w:vAlign w:val="bottom"/>
            <w:shd w:val="clear" w:color="auto" w:fill="CEFFE7"/>
          </w:tcPr>
          <w:p>
            <w:pPr>
              <w:spacing w:after="0"/>
              <w:rPr>
                <w:sz w:val="12"/>
                <w:szCs w:val="12"/>
                <w:color w:val="auto"/>
              </w:rPr>
            </w:pPr>
          </w:p>
        </w:tc>
        <w:tc>
          <w:tcPr>
            <w:tcW w:w="24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(125)</w:t>
            </w:r>
          </w:p>
        </w:tc>
        <w:tc>
          <w:tcPr>
            <w:tcW w:w="340" w:type="dxa"/>
            <w:vAlign w:val="bottom"/>
            <w:vMerge w:val="restart"/>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20"/>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plans, net of tax</w:t>
            </w:r>
          </w:p>
        </w:tc>
        <w:tc>
          <w:tcPr>
            <w:tcW w:w="35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240" w:type="dxa"/>
            <w:vAlign w:val="bottom"/>
            <w:tcBorders>
              <w:bottom w:val="single" w:sz="8" w:color="auto"/>
            </w:tcBorders>
            <w:vMerge w:val="continue"/>
            <w:shd w:val="clear" w:color="auto" w:fill="CEFFE7"/>
          </w:tcPr>
          <w:p>
            <w:pPr>
              <w:spacing w:after="0"/>
              <w:rPr>
                <w:sz w:val="18"/>
                <w:szCs w:val="18"/>
                <w:color w:val="auto"/>
              </w:rPr>
            </w:pPr>
          </w:p>
        </w:tc>
        <w:tc>
          <w:tcPr>
            <w:tcW w:w="1260" w:type="dxa"/>
            <w:vAlign w:val="bottom"/>
            <w:tcBorders>
              <w:bottom w:val="single" w:sz="8" w:color="auto"/>
            </w:tcBorders>
            <w:vMerge w:val="continue"/>
            <w:shd w:val="clear" w:color="auto" w:fill="CEFFE7"/>
          </w:tcPr>
          <w:p>
            <w:pPr>
              <w:spacing w:after="0"/>
              <w:rPr>
                <w:sz w:val="18"/>
                <w:szCs w:val="18"/>
                <w:color w:val="auto"/>
              </w:rPr>
            </w:pPr>
          </w:p>
        </w:tc>
        <w:tc>
          <w:tcPr>
            <w:tcW w:w="340" w:type="dxa"/>
            <w:vAlign w:val="bottom"/>
            <w:tcBorders>
              <w:bottom w:val="single" w:sz="8" w:color="auto"/>
            </w:tcBorders>
            <w:vMerge w:val="continue"/>
            <w:shd w:val="clear" w:color="auto" w:fill="CEFFE7"/>
          </w:tcPr>
          <w:p>
            <w:pPr>
              <w:spacing w:after="0"/>
              <w:rPr>
                <w:sz w:val="18"/>
                <w:szCs w:val="18"/>
                <w:color w:val="auto"/>
              </w:rPr>
            </w:pPr>
          </w:p>
        </w:tc>
        <w:tc>
          <w:tcPr>
            <w:tcW w:w="1180" w:type="dxa"/>
            <w:vAlign w:val="bottom"/>
            <w:tcBorders>
              <w:bottom w:val="single" w:sz="8" w:color="auto"/>
            </w:tcBorders>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3500" w:type="dxa"/>
            <w:vAlign w:val="bottom"/>
            <w:vMerge w:val="restart"/>
          </w:tcPr>
          <w:p>
            <w:pPr>
              <w:ind w:left="960"/>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5"/>
        </w:trPr>
        <w:tc>
          <w:tcPr>
            <w:tcW w:w="45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58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vMerge w:val="restart"/>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2"/>
                <w:szCs w:val="12"/>
                <w:color w:val="auto"/>
              </w:rPr>
            </w:pP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Pr>
          <w:p>
            <w:pPr>
              <w:spacing w:after="0"/>
              <w:rPr>
                <w:sz w:val="12"/>
                <w:szCs w:val="12"/>
                <w:color w:val="auto"/>
              </w:rPr>
            </w:pPr>
          </w:p>
        </w:tc>
        <w:tc>
          <w:tcPr>
            <w:tcW w:w="1540" w:type="dxa"/>
            <w:vAlign w:val="bottom"/>
          </w:tcPr>
          <w:p>
            <w:pPr>
              <w:jc w:val="center"/>
              <w:ind w:right="79"/>
              <w:spacing w:after="0" w:line="14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2"/>
                <w:szCs w:val="12"/>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2021</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(10,384)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1,476</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(11,176)</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(20,084)</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1,047</w:t>
            </w:r>
          </w:p>
        </w:tc>
        <w:tc>
          <w:tcPr>
            <w:tcW w:w="160" w:type="dxa"/>
            <w:vAlign w:val="bottom"/>
            <w:shd w:val="clear" w:color="auto" w:fill="CEFFE7"/>
          </w:tcPr>
          <w:p>
            <w:pPr>
              <w:spacing w:after="0"/>
              <w:rPr>
                <w:sz w:val="18"/>
                <w:szCs w:val="18"/>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March 31, 2022</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(9,848)</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821</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(11,051)</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(20,078)</w:t>
            </w: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4000" w:type="dxa"/>
            <w:vAlign w:val="bottom"/>
            <w:tcBorders>
              <w:top w:val="single" w:sz="8" w:color="CEFFE7"/>
              <w:bottom w:val="single" w:sz="8" w:color="auto"/>
            </w:tcBorders>
            <w:gridSpan w:val="3"/>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vMerge w:val="restart"/>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2"/>
                <w:szCs w:val="12"/>
                <w:color w:val="auto"/>
              </w:rPr>
            </w:pPr>
          </w:p>
        </w:tc>
        <w:tc>
          <w:tcPr>
            <w:tcW w:w="1840" w:type="dxa"/>
            <w:vAlign w:val="bottom"/>
            <w:vMerge w:val="restart"/>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Pr>
          <w:p>
            <w:pPr>
              <w:spacing w:after="0"/>
              <w:rPr>
                <w:sz w:val="12"/>
                <w:szCs w:val="12"/>
                <w:color w:val="auto"/>
              </w:rPr>
            </w:pPr>
          </w:p>
        </w:tc>
        <w:tc>
          <w:tcPr>
            <w:tcW w:w="1540" w:type="dxa"/>
            <w:vAlign w:val="bottom"/>
          </w:tcPr>
          <w:p>
            <w:pPr>
              <w:jc w:val="center"/>
              <w:ind w:right="79"/>
              <w:spacing w:after="0" w:line="14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2"/>
                <w:szCs w:val="12"/>
                <w:color w:val="auto"/>
              </w:rPr>
            </w:pPr>
          </w:p>
        </w:tc>
        <w:tc>
          <w:tcPr>
            <w:tcW w:w="1080" w:type="dxa"/>
            <w:vAlign w:val="bottom"/>
            <w:vMerge w:val="restart"/>
          </w:tcPr>
          <w:p>
            <w:pPr>
              <w:jc w:val="right"/>
              <w:ind w:right="4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2020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(12,558)</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(14,790)</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(27,346)</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w:t>
            </w:r>
          </w:p>
        </w:tc>
        <w:tc>
          <w:tcPr>
            <w:tcW w:w="160" w:type="dxa"/>
            <w:vAlign w:val="bottom"/>
            <w:shd w:val="clear" w:color="auto" w:fill="CEFFE7"/>
          </w:tcPr>
          <w:p>
            <w:pPr>
              <w:spacing w:after="0"/>
              <w:rPr>
                <w:sz w:val="18"/>
                <w:szCs w:val="18"/>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March 31, 2021</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(12,035)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132</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(14,425)</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(26,328)</w:t>
            </w:r>
          </w:p>
        </w:tc>
        <w:tc>
          <w:tcPr>
            <w:tcW w:w="0" w:type="dxa"/>
            <w:vAlign w:val="bottom"/>
          </w:tcPr>
          <w:p>
            <w:pPr>
              <w:spacing w:after="0"/>
              <w:rPr>
                <w:sz w:val="1"/>
                <w:szCs w:val="1"/>
                <w:color w:val="auto"/>
              </w:rPr>
            </w:pP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20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8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Components of Net Periodic Expense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expense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vMerge w:val="restart"/>
          </w:tcPr>
          <w:p>
            <w:pPr>
              <w:jc w:val="right"/>
              <w:ind w:right="259"/>
              <w:spacing w:after="0"/>
              <w:rPr>
                <w:sz w:val="20"/>
                <w:szCs w:val="20"/>
                <w:color w:val="auto"/>
              </w:rPr>
            </w:pPr>
            <w:r>
              <w:rPr>
                <w:rFonts w:ascii="Arial" w:cs="Arial" w:eastAsia="Arial" w:hAnsi="Arial"/>
                <w:sz w:val="16"/>
                <w:szCs w:val="16"/>
                <w:color w:val="auto"/>
              </w:rPr>
              <w:t>Defined Benefit Pension Plan</w:t>
            </w:r>
          </w:p>
        </w:tc>
        <w:tc>
          <w:tcPr>
            <w:tcW w:w="2760" w:type="dxa"/>
            <w:vAlign w:val="bottom"/>
            <w:gridSpan w:val="4"/>
          </w:tcPr>
          <w:p>
            <w:pPr>
              <w:jc w:val="right"/>
              <w:spacing w:after="0"/>
              <w:rPr>
                <w:sz w:val="20"/>
                <w:szCs w:val="20"/>
                <w:color w:val="auto"/>
              </w:rPr>
            </w:pPr>
            <w:r>
              <w:rPr>
                <w:rFonts w:ascii="Arial" w:cs="Arial" w:eastAsia="Arial" w:hAnsi="Arial"/>
                <w:sz w:val="16"/>
                <w:szCs w:val="16"/>
                <w:color w:val="auto"/>
              </w:rPr>
              <w:t>Supplemental Non-qualified Defined</w:t>
            </w:r>
          </w:p>
        </w:tc>
        <w:tc>
          <w:tcPr>
            <w:tcW w:w="200" w:type="dxa"/>
            <w:vAlign w:val="bottom"/>
          </w:tcPr>
          <w:p>
            <w:pPr>
              <w:spacing w:after="0"/>
              <w:rPr>
                <w:sz w:val="16"/>
                <w:szCs w:val="16"/>
                <w:color w:val="auto"/>
              </w:rPr>
            </w:pPr>
          </w:p>
        </w:tc>
        <w:tc>
          <w:tcPr>
            <w:tcW w:w="2600" w:type="dxa"/>
            <w:vAlign w:val="bottom"/>
            <w:gridSpan w:val="3"/>
          </w:tcPr>
          <w:p>
            <w:pPr>
              <w:jc w:val="right"/>
              <w:ind w:right="279"/>
              <w:spacing w:after="0"/>
              <w:rPr>
                <w:sz w:val="20"/>
                <w:szCs w:val="20"/>
                <w:color w:val="auto"/>
              </w:rPr>
            </w:pPr>
            <w:r>
              <w:rPr>
                <w:rFonts w:ascii="Arial" w:cs="Arial" w:eastAsia="Arial" w:hAnsi="Arial"/>
                <w:sz w:val="16"/>
                <w:szCs w:val="16"/>
                <w:color w:val="auto"/>
              </w:rPr>
              <w:t>Non-pension Defined Benefit</w:t>
            </w:r>
          </w:p>
        </w:tc>
        <w:tc>
          <w:tcPr>
            <w:tcW w:w="0" w:type="dxa"/>
            <w:vAlign w:val="bottom"/>
          </w:tcPr>
          <w:p>
            <w:pPr>
              <w:spacing w:after="0"/>
              <w:rPr>
                <w:sz w:val="1"/>
                <w:szCs w:val="1"/>
                <w:color w:val="auto"/>
              </w:rPr>
            </w:pPr>
          </w:p>
        </w:tc>
      </w:tr>
      <w:tr>
        <w:trPr>
          <w:trHeight w:val="215"/>
        </w:trPr>
        <w:tc>
          <w:tcPr>
            <w:tcW w:w="2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Benefit Plans</w:t>
            </w: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color w:val="auto"/>
              </w:rPr>
              <w:t>Postretirement Healthcare Plan</w:t>
            </w:r>
          </w:p>
        </w:tc>
        <w:tc>
          <w:tcPr>
            <w:tcW w:w="0" w:type="dxa"/>
            <w:vAlign w:val="bottom"/>
          </w:tcPr>
          <w:p>
            <w:pPr>
              <w:spacing w:after="0"/>
              <w:rPr>
                <w:sz w:val="1"/>
                <w:szCs w:val="1"/>
                <w:color w:val="auto"/>
              </w:rPr>
            </w:pPr>
          </w:p>
        </w:tc>
      </w:tr>
      <w:tr>
        <w:trPr>
          <w:trHeight w:val="21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March 31,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982</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1,259</w:t>
            </w:r>
          </w:p>
        </w:tc>
        <w:tc>
          <w:tcPr>
            <w:tcW w:w="3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(392)</w:t>
            </w:r>
          </w:p>
        </w:tc>
        <w:tc>
          <w:tcPr>
            <w:tcW w:w="50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693</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492</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2,705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2,328</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7"/>
        </w:trPr>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220" w:type="dxa"/>
            <w:vAlign w:val="bottom"/>
            <w:shd w:val="clear" w:color="auto" w:fill="CEFFE7"/>
          </w:tcPr>
          <w:p>
            <w:pPr>
              <w:spacing w:after="0"/>
              <w:rPr>
                <w:sz w:val="18"/>
                <w:szCs w:val="18"/>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(4,631)</w:t>
            </w:r>
          </w:p>
        </w:tc>
        <w:tc>
          <w:tcPr>
            <w:tcW w:w="32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(5,219)</w:t>
            </w:r>
          </w:p>
        </w:tc>
        <w:tc>
          <w:tcPr>
            <w:tcW w:w="30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EFFE7"/>
          </w:tcPr>
          <w:p>
            <w:pPr>
              <w:spacing w:after="0"/>
              <w:rPr>
                <w:sz w:val="18"/>
                <w:szCs w:val="18"/>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2900" w:type="dxa"/>
            <w:vAlign w:val="bottom"/>
          </w:tcPr>
          <w:p>
            <w:pPr>
              <w:ind w:left="20"/>
              <w:spacing w:after="0"/>
              <w:rPr>
                <w:sz w:val="20"/>
                <w:szCs w:val="20"/>
                <w:color w:val="auto"/>
              </w:rPr>
            </w:pPr>
            <w:r>
              <w:rPr>
                <w:rFonts w:ascii="Arial" w:cs="Arial" w:eastAsia="Arial" w:hAnsi="Arial"/>
                <w:sz w:val="16"/>
                <w:szCs w:val="16"/>
                <w:color w:val="auto"/>
              </w:rPr>
              <w:t>Net amortization of prior service costs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6"/>
        </w:trPr>
        <w:tc>
          <w:tcPr>
            <w:tcW w:w="290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Recognized net actuarial loss</w:t>
            </w:r>
          </w:p>
        </w:tc>
        <w:tc>
          <w:tcPr>
            <w:tcW w:w="22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1,523</w:t>
            </w:r>
          </w:p>
        </w:tc>
        <w:tc>
          <w:tcPr>
            <w:tcW w:w="32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1,829</w:t>
            </w:r>
          </w:p>
        </w:tc>
        <w:tc>
          <w:tcPr>
            <w:tcW w:w="30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w:t>
            </w:r>
          </w:p>
        </w:tc>
        <w:tc>
          <w:tcPr>
            <w:tcW w:w="50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439</w:t>
            </w:r>
          </w:p>
        </w:tc>
        <w:tc>
          <w:tcPr>
            <w:tcW w:w="20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Arial" w:cs="Arial" w:eastAsia="Arial" w:hAnsi="Arial"/>
                <w:sz w:val="16"/>
                <w:szCs w:val="16"/>
                <w:color w:val="auto"/>
              </w:rPr>
              <w:t>Net periodic expense (benefit)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8"/>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179"/>
              <w:spacing w:after="0"/>
              <w:rPr>
                <w:sz w:val="20"/>
                <w:szCs w:val="20"/>
                <w:color w:val="auto"/>
              </w:rPr>
            </w:pPr>
            <w:r>
              <w:rPr>
                <w:rFonts w:ascii="Arial" w:cs="Arial" w:eastAsia="Arial" w:hAnsi="Arial"/>
                <w:sz w:val="16"/>
                <w:szCs w:val="16"/>
                <w:color w:val="auto"/>
              </w:rPr>
              <w:t>24</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Contributions</w:t>
      </w:r>
    </w:p>
    <w:p>
      <w:pPr>
        <w:spacing w:after="0" w:line="24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three months of 2022 and anticipated contributions for 2022 and 2023 are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vMerge w:val="restart"/>
          </w:tcPr>
          <w:p>
            <w:pPr>
              <w:jc w:val="center"/>
              <w:ind w:right="19"/>
              <w:spacing w:after="0"/>
              <w:rPr>
                <w:sz w:val="20"/>
                <w:szCs w:val="20"/>
                <w:color w:val="auto"/>
              </w:rPr>
            </w:pPr>
            <w:r>
              <w:rPr>
                <w:rFonts w:ascii="Arial" w:cs="Arial" w:eastAsia="Arial" w:hAnsi="Arial"/>
                <w:sz w:val="16"/>
                <w:szCs w:val="16"/>
                <w:color w:val="auto"/>
              </w:rPr>
              <w:t>Contributions Made</w:t>
            </w:r>
          </w:p>
        </w:tc>
        <w:tc>
          <w:tcPr>
            <w:tcW w:w="22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9"/>
              </w:rPr>
              <w:t>Additional</w:t>
            </w:r>
          </w:p>
        </w:tc>
        <w:tc>
          <w:tcPr>
            <w:tcW w:w="220" w:type="dxa"/>
            <w:vAlign w:val="bottom"/>
          </w:tcPr>
          <w:p>
            <w:pPr>
              <w:spacing w:after="0"/>
              <w:rPr>
                <w:sz w:val="16"/>
                <w:szCs w:val="16"/>
                <w:color w:val="auto"/>
              </w:rPr>
            </w:pPr>
          </w:p>
        </w:tc>
        <w:tc>
          <w:tcPr>
            <w:tcW w:w="1340" w:type="dxa"/>
            <w:vAlign w:val="bottom"/>
            <w:vMerge w:val="restart"/>
          </w:tcPr>
          <w:p>
            <w:pPr>
              <w:jc w:val="right"/>
              <w:ind w:right="219"/>
              <w:spacing w:after="0"/>
              <w:rPr>
                <w:sz w:val="20"/>
                <w:szCs w:val="20"/>
                <w:color w:val="auto"/>
              </w:rPr>
            </w:pPr>
            <w:r>
              <w:rPr>
                <w:rFonts w:ascii="Arial" w:cs="Arial" w:eastAsia="Arial" w:hAnsi="Arial"/>
                <w:sz w:val="16"/>
                <w:szCs w:val="16"/>
                <w:color w:val="auto"/>
              </w:rPr>
              <w:t>Contributions</w:t>
            </w:r>
          </w:p>
        </w:tc>
        <w:tc>
          <w:tcPr>
            <w:tcW w:w="0" w:type="dxa"/>
            <w:vAlign w:val="bottom"/>
          </w:tcPr>
          <w:p>
            <w:pPr>
              <w:spacing w:after="0"/>
              <w:rPr>
                <w:sz w:val="1"/>
                <w:szCs w:val="1"/>
                <w:color w:val="auto"/>
              </w:rPr>
            </w:pPr>
          </w:p>
        </w:tc>
      </w:tr>
      <w:tr>
        <w:trPr>
          <w:trHeight w:val="215"/>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9"/>
              </w:rPr>
              <w:t>Contributions</w:t>
            </w: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19"/>
              <w:spacing w:after="0" w:line="164" w:lineRule="exact"/>
              <w:rPr>
                <w:sz w:val="20"/>
                <w:szCs w:val="20"/>
                <w:color w:val="auto"/>
              </w:rPr>
            </w:pPr>
            <w:r>
              <w:rPr>
                <w:rFonts w:ascii="Arial" w:cs="Arial" w:eastAsia="Arial" w:hAnsi="Arial"/>
                <w:sz w:val="16"/>
                <w:szCs w:val="16"/>
                <w:color w:val="auto"/>
              </w:rPr>
              <w:t>Three Months Ended</w:t>
            </w:r>
          </w:p>
        </w:tc>
        <w:tc>
          <w:tcPr>
            <w:tcW w:w="1540" w:type="dxa"/>
            <w:vAlign w:val="bottom"/>
            <w:gridSpan w:val="2"/>
            <w:vMerge w:val="restart"/>
          </w:tcPr>
          <w:p>
            <w:pPr>
              <w:jc w:val="center"/>
              <w:spacing w:after="0"/>
              <w:rPr>
                <w:sz w:val="20"/>
                <w:szCs w:val="20"/>
                <w:color w:val="auto"/>
              </w:rPr>
            </w:pPr>
            <w:r>
              <w:rPr>
                <w:rFonts w:ascii="Arial" w:cs="Arial" w:eastAsia="Arial" w:hAnsi="Arial"/>
                <w:sz w:val="16"/>
                <w:szCs w:val="16"/>
                <w:color w:val="auto"/>
              </w:rPr>
              <w:t>Anticipated for 2022</w:t>
            </w:r>
          </w:p>
        </w:tc>
        <w:tc>
          <w:tcPr>
            <w:tcW w:w="1560" w:type="dxa"/>
            <w:vAlign w:val="bottom"/>
            <w:gridSpan w:val="2"/>
            <w:vMerge w:val="restart"/>
          </w:tcPr>
          <w:p>
            <w:pPr>
              <w:jc w:val="right"/>
              <w:spacing w:after="0"/>
              <w:rPr>
                <w:sz w:val="20"/>
                <w:szCs w:val="20"/>
                <w:color w:val="auto"/>
              </w:rPr>
            </w:pPr>
            <w:r>
              <w:rPr>
                <w:rFonts w:ascii="Arial" w:cs="Arial" w:eastAsia="Arial" w:hAnsi="Arial"/>
                <w:sz w:val="16"/>
                <w:szCs w:val="16"/>
                <w:color w:val="auto"/>
              </w:rPr>
              <w:t>Anticipated for 2023</w:t>
            </w:r>
          </w:p>
        </w:tc>
        <w:tc>
          <w:tcPr>
            <w:tcW w:w="0" w:type="dxa"/>
            <w:vAlign w:val="bottom"/>
          </w:tcPr>
          <w:p>
            <w:pPr>
              <w:spacing w:after="0"/>
              <w:rPr>
                <w:sz w:val="1"/>
                <w:szCs w:val="1"/>
                <w:color w:val="auto"/>
              </w:rPr>
            </w:pPr>
          </w:p>
        </w:tc>
      </w:tr>
      <w:tr>
        <w:trPr>
          <w:trHeight w:val="215"/>
        </w:trPr>
        <w:tc>
          <w:tcPr>
            <w:tcW w:w="640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March 31, 2022</w:t>
            </w:r>
          </w:p>
        </w:tc>
        <w:tc>
          <w:tcPr>
            <w:tcW w:w="1540" w:type="dxa"/>
            <w:vAlign w:val="bottom"/>
            <w:tcBorders>
              <w:bottom w:val="single" w:sz="8" w:color="auto"/>
            </w:tcBorders>
            <w:gridSpan w:val="2"/>
            <w:vMerge w:val="continue"/>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Defined Benefit Pension Plan</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3,900</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3,828</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4,761</w:t>
            </w:r>
          </w:p>
        </w:tc>
        <w:tc>
          <w:tcPr>
            <w:tcW w:w="0" w:type="dxa"/>
            <w:vAlign w:val="bottom"/>
          </w:tcPr>
          <w:p>
            <w:pPr>
              <w:spacing w:after="0"/>
              <w:rPr>
                <w:sz w:val="1"/>
                <w:szCs w:val="1"/>
                <w:color w:val="auto"/>
              </w:rPr>
            </w:pPr>
          </w:p>
        </w:tc>
      </w:tr>
      <w:tr>
        <w:trPr>
          <w:trHeight w:val="217"/>
        </w:trPr>
        <w:tc>
          <w:tcPr>
            <w:tcW w:w="6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Supplemental Non-qualified Defined Benefit and Defined Contribution Plans</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539</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1,617</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Tax Rates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2022 Compared to the Three Months Ended March 31, 2021</w:t>
      </w:r>
    </w:p>
    <w:p>
      <w:pPr>
        <w:spacing w:after="0" w:line="24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Income tax expense for the three months ended March 31, 2022 was $14.5 million compared to $0.5 million reported for the same period in 2021. For the three months ended March 31, 2022, the effective tax rate was 10.7% compared to 0.5% for the same period in 2021. The higher effective tax rate is primarily due to $7.6 million of prior year tax benefits from Colorado Electric TCJA-related bill credits to customers (which were offset by reduced revenue).</w:t>
      </w:r>
    </w:p>
    <w:p>
      <w:pPr>
        <w:spacing w:after="0" w:line="200" w:lineRule="exact"/>
        <w:rPr>
          <w:sz w:val="20"/>
          <w:szCs w:val="20"/>
          <w:color w:val="auto"/>
        </w:rPr>
      </w:pPr>
    </w:p>
    <w:p>
      <w:pPr>
        <w:spacing w:after="0" w:line="248"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CODM reviews financial information presented on an operating segment basis for purposes of making decisions and assessing financial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Our CODM assesses the performance of our operating segments based on operating income.</w:t>
      </w:r>
    </w:p>
    <w:p>
      <w:pPr>
        <w:spacing w:after="0" w:line="246"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For the first nine months of 2021, we had reported four operating segments: Electric Utilities, Gas Utilities, Power Generation and Mining. In the fourth quarter of 2021, we changed our operating segments to align with the revised manner in which our CODM reviews our financial performance and allocates resources. Our power generation and mining businesses, which were previously presented as separate operating segments, are now part of our Electric Utilities segment. This change aligns with our vertically integrated business model for our Electric Utilities. Comparative periods presented reflect this change.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Our operating segments are equivalent to our reportable segments.</w:t>
            </w: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32"/>
        </w:trPr>
        <w:tc>
          <w:tcPr>
            <w:tcW w:w="7160" w:type="dxa"/>
            <w:vAlign w:val="bottom"/>
          </w:tcPr>
          <w:p>
            <w:pPr>
              <w:spacing w:after="0"/>
              <w:rPr>
                <w:sz w:val="20"/>
                <w:szCs w:val="20"/>
                <w:color w:val="auto"/>
              </w:rPr>
            </w:pPr>
            <w:r>
              <w:rPr>
                <w:rFonts w:ascii="Arial" w:cs="Arial" w:eastAsia="Arial" w:hAnsi="Arial"/>
                <w:sz w:val="16"/>
                <w:szCs w:val="16"/>
                <w:color w:val="252525"/>
              </w:rPr>
              <w:t>Segment information was as follows (in thousands):</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7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 (net of intercompany eliminations) as of:</w:t>
            </w: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March 31, 2022</w:t>
            </w: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11"/>
        </w:trPr>
        <w:tc>
          <w:tcPr>
            <w:tcW w:w="71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3,804,335</w:t>
            </w:r>
          </w:p>
        </w:tc>
        <w:tc>
          <w:tcPr>
            <w:tcW w:w="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3,796,662</w:t>
            </w:r>
          </w:p>
        </w:tc>
      </w:tr>
      <w:tr>
        <w:trPr>
          <w:trHeight w:val="215"/>
        </w:trPr>
        <w:tc>
          <w:tcPr>
            <w:tcW w:w="7160" w:type="dxa"/>
            <w:vAlign w:val="bottom"/>
          </w:tcPr>
          <w:p>
            <w:pPr>
              <w:ind w:left="140"/>
              <w:spacing w:after="0"/>
              <w:rPr>
                <w:sz w:val="20"/>
                <w:szCs w:val="20"/>
                <w:color w:val="auto"/>
              </w:rPr>
            </w:pPr>
            <w:r>
              <w:rPr>
                <w:rFonts w:ascii="Arial" w:cs="Arial" w:eastAsia="Arial" w:hAnsi="Arial"/>
                <w:sz w:val="16"/>
                <w:szCs w:val="16"/>
                <w:color w:val="auto"/>
              </w:rPr>
              <w:t>Gas Utilities</w:t>
            </w:r>
          </w:p>
        </w:tc>
        <w:tc>
          <w:tcPr>
            <w:tcW w:w="2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5,232,594</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5,246,370</w:t>
            </w:r>
          </w:p>
        </w:tc>
      </w:tr>
      <w:tr>
        <w:trPr>
          <w:trHeight w:val="216"/>
        </w:trPr>
        <w:tc>
          <w:tcPr>
            <w:tcW w:w="71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Corporate and Other</w:t>
            </w:r>
          </w:p>
        </w:tc>
        <w:tc>
          <w:tcPr>
            <w:tcW w:w="280" w:type="dxa"/>
            <w:vAlign w:val="bottom"/>
            <w:tcBorders>
              <w:bottom w:val="single" w:sz="8" w:color="auto"/>
            </w:tcBorders>
            <w:shd w:val="clear" w:color="auto" w:fill="CEFFE7"/>
          </w:tcPr>
          <w:p>
            <w:pPr>
              <w:spacing w:after="0"/>
              <w:rPr>
                <w:sz w:val="18"/>
                <w:szCs w:val="18"/>
                <w:color w:val="auto"/>
              </w:rPr>
            </w:pPr>
          </w:p>
        </w:tc>
        <w:tc>
          <w:tcPr>
            <w:tcW w:w="17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93,725</w:t>
            </w:r>
          </w:p>
        </w:tc>
        <w:tc>
          <w:tcPr>
            <w:tcW w:w="26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88,864</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9,130,654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9,131,896</w:t>
            </w:r>
          </w:p>
        </w:tc>
      </w:tr>
      <w:tr>
        <w:trPr>
          <w:trHeight w:val="20"/>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52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1"/>
        </w:trPr>
        <w:tc>
          <w:tcPr>
            <w:tcW w:w="136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2160" w:type="dxa"/>
            <w:vAlign w:val="bottom"/>
            <w:gridSpan w:val="3"/>
          </w:tcPr>
          <w:p>
            <w:pPr>
              <w:jc w:val="center"/>
              <w:ind w:right="59"/>
              <w:spacing w:after="0"/>
              <w:rPr>
                <w:sz w:val="20"/>
                <w:szCs w:val="20"/>
                <w:color w:val="auto"/>
              </w:rPr>
            </w:pPr>
            <w:r>
              <w:rPr>
                <w:rFonts w:ascii="Arial" w:cs="Arial" w:eastAsia="Arial" w:hAnsi="Arial"/>
                <w:sz w:val="16"/>
                <w:szCs w:val="16"/>
                <w:color w:val="auto"/>
              </w:rPr>
              <w:t>Inter-company Operating</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left="539"/>
              <w:spacing w:after="0"/>
              <w:rPr>
                <w:sz w:val="20"/>
                <w:szCs w:val="20"/>
                <w:color w:val="auto"/>
              </w:rPr>
            </w:pPr>
            <w:r>
              <w:rPr>
                <w:rFonts w:ascii="Arial" w:cs="Arial" w:eastAsia="Arial" w:hAnsi="Arial"/>
                <w:sz w:val="16"/>
                <w:szCs w:val="16"/>
                <w:color w:val="auto"/>
              </w:rPr>
              <w:t>Revenue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auto"/>
              </w:rPr>
              <w:t>Three Months Ended March 31, 2022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Contract</w:t>
            </w:r>
          </w:p>
        </w:tc>
        <w:tc>
          <w:tcPr>
            <w:tcW w:w="400" w:type="dxa"/>
            <w:vAlign w:val="bottom"/>
          </w:tcPr>
          <w:p>
            <w:pPr>
              <w:spacing w:after="0"/>
              <w:rPr>
                <w:sz w:val="18"/>
                <w:szCs w:val="18"/>
                <w:color w:val="auto"/>
              </w:rPr>
            </w:pPr>
          </w:p>
        </w:tc>
        <w:tc>
          <w:tcPr>
            <w:tcW w:w="760" w:type="dxa"/>
            <w:vAlign w:val="bottom"/>
          </w:tcPr>
          <w:p>
            <w:pPr>
              <w:jc w:val="center"/>
              <w:ind w:right="279"/>
              <w:spacing w:after="0"/>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Customers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Revenues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202,739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870</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center"/>
              <w:ind w:left="399"/>
              <w:spacing w:after="0"/>
              <w:rPr>
                <w:sz w:val="20"/>
                <w:szCs w:val="20"/>
                <w:color w:val="auto"/>
              </w:rPr>
            </w:pPr>
            <w:r>
              <w:rPr>
                <w:rFonts w:ascii="Arial" w:cs="Arial" w:eastAsia="Arial" w:hAnsi="Arial"/>
                <w:sz w:val="16"/>
                <w:szCs w:val="16"/>
                <w:color w:val="auto"/>
                <w:w w:val="99"/>
              </w:rPr>
              <w:t>2,929</w:t>
            </w:r>
          </w:p>
        </w:tc>
        <w:tc>
          <w:tcPr>
            <w:tcW w:w="40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206,538</w:t>
            </w: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619,030</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left="399"/>
              <w:spacing w:after="0"/>
              <w:rPr>
                <w:sz w:val="20"/>
                <w:szCs w:val="20"/>
                <w:color w:val="auto"/>
              </w:rPr>
            </w:pPr>
            <w:r>
              <w:rPr>
                <w:rFonts w:ascii="Arial" w:cs="Arial" w:eastAsia="Arial" w:hAnsi="Arial"/>
                <w:sz w:val="16"/>
                <w:szCs w:val="16"/>
                <w:color w:val="auto"/>
                <w:w w:val="99"/>
              </w:rPr>
              <w:t>1,319</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621,392</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38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center"/>
              <w:ind w:left="359"/>
              <w:spacing w:after="0"/>
              <w:rPr>
                <w:sz w:val="20"/>
                <w:szCs w:val="20"/>
                <w:color w:val="auto"/>
              </w:rPr>
            </w:pPr>
            <w:r>
              <w:rPr>
                <w:rFonts w:ascii="Arial" w:cs="Arial" w:eastAsia="Arial" w:hAnsi="Arial"/>
                <w:sz w:val="16"/>
                <w:szCs w:val="16"/>
                <w:color w:val="auto"/>
              </w:rPr>
              <w:t>(4,248)</w:t>
            </w:r>
          </w:p>
        </w:tc>
        <w:tc>
          <w:tcPr>
            <w:tcW w:w="400" w:type="dxa"/>
            <w:vAlign w:val="bottom"/>
            <w:shd w:val="clear" w:color="auto" w:fill="CEFFE7"/>
          </w:tcPr>
          <w:p>
            <w:pPr>
              <w:spacing w:after="0"/>
              <w:rPr>
                <w:sz w:val="18"/>
                <w:szCs w:val="18"/>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821,769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1,801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 $</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823,570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vMerge w:val="restart"/>
          </w:tcPr>
          <w:p>
            <w:pPr>
              <w:ind w:left="20"/>
              <w:spacing w:after="0"/>
              <w:rPr>
                <w:sz w:val="20"/>
                <w:szCs w:val="20"/>
                <w:color w:val="auto"/>
              </w:rPr>
            </w:pPr>
            <w:r>
              <w:rPr>
                <w:rFonts w:ascii="Arial" w:cs="Arial" w:eastAsia="Arial" w:hAnsi="Arial"/>
                <w:sz w:val="16"/>
                <w:szCs w:val="16"/>
                <w:color w:val="auto"/>
              </w:rPr>
              <w:t>External Operating Revenue</w:t>
            </w:r>
          </w:p>
        </w:tc>
        <w:tc>
          <w:tcPr>
            <w:tcW w:w="140" w:type="dxa"/>
            <w:vAlign w:val="bottom"/>
          </w:tcPr>
          <w:p>
            <w:pPr>
              <w:spacing w:after="0"/>
              <w:rPr>
                <w:sz w:val="24"/>
                <w:szCs w:val="24"/>
                <w:color w:val="auto"/>
              </w:rPr>
            </w:pPr>
          </w:p>
        </w:tc>
        <w:tc>
          <w:tcPr>
            <w:tcW w:w="2160" w:type="dxa"/>
            <w:vAlign w:val="bottom"/>
            <w:gridSpan w:val="3"/>
          </w:tcPr>
          <w:p>
            <w:pPr>
              <w:jc w:val="center"/>
              <w:ind w:right="59"/>
              <w:spacing w:after="0"/>
              <w:rPr>
                <w:sz w:val="20"/>
                <w:szCs w:val="20"/>
                <w:color w:val="auto"/>
              </w:rPr>
            </w:pPr>
            <w:r>
              <w:rPr>
                <w:rFonts w:ascii="Arial" w:cs="Arial" w:eastAsia="Arial" w:hAnsi="Arial"/>
                <w:sz w:val="16"/>
                <w:szCs w:val="16"/>
                <w:color w:val="auto"/>
              </w:rPr>
              <w:t>Inter-company Operating</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left="539"/>
              <w:spacing w:after="0"/>
              <w:rPr>
                <w:sz w:val="20"/>
                <w:szCs w:val="20"/>
                <w:color w:val="auto"/>
              </w:rPr>
            </w:pPr>
            <w:r>
              <w:rPr>
                <w:rFonts w:ascii="Arial" w:cs="Arial" w:eastAsia="Arial" w:hAnsi="Arial"/>
                <w:sz w:val="16"/>
                <w:szCs w:val="16"/>
                <w:color w:val="auto"/>
              </w:rPr>
              <w:t>Revenue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vMerge w:val="restart"/>
          </w:tcPr>
          <w:p>
            <w:pPr>
              <w:ind w:left="20"/>
              <w:spacing w:after="0"/>
              <w:rPr>
                <w:sz w:val="20"/>
                <w:szCs w:val="20"/>
                <w:color w:val="auto"/>
              </w:rPr>
            </w:pPr>
            <w:r>
              <w:rPr>
                <w:rFonts w:ascii="Arial" w:cs="Arial" w:eastAsia="Arial" w:hAnsi="Arial"/>
                <w:sz w:val="16"/>
                <w:szCs w:val="16"/>
                <w:color w:val="2C2C2C"/>
              </w:rPr>
              <w:t>Three Months Ended March 31, 2021</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Contract</w:t>
            </w:r>
          </w:p>
        </w:tc>
        <w:tc>
          <w:tcPr>
            <w:tcW w:w="18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Contract</w:t>
            </w:r>
          </w:p>
        </w:tc>
        <w:tc>
          <w:tcPr>
            <w:tcW w:w="400" w:type="dxa"/>
            <w:vAlign w:val="bottom"/>
          </w:tcPr>
          <w:p>
            <w:pPr>
              <w:spacing w:after="0"/>
              <w:rPr>
                <w:sz w:val="18"/>
                <w:szCs w:val="18"/>
                <w:color w:val="auto"/>
              </w:rPr>
            </w:pPr>
          </w:p>
        </w:tc>
        <w:tc>
          <w:tcPr>
            <w:tcW w:w="760" w:type="dxa"/>
            <w:vAlign w:val="bottom"/>
          </w:tcPr>
          <w:p>
            <w:pPr>
              <w:jc w:val="center"/>
              <w:ind w:right="279"/>
              <w:spacing w:after="0"/>
              <w:rPr>
                <w:sz w:val="20"/>
                <w:szCs w:val="20"/>
                <w:color w:val="auto"/>
              </w:rPr>
            </w:pPr>
            <w:r>
              <w:rPr>
                <w:rFonts w:ascii="Arial" w:cs="Arial" w:eastAsia="Arial" w:hAnsi="Arial"/>
                <w:sz w:val="16"/>
                <w:szCs w:val="16"/>
                <w:color w:val="auto"/>
                <w:w w:val="99"/>
              </w:rPr>
              <w:t>Other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Customers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Customers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Revenues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Revenues</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Segment:</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231,718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left="399"/>
              <w:spacing w:after="0"/>
              <w:rPr>
                <w:sz w:val="20"/>
                <w:szCs w:val="20"/>
                <w:color w:val="auto"/>
              </w:rPr>
            </w:pPr>
            <w:r>
              <w:rPr>
                <w:rFonts w:ascii="Arial" w:cs="Arial" w:eastAsia="Arial" w:hAnsi="Arial"/>
                <w:sz w:val="16"/>
                <w:szCs w:val="16"/>
                <w:color w:val="auto"/>
                <w:w w:val="99"/>
              </w:rPr>
              <w:t>2,879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235,404</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398,499</w:t>
            </w:r>
          </w:p>
        </w:tc>
        <w:tc>
          <w:tcPr>
            <w:tcW w:w="180" w:type="dxa"/>
            <w:vAlign w:val="bottom"/>
            <w:shd w:val="clear" w:color="auto" w:fill="CEFFE7"/>
          </w:tcPr>
          <w:p>
            <w:pPr>
              <w:spacing w:after="0"/>
              <w:rPr>
                <w:sz w:val="18"/>
                <w:szCs w:val="18"/>
                <w:color w:val="auto"/>
              </w:rPr>
            </w:pPr>
          </w:p>
        </w:tc>
        <w:tc>
          <w:tcPr>
            <w:tcW w:w="9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2,408</w:t>
            </w: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jc w:val="center"/>
              <w:ind w:left="399"/>
              <w:spacing w:after="0"/>
              <w:rPr>
                <w:sz w:val="20"/>
                <w:szCs w:val="20"/>
                <w:color w:val="auto"/>
              </w:rPr>
            </w:pPr>
            <w:r>
              <w:rPr>
                <w:rFonts w:ascii="Arial" w:cs="Arial" w:eastAsia="Arial" w:hAnsi="Arial"/>
                <w:sz w:val="16"/>
                <w:szCs w:val="16"/>
                <w:color w:val="auto"/>
                <w:w w:val="99"/>
              </w:rPr>
              <w:t>1,520</w:t>
            </w:r>
          </w:p>
        </w:tc>
        <w:tc>
          <w:tcPr>
            <w:tcW w:w="400" w:type="dxa"/>
            <w:vAlign w:val="bottom"/>
            <w:shd w:val="clear" w:color="auto" w:fill="CEFFE7"/>
          </w:tcPr>
          <w:p>
            <w:pPr>
              <w:spacing w:after="0"/>
              <w:rPr>
                <w:sz w:val="18"/>
                <w:szCs w:val="18"/>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402,519</w:t>
            </w:r>
          </w:p>
        </w:tc>
        <w:tc>
          <w:tcPr>
            <w:tcW w:w="0" w:type="dxa"/>
            <w:vAlign w:val="bottom"/>
          </w:tcPr>
          <w:p>
            <w:pPr>
              <w:spacing w:after="0"/>
              <w:rPr>
                <w:sz w:val="1"/>
                <w:szCs w:val="1"/>
                <w:color w:val="auto"/>
              </w:rPr>
            </w:pPr>
          </w:p>
        </w:tc>
      </w:tr>
      <w:tr>
        <w:trPr>
          <w:trHeight w:val="215"/>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Inter-company eliminations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center"/>
              <w:ind w:left="359"/>
              <w:spacing w:after="0"/>
              <w:rPr>
                <w:sz w:val="20"/>
                <w:szCs w:val="20"/>
                <w:color w:val="auto"/>
              </w:rPr>
            </w:pPr>
            <w:r>
              <w:rPr>
                <w:rFonts w:ascii="Arial" w:cs="Arial" w:eastAsia="Arial" w:hAnsi="Arial"/>
                <w:sz w:val="16"/>
                <w:szCs w:val="16"/>
                <w:color w:val="auto"/>
              </w:rPr>
              <w:t>(4,399)</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(4,491)</w:t>
            </w:r>
          </w:p>
        </w:tc>
        <w:tc>
          <w:tcPr>
            <w:tcW w:w="0" w:type="dxa"/>
            <w:vAlign w:val="bottom"/>
          </w:tcPr>
          <w:p>
            <w:pPr>
              <w:spacing w:after="0"/>
              <w:rPr>
                <w:sz w:val="1"/>
                <w:szCs w:val="1"/>
                <w:color w:val="auto"/>
              </w:rPr>
            </w:pPr>
          </w:p>
        </w:tc>
      </w:tr>
      <w:tr>
        <w:trPr>
          <w:trHeight w:val="235"/>
        </w:trPr>
        <w:tc>
          <w:tcPr>
            <w:tcW w:w="5240" w:type="dxa"/>
            <w:vAlign w:val="bottom"/>
            <w:tcBorders>
              <w:top w:val="single" w:sz="8" w:color="CEFFE7"/>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630,217</w:t>
            </w:r>
          </w:p>
        </w:tc>
        <w:tc>
          <w:tcPr>
            <w:tcW w:w="1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3,215</w:t>
            </w:r>
          </w:p>
        </w:tc>
        <w:tc>
          <w:tcPr>
            <w:tcW w:w="140" w:type="dxa"/>
            <w:vAlign w:val="bottom"/>
            <w:tcBorders>
              <w:top w:val="single" w:sz="8" w:color="CEFFE7"/>
              <w:bottom w:val="single" w:sz="8" w:color="CEFFE7"/>
            </w:tcBorders>
            <w:shd w:val="clear" w:color="auto" w:fill="CEFFE7"/>
          </w:tcPr>
          <w:p>
            <w:pPr>
              <w:spacing w:after="0"/>
              <w:rPr>
                <w:sz w:val="20"/>
                <w:szCs w:val="20"/>
                <w:color w:val="auto"/>
              </w:rPr>
            </w:pPr>
          </w:p>
        </w:tc>
        <w:tc>
          <w:tcPr>
            <w:tcW w:w="1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gridSpan w:val="2"/>
            <w:shd w:val="clear" w:color="auto" w:fill="CEFFE7"/>
          </w:tcPr>
          <w:p>
            <w:pPr>
              <w:jc w:val="right"/>
              <w:ind w:right="199"/>
              <w:spacing w:after="0"/>
              <w:rPr>
                <w:sz w:val="20"/>
                <w:szCs w:val="20"/>
                <w:color w:val="auto"/>
              </w:rPr>
            </w:pPr>
            <w:r>
              <w:rPr>
                <w:rFonts w:ascii="Arial" w:cs="Arial" w:eastAsia="Arial" w:hAnsi="Arial"/>
                <w:sz w:val="16"/>
                <w:szCs w:val="16"/>
                <w:color w:val="auto"/>
              </w:rPr>
              <w:t>— $</w:t>
            </w:r>
          </w:p>
        </w:tc>
        <w:tc>
          <w:tcPr>
            <w:tcW w:w="7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EFFE7"/>
              <w:bottom w:val="single" w:sz="8" w:color="CEFFE7"/>
            </w:tcBorders>
            <w:shd w:val="clear" w:color="auto" w:fill="CEFFE7"/>
          </w:tcPr>
          <w:p>
            <w:pPr>
              <w:spacing w:after="0"/>
              <w:rPr>
                <w:sz w:val="20"/>
                <w:szCs w:val="20"/>
                <w:color w:val="auto"/>
              </w:rPr>
            </w:pPr>
          </w:p>
        </w:tc>
        <w:tc>
          <w:tcPr>
            <w:tcW w:w="1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633,432</w:t>
            </w: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388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2160" w:type="dxa"/>
            <w:vAlign w:val="bottom"/>
            <w:tcBorders>
              <w:top w:val="single" w:sz="8" w:color="CEFFE7"/>
              <w:bottom w:val="single" w:sz="8" w:color="auto"/>
            </w:tcBorders>
            <w:gridSpan w:val="3"/>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6"/>
          </w:tcPr>
          <w:p>
            <w:pPr>
              <w:jc w:val="right"/>
              <w:ind w:right="759"/>
              <w:spacing w:after="0"/>
              <w:rPr>
                <w:sz w:val="20"/>
                <w:szCs w:val="20"/>
                <w:color w:val="auto"/>
              </w:rPr>
            </w:pPr>
            <w:r>
              <w:rPr>
                <w:rFonts w:ascii="Arial" w:cs="Arial" w:eastAsia="Arial" w:hAnsi="Arial"/>
                <w:sz w:val="16"/>
                <w:szCs w:val="16"/>
                <w:color w:val="auto"/>
              </w:rPr>
              <w:t>Three Months Ended March 31,</w:t>
            </w:r>
          </w:p>
        </w:tc>
        <w:tc>
          <w:tcPr>
            <w:tcW w:w="0" w:type="dxa"/>
            <w:vAlign w:val="bottom"/>
          </w:tcPr>
          <w:p>
            <w:pPr>
              <w:spacing w:after="0"/>
              <w:rPr>
                <w:sz w:val="1"/>
                <w:szCs w:val="1"/>
                <w:color w:val="auto"/>
              </w:rPr>
            </w:pPr>
          </w:p>
        </w:tc>
      </w:tr>
      <w:tr>
        <w:trPr>
          <w:trHeight w:val="217"/>
        </w:trPr>
        <w:tc>
          <w:tcPr>
            <w:tcW w:w="136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1"/>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 (loss):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00" w:type="dxa"/>
            <w:vAlign w:val="bottom"/>
            <w:shd w:val="clear" w:color="auto" w:fill="CEFFE7"/>
          </w:tcPr>
          <w:p>
            <w:pPr>
              <w:spacing w:after="0"/>
              <w:rPr>
                <w:sz w:val="18"/>
                <w:szCs w:val="18"/>
                <w:color w:val="auto"/>
              </w:rPr>
            </w:pPr>
          </w:p>
        </w:tc>
        <w:tc>
          <w:tcPr>
            <w:tcW w:w="400" w:type="dxa"/>
            <w:vAlign w:val="bottom"/>
            <w:shd w:val="clear" w:color="auto" w:fill="CEFFE7"/>
          </w:tcPr>
          <w:p>
            <w:pPr>
              <w:spacing w:after="0"/>
              <w:rPr>
                <w:sz w:val="18"/>
                <w:szCs w:val="18"/>
                <w:color w:val="auto"/>
              </w:rPr>
            </w:pPr>
          </w:p>
        </w:tc>
        <w:tc>
          <w:tcPr>
            <w:tcW w:w="76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gridSpan w:val="2"/>
          </w:tcPr>
          <w:p>
            <w:pPr>
              <w:ind w:left="140"/>
              <w:spacing w:after="0"/>
              <w:rPr>
                <w:sz w:val="20"/>
                <w:szCs w:val="20"/>
                <w:color w:val="auto"/>
              </w:rPr>
            </w:pPr>
            <w:r>
              <w:rPr>
                <w:rFonts w:ascii="Arial" w:cs="Arial" w:eastAsia="Arial" w:hAnsi="Arial"/>
                <w:sz w:val="16"/>
                <w:szCs w:val="16"/>
                <w:color w:val="auto"/>
              </w:rPr>
              <w:t>Electric Utilities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50,746</w:t>
            </w:r>
          </w:p>
        </w:tc>
        <w:tc>
          <w:tcPr>
            <w:tcW w:w="76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39,343</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Gas Utilities</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123,540</w:t>
            </w:r>
          </w:p>
        </w:tc>
        <w:tc>
          <w:tcPr>
            <w:tcW w:w="76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102,094</w:t>
            </w:r>
          </w:p>
        </w:tc>
        <w:tc>
          <w:tcPr>
            <w:tcW w:w="0" w:type="dxa"/>
            <w:vAlign w:val="bottom"/>
          </w:tcPr>
          <w:p>
            <w:pPr>
              <w:spacing w:after="0"/>
              <w:rPr>
                <w:sz w:val="1"/>
                <w:szCs w:val="1"/>
                <w:color w:val="auto"/>
              </w:rPr>
            </w:pPr>
          </w:p>
        </w:tc>
      </w:tr>
      <w:tr>
        <w:trPr>
          <w:trHeight w:val="215"/>
        </w:trPr>
        <w:tc>
          <w:tcPr>
            <w:tcW w:w="524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Corporate and Other</w:t>
            </w:r>
          </w:p>
        </w:tc>
        <w:tc>
          <w:tcPr>
            <w:tcW w:w="100" w:type="dxa"/>
            <w:vAlign w:val="bottom"/>
            <w:tcBorders>
              <w:bottom w:val="single" w:sz="8" w:color="CEFFE7"/>
            </w:tcBorders>
          </w:tcPr>
          <w:p>
            <w:pPr>
              <w:spacing w:after="0"/>
              <w:rPr>
                <w:sz w:val="18"/>
                <w:szCs w:val="18"/>
                <w:color w:val="auto"/>
              </w:rPr>
            </w:pPr>
          </w:p>
        </w:tc>
        <w:tc>
          <w:tcPr>
            <w:tcW w:w="1020" w:type="dxa"/>
            <w:vAlign w:val="bottom"/>
            <w:tcBorders>
              <w:bottom w:val="single" w:sz="8" w:color="CEFFE7"/>
            </w:tcBorders>
          </w:tcPr>
          <w:p>
            <w:pPr>
              <w:spacing w:after="0"/>
              <w:rPr>
                <w:sz w:val="18"/>
                <w:szCs w:val="18"/>
                <w:color w:val="auto"/>
              </w:rPr>
            </w:pPr>
          </w:p>
        </w:tc>
        <w:tc>
          <w:tcPr>
            <w:tcW w:w="180" w:type="dxa"/>
            <w:vAlign w:val="bottom"/>
            <w:tcBorders>
              <w:bottom w:val="single" w:sz="8" w:color="CEFFE7"/>
            </w:tcBorders>
          </w:tcPr>
          <w:p>
            <w:pPr>
              <w:spacing w:after="0"/>
              <w:rPr>
                <w:sz w:val="18"/>
                <w:szCs w:val="18"/>
                <w:color w:val="auto"/>
              </w:rPr>
            </w:pPr>
          </w:p>
        </w:tc>
        <w:tc>
          <w:tcPr>
            <w:tcW w:w="74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(933)</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173,353</w:t>
            </w:r>
          </w:p>
        </w:tc>
        <w:tc>
          <w:tcPr>
            <w:tcW w:w="76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138,315</w:t>
            </w:r>
          </w:p>
        </w:tc>
        <w:tc>
          <w:tcPr>
            <w:tcW w:w="0" w:type="dxa"/>
            <w:vAlign w:val="bottom"/>
          </w:tcPr>
          <w:p>
            <w:pPr>
              <w:spacing w:after="0"/>
              <w:rPr>
                <w:sz w:val="1"/>
                <w:szCs w:val="1"/>
                <w:color w:val="auto"/>
              </w:rPr>
            </w:pPr>
          </w:p>
        </w:tc>
      </w:tr>
      <w:tr>
        <w:trPr>
          <w:trHeight w:val="251"/>
        </w:trPr>
        <w:tc>
          <w:tcPr>
            <w:tcW w:w="136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2160" w:type="dxa"/>
            <w:vAlign w:val="bottom"/>
            <w:gridSpan w:val="3"/>
            <w:shd w:val="clear" w:color="auto" w:fill="CEFFE7"/>
          </w:tcPr>
          <w:p>
            <w:pPr>
              <w:jc w:val="right"/>
              <w:ind w:right="659"/>
              <w:spacing w:after="0"/>
              <w:rPr>
                <w:sz w:val="20"/>
                <w:szCs w:val="20"/>
                <w:color w:val="auto"/>
              </w:rPr>
            </w:pPr>
            <w:r>
              <w:rPr>
                <w:rFonts w:ascii="Arial" w:cs="Arial" w:eastAsia="Arial" w:hAnsi="Arial"/>
                <w:sz w:val="16"/>
                <w:szCs w:val="16"/>
                <w:color w:val="auto"/>
              </w:rPr>
              <w:t>(38,545)</w:t>
            </w: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(37,600)</w:t>
            </w:r>
          </w:p>
        </w:tc>
        <w:tc>
          <w:tcPr>
            <w:tcW w:w="0" w:type="dxa"/>
            <w:vAlign w:val="bottom"/>
          </w:tcPr>
          <w:p>
            <w:pPr>
              <w:spacing w:after="0"/>
              <w:rPr>
                <w:sz w:val="1"/>
                <w:szCs w:val="1"/>
                <w:color w:val="auto"/>
              </w:rPr>
            </w:pPr>
          </w:p>
        </w:tc>
      </w:tr>
      <w:tr>
        <w:trPr>
          <w:trHeight w:val="215"/>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704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2160" w:type="dxa"/>
            <w:vAlign w:val="bottom"/>
            <w:tcBorders>
              <w:bottom w:val="single" w:sz="8" w:color="auto"/>
            </w:tcBorders>
            <w:gridSpan w:val="3"/>
            <w:shd w:val="clear" w:color="auto" w:fill="CEFFE7"/>
          </w:tcPr>
          <w:p>
            <w:pPr>
              <w:jc w:val="right"/>
              <w:ind w:right="659"/>
              <w:spacing w:after="0"/>
              <w:rPr>
                <w:sz w:val="20"/>
                <w:szCs w:val="20"/>
                <w:color w:val="auto"/>
              </w:rPr>
            </w:pPr>
            <w:r>
              <w:rPr>
                <w:rFonts w:ascii="Arial" w:cs="Arial" w:eastAsia="Arial" w:hAnsi="Arial"/>
                <w:sz w:val="16"/>
                <w:szCs w:val="16"/>
                <w:color w:val="auto"/>
              </w:rPr>
              <w:t>(14,488)</w:t>
            </w:r>
          </w:p>
        </w:tc>
        <w:tc>
          <w:tcPr>
            <w:tcW w:w="1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9"/>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121,024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100,487</w:t>
            </w:r>
          </w:p>
        </w:tc>
        <w:tc>
          <w:tcPr>
            <w:tcW w:w="0" w:type="dxa"/>
            <w:vAlign w:val="bottom"/>
          </w:tcPr>
          <w:p>
            <w:pPr>
              <w:spacing w:after="0"/>
              <w:rPr>
                <w:sz w:val="1"/>
                <w:szCs w:val="1"/>
                <w:color w:val="auto"/>
              </w:rPr>
            </w:pPr>
          </w:p>
        </w:tc>
      </w:tr>
      <w:tr>
        <w:trPr>
          <w:trHeight w:val="217"/>
        </w:trPr>
        <w:tc>
          <w:tcPr>
            <w:tcW w:w="52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00" w:type="dxa"/>
            <w:vAlign w:val="bottom"/>
            <w:shd w:val="clear" w:color="auto" w:fill="CEFFE7"/>
          </w:tcPr>
          <w:p>
            <w:pPr>
              <w:spacing w:after="0"/>
              <w:rPr>
                <w:sz w:val="18"/>
                <w:szCs w:val="18"/>
                <w:color w:val="auto"/>
              </w:rPr>
            </w:pPr>
          </w:p>
        </w:tc>
        <w:tc>
          <w:tcPr>
            <w:tcW w:w="102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74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2160" w:type="dxa"/>
            <w:vAlign w:val="bottom"/>
            <w:tcBorders>
              <w:bottom w:val="single" w:sz="8" w:color="auto"/>
            </w:tcBorders>
            <w:gridSpan w:val="3"/>
            <w:shd w:val="clear" w:color="auto" w:fill="CEFFE7"/>
          </w:tcPr>
          <w:p>
            <w:pPr>
              <w:jc w:val="right"/>
              <w:ind w:right="659"/>
              <w:spacing w:after="0"/>
              <w:rPr>
                <w:sz w:val="20"/>
                <w:szCs w:val="20"/>
                <w:color w:val="auto"/>
              </w:rPr>
            </w:pPr>
            <w:r>
              <w:rPr>
                <w:rFonts w:ascii="Arial" w:cs="Arial" w:eastAsia="Arial" w:hAnsi="Arial"/>
                <w:sz w:val="16"/>
                <w:szCs w:val="16"/>
                <w:color w:val="auto"/>
              </w:rPr>
              <w:t>(3,498)</w:t>
            </w:r>
          </w:p>
        </w:tc>
        <w:tc>
          <w:tcPr>
            <w:tcW w:w="1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(4,171)</w:t>
            </w:r>
          </w:p>
        </w:tc>
        <w:tc>
          <w:tcPr>
            <w:tcW w:w="0" w:type="dxa"/>
            <w:vAlign w:val="bottom"/>
          </w:tcPr>
          <w:p>
            <w:pPr>
              <w:spacing w:after="0"/>
              <w:rPr>
                <w:sz w:val="1"/>
                <w:szCs w:val="1"/>
                <w:color w:val="auto"/>
              </w:rPr>
            </w:pPr>
          </w:p>
        </w:tc>
      </w:tr>
      <w:tr>
        <w:trPr>
          <w:trHeight w:val="210"/>
        </w:trPr>
        <w:tc>
          <w:tcPr>
            <w:tcW w:w="524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117,526</w:t>
            </w:r>
          </w:p>
        </w:tc>
        <w:tc>
          <w:tcPr>
            <w:tcW w:w="7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96,316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right"/>
              <w:ind w:right="559"/>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2"/>
        </w:trPr>
        <w:tc>
          <w:tcPr>
            <w:tcW w:w="1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3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Condensed Consolidated Balance Sheets (in thousands) as of:</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Borders>
              <w:bottom w:val="single" w:sz="8" w:color="CEFFE7"/>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March 31, 2022</w:t>
            </w: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10"/>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Billed Accounts Receivable</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257,982</w:t>
            </w: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181,027</w:t>
            </w: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Unbilled Revenue</w:t>
            </w:r>
          </w:p>
        </w:tc>
        <w:tc>
          <w:tcPr>
            <w:tcW w:w="280" w:type="dxa"/>
            <w:vAlign w:val="bottom"/>
          </w:tcPr>
          <w:p>
            <w:pPr>
              <w:spacing w:after="0"/>
              <w:rPr>
                <w:sz w:val="18"/>
                <w:szCs w:val="18"/>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130,294</w:t>
            </w: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142,738</w:t>
            </w:r>
          </w:p>
        </w:tc>
      </w:tr>
      <w:tr>
        <w:trPr>
          <w:trHeight w:val="216"/>
        </w:trPr>
        <w:tc>
          <w:tcPr>
            <w:tcW w:w="7160" w:type="dxa"/>
            <w:vAlign w:val="bottom"/>
            <w:shd w:val="clear" w:color="auto" w:fill="CEFFE7"/>
          </w:tcPr>
          <w:p>
            <w:pPr>
              <w:ind w:left="20"/>
              <w:spacing w:after="0"/>
              <w:rPr>
                <w:sz w:val="20"/>
                <w:szCs w:val="20"/>
                <w:color w:val="auto"/>
              </w:rPr>
            </w:pPr>
            <w:r>
              <w:rPr>
                <w:rFonts w:ascii="Arial" w:cs="Arial" w:eastAsia="Arial" w:hAnsi="Arial"/>
                <w:sz w:val="16"/>
                <w:szCs w:val="16"/>
                <w:color w:val="auto"/>
              </w:rPr>
              <w:t>Less: Allowance for Credit Losses</w:t>
            </w:r>
          </w:p>
        </w:tc>
        <w:tc>
          <w:tcPr>
            <w:tcW w:w="280" w:type="dxa"/>
            <w:vAlign w:val="bottom"/>
            <w:tcBorders>
              <w:bottom w:val="single" w:sz="8" w:color="auto"/>
            </w:tcBorders>
            <w:shd w:val="clear" w:color="auto" w:fill="CEFFE7"/>
          </w:tcPr>
          <w:p>
            <w:pPr>
              <w:spacing w:after="0"/>
              <w:rPr>
                <w:sz w:val="18"/>
                <w:szCs w:val="18"/>
                <w:color w:val="auto"/>
              </w:rPr>
            </w:pPr>
          </w:p>
        </w:tc>
        <w:tc>
          <w:tcPr>
            <w:tcW w:w="1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(4,486)</w:t>
            </w:r>
          </w:p>
        </w:tc>
        <w:tc>
          <w:tcPr>
            <w:tcW w:w="24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(2,113)</w:t>
            </w:r>
          </w:p>
        </w:tc>
      </w:tr>
      <w:tr>
        <w:trPr>
          <w:trHeight w:val="210"/>
        </w:trPr>
        <w:tc>
          <w:tcPr>
            <w:tcW w:w="7160" w:type="dxa"/>
            <w:vAlign w:val="bottom"/>
          </w:tcPr>
          <w:p>
            <w:pPr>
              <w:ind w:left="20"/>
              <w:spacing w:after="0"/>
              <w:rPr>
                <w:sz w:val="20"/>
                <w:szCs w:val="20"/>
                <w:color w:val="auto"/>
              </w:rPr>
            </w:pPr>
            <w:r>
              <w:rPr>
                <w:rFonts w:ascii="Arial" w:cs="Arial" w:eastAsia="Arial" w:hAnsi="Arial"/>
                <w:sz w:val="16"/>
                <w:szCs w:val="16"/>
                <w:color w:val="auto"/>
              </w:rPr>
              <w:t>Accounts Receivable,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383,790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321,652</w:t>
            </w:r>
          </w:p>
        </w:tc>
      </w:tr>
      <w:tr>
        <w:trPr>
          <w:trHeight w:val="21"/>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three months ended March 31, 2022 and 2021, respectively,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6"/>
                <w:szCs w:val="16"/>
                <w:color w:val="auto"/>
              </w:rPr>
              <w:t>Balance at Beginning</w:t>
            </w:r>
          </w:p>
        </w:tc>
        <w:tc>
          <w:tcPr>
            <w:tcW w:w="1740" w:type="dxa"/>
            <w:vAlign w:val="bottom"/>
            <w:gridSpan w:val="3"/>
          </w:tcPr>
          <w:p>
            <w:pPr>
              <w:jc w:val="right"/>
              <w:ind w:right="160"/>
              <w:spacing w:after="0"/>
              <w:rPr>
                <w:sz w:val="20"/>
                <w:szCs w:val="20"/>
                <w:color w:val="auto"/>
              </w:rPr>
            </w:pPr>
            <w:r>
              <w:rPr>
                <w:rFonts w:ascii="Arial" w:cs="Arial" w:eastAsia="Arial" w:hAnsi="Arial"/>
                <w:sz w:val="16"/>
                <w:szCs w:val="16"/>
                <w:color w:val="auto"/>
              </w:rPr>
              <w:t>Additions Charged to</w:t>
            </w:r>
          </w:p>
        </w:tc>
        <w:tc>
          <w:tcPr>
            <w:tcW w:w="1760" w:type="dxa"/>
            <w:vAlign w:val="bottom"/>
            <w:gridSpan w:val="3"/>
          </w:tcPr>
          <w:p>
            <w:pPr>
              <w:ind w:left="40"/>
              <w:spacing w:after="0"/>
              <w:rPr>
                <w:sz w:val="20"/>
                <w:szCs w:val="20"/>
                <w:color w:val="auto"/>
              </w:rPr>
            </w:pPr>
            <w:r>
              <w:rPr>
                <w:rFonts w:ascii="Arial" w:cs="Arial" w:eastAsia="Arial" w:hAnsi="Arial"/>
                <w:sz w:val="16"/>
                <w:szCs w:val="16"/>
                <w:color w:val="auto"/>
              </w:rPr>
              <w:t>Recoveries and Other</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color w:val="auto"/>
              </w:rPr>
              <w:t>Write-offs and Other</w:t>
            </w:r>
          </w:p>
        </w:tc>
        <w:tc>
          <w:tcPr>
            <w:tcW w:w="180" w:type="dxa"/>
            <w:vAlign w:val="bottom"/>
          </w:tcPr>
          <w:p>
            <w:pPr>
              <w:spacing w:after="0"/>
              <w:rPr>
                <w:sz w:val="16"/>
                <w:szCs w:val="16"/>
                <w:color w:val="auto"/>
              </w:rPr>
            </w:pPr>
          </w:p>
        </w:tc>
        <w:tc>
          <w:tcPr>
            <w:tcW w:w="1840" w:type="dxa"/>
            <w:vAlign w:val="bottom"/>
            <w:vMerge w:val="restart"/>
          </w:tcPr>
          <w:p>
            <w:pPr>
              <w:jc w:val="right"/>
              <w:ind w:right="159"/>
              <w:spacing w:after="0"/>
              <w:rPr>
                <w:sz w:val="20"/>
                <w:szCs w:val="20"/>
                <w:color w:val="auto"/>
              </w:rPr>
            </w:pPr>
            <w:r>
              <w:rPr>
                <w:rFonts w:ascii="Arial" w:cs="Arial" w:eastAsia="Arial" w:hAnsi="Arial"/>
                <w:sz w:val="16"/>
                <w:szCs w:val="16"/>
                <w:color w:val="auto"/>
              </w:rPr>
              <w:t>Balance at March 31,</w:t>
            </w:r>
          </w:p>
        </w:tc>
        <w:tc>
          <w:tcPr>
            <w:tcW w:w="0" w:type="dxa"/>
            <w:vAlign w:val="bottom"/>
          </w:tcPr>
          <w:p>
            <w:pPr>
              <w:spacing w:after="0"/>
              <w:rPr>
                <w:sz w:val="1"/>
                <w:szCs w:val="1"/>
                <w:color w:val="auto"/>
              </w:rPr>
            </w:pPr>
          </w:p>
        </w:tc>
      </w:tr>
      <w:tr>
        <w:trPr>
          <w:trHeight w:val="215"/>
        </w:trPr>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of Year</w:t>
            </w:r>
          </w:p>
        </w:tc>
        <w:tc>
          <w:tcPr>
            <w:tcW w:w="1740" w:type="dxa"/>
            <w:vAlign w:val="bottom"/>
            <w:gridSpan w:val="3"/>
          </w:tcPr>
          <w:p>
            <w:pPr>
              <w:jc w:val="right"/>
              <w:ind w:right="18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8"/>
                <w:szCs w:val="18"/>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color w:val="auto"/>
              </w:rPr>
              <w:t>Deductions</w:t>
            </w:r>
          </w:p>
        </w:tc>
        <w:tc>
          <w:tcPr>
            <w:tcW w:w="1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CEFEE7"/>
            </w:tcBorders>
            <w:shd w:val="clear" w:color="auto" w:fill="CEFEE7"/>
          </w:tcPr>
          <w:p>
            <w:pPr>
              <w:jc w:val="right"/>
              <w:ind w:right="1639"/>
              <w:spacing w:after="0"/>
              <w:rPr>
                <w:sz w:val="20"/>
                <w:szCs w:val="20"/>
                <w:color w:val="auto"/>
              </w:rPr>
            </w:pPr>
            <w:r>
              <w:rPr>
                <w:rFonts w:ascii="Arial" w:cs="Arial" w:eastAsia="Arial" w:hAnsi="Arial"/>
                <w:sz w:val="16"/>
                <w:szCs w:val="16"/>
                <w:color w:val="auto"/>
              </w:rPr>
              <w:t>2022</w:t>
            </w:r>
          </w:p>
        </w:tc>
        <w:tc>
          <w:tcPr>
            <w:tcW w:w="440" w:type="dxa"/>
            <w:vAlign w:val="bottom"/>
            <w:tcBorders>
              <w:top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2,113</w:t>
            </w:r>
          </w:p>
        </w:tc>
        <w:tc>
          <w:tcPr>
            <w:tcW w:w="100" w:type="dxa"/>
            <w:vAlign w:val="bottom"/>
            <w:tcBorders>
              <w:top w:val="single" w:sz="8" w:color="CEFEE7"/>
            </w:tcBorders>
            <w:shd w:val="clear" w:color="auto" w:fill="CEFEE7"/>
          </w:tcPr>
          <w:p>
            <w:pPr>
              <w:spacing w:after="0"/>
              <w:rPr>
                <w:sz w:val="18"/>
                <w:szCs w:val="18"/>
                <w:color w:val="auto"/>
              </w:rPr>
            </w:pPr>
          </w:p>
        </w:tc>
        <w:tc>
          <w:tcPr>
            <w:tcW w:w="640" w:type="dxa"/>
            <w:vAlign w:val="bottom"/>
            <w:tcBorders>
              <w:top w:val="single" w:sz="8" w:color="auto"/>
            </w:tcBorders>
            <w:shd w:val="clear" w:color="auto" w:fill="CEFEE7"/>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3,416</w:t>
            </w:r>
          </w:p>
        </w:tc>
        <w:tc>
          <w:tcPr>
            <w:tcW w:w="80" w:type="dxa"/>
            <w:vAlign w:val="bottom"/>
            <w:tcBorders>
              <w:top w:val="single" w:sz="8" w:color="CEFEE7"/>
            </w:tcBorders>
            <w:shd w:val="clear" w:color="auto" w:fill="CEFEE7"/>
          </w:tcPr>
          <w:p>
            <w:pPr>
              <w:spacing w:after="0"/>
              <w:rPr>
                <w:sz w:val="18"/>
                <w:szCs w:val="18"/>
                <w:color w:val="auto"/>
              </w:rPr>
            </w:pPr>
          </w:p>
        </w:tc>
        <w:tc>
          <w:tcPr>
            <w:tcW w:w="300" w:type="dxa"/>
            <w:vAlign w:val="bottom"/>
            <w:tcBorders>
              <w:top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top w:val="single" w:sz="8" w:color="CEFEE7"/>
            </w:tcBorders>
            <w:shd w:val="clear" w:color="auto" w:fill="CEFEE7"/>
          </w:tcPr>
          <w:p>
            <w:pPr>
              <w:spacing w:after="0"/>
              <w:rPr>
                <w:sz w:val="18"/>
                <w:szCs w:val="18"/>
                <w:color w:val="auto"/>
              </w:rPr>
            </w:pPr>
          </w:p>
        </w:tc>
        <w:tc>
          <w:tcPr>
            <w:tcW w:w="260" w:type="dxa"/>
            <w:vAlign w:val="bottom"/>
            <w:tcBorders>
              <w:top w:val="single" w:sz="8" w:color="auto"/>
            </w:tcBorders>
            <w:shd w:val="clear" w:color="auto" w:fill="CEFEE7"/>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(1,698)</w:t>
            </w:r>
          </w:p>
        </w:tc>
        <w:tc>
          <w:tcPr>
            <w:tcW w:w="100" w:type="dxa"/>
            <w:vAlign w:val="bottom"/>
            <w:tcBorders>
              <w:top w:val="single" w:sz="8" w:color="CEFEE7"/>
            </w:tcBorders>
            <w:shd w:val="clear" w:color="auto" w:fill="CEFEE7"/>
          </w:tcPr>
          <w:p>
            <w:pPr>
              <w:spacing w:after="0"/>
              <w:rPr>
                <w:sz w:val="18"/>
                <w:szCs w:val="18"/>
                <w:color w:val="auto"/>
              </w:rPr>
            </w:pPr>
          </w:p>
        </w:tc>
        <w:tc>
          <w:tcPr>
            <w:tcW w:w="18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4,486</w:t>
            </w:r>
          </w:p>
        </w:tc>
        <w:tc>
          <w:tcPr>
            <w:tcW w:w="0" w:type="dxa"/>
            <w:vAlign w:val="bottom"/>
          </w:tcPr>
          <w:p>
            <w:pPr>
              <w:spacing w:after="0"/>
              <w:rPr>
                <w:sz w:val="1"/>
                <w:szCs w:val="1"/>
                <w:color w:val="auto"/>
              </w:rPr>
            </w:pPr>
          </w:p>
        </w:tc>
      </w:tr>
      <w:tr>
        <w:trPr>
          <w:trHeight w:val="215"/>
        </w:trPr>
        <w:tc>
          <w:tcPr>
            <w:tcW w:w="2100" w:type="dxa"/>
            <w:vAlign w:val="bottom"/>
          </w:tcPr>
          <w:p>
            <w:pPr>
              <w:jc w:val="right"/>
              <w:ind w:right="1639"/>
              <w:spacing w:after="0"/>
              <w:rPr>
                <w:sz w:val="20"/>
                <w:szCs w:val="20"/>
                <w:color w:val="auto"/>
              </w:rPr>
            </w:pPr>
            <w:r>
              <w:rPr>
                <w:rFonts w:ascii="Arial" w:cs="Arial" w:eastAsia="Arial" w:hAnsi="Arial"/>
                <w:sz w:val="16"/>
                <w:szCs w:val="16"/>
                <w:color w:val="auto"/>
              </w:rPr>
              <w:t>2021</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7,003</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1,877</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8,251</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24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Condensed Consolidated Balance Sheets (in thousands) as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Materials and supplies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 Electric Utilities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Natural gas in storage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materials, supplies and fuel</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March 31, 2022</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09"/>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92,224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86,400</w:t>
            </w:r>
          </w:p>
        </w:tc>
      </w:tr>
      <w:tr>
        <w:trPr>
          <w:trHeight w:val="215"/>
        </w:trPr>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1,459</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1,267</w:t>
            </w:r>
          </w:p>
        </w:tc>
      </w:tr>
      <w:tr>
        <w:trPr>
          <w:trHeight w:val="217"/>
        </w:trPr>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14,549</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63,312</w:t>
            </w:r>
          </w:p>
        </w:tc>
      </w:tr>
      <w:tr>
        <w:trPr>
          <w:trHeight w:val="210"/>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150,979</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-599440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-316865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07" w:lineRule="exact"/>
        <w:rPr>
          <w:sz w:val="20"/>
          <w:szCs w:val="20"/>
          <w:color w:val="auto"/>
        </w:rPr>
      </w:pPr>
    </w:p>
    <w:p>
      <w:pPr>
        <w:sectPr>
          <w:pgSz w:w="11900" w:h="16838" w:orient="portrait"/>
          <w:cols w:equalWidth="0" w:num="2">
            <w:col w:w="6560" w:space="720"/>
            <w:col w:w="3960"/>
          </w:cols>
          <w:pgMar w:left="320" w:top="125" w:right="339" w:bottom="1440" w:gutter="0" w:footer="0" w:header="0"/>
          <w:type w:val="continuous"/>
        </w:sectPr>
      </w:pPr>
    </w:p>
    <w:p>
      <w:pPr>
        <w:spacing w:after="0" w:line="48"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Condensed Consolidated Balance Sheets (in thousands) as of: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Borders>
              <w:bottom w:val="single" w:sz="8" w:color="CEFFE7"/>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March 31, 2022</w:t>
            </w: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2021</w:t>
            </w:r>
          </w:p>
        </w:tc>
      </w:tr>
      <w:tr>
        <w:trPr>
          <w:trHeight w:val="210"/>
        </w:trPr>
        <w:tc>
          <w:tcPr>
            <w:tcW w:w="7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51,032</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74,387</w:t>
            </w: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53,389</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50,874</w:t>
            </w:r>
          </w:p>
        </w:tc>
      </w:tr>
      <w:tr>
        <w:trPr>
          <w:trHeight w:val="217"/>
        </w:trPr>
        <w:tc>
          <w:tcPr>
            <w:tcW w:w="7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Customer deposits and prepayments</w:t>
            </w:r>
          </w:p>
        </w:tc>
        <w:tc>
          <w:tcPr>
            <w:tcW w:w="26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39,543</w:t>
            </w:r>
          </w:p>
        </w:tc>
        <w:tc>
          <w:tcPr>
            <w:tcW w:w="22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48,814</w:t>
            </w:r>
          </w:p>
        </w:tc>
      </w:tr>
      <w:tr>
        <w:trPr>
          <w:trHeight w:val="215"/>
        </w:trPr>
        <w:tc>
          <w:tcPr>
            <w:tcW w:w="72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46,396</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33,680</w:t>
            </w:r>
          </w:p>
        </w:tc>
      </w:tr>
      <w:tr>
        <w:trPr>
          <w:trHeight w:val="216"/>
        </w:trPr>
        <w:tc>
          <w:tcPr>
            <w:tcW w:w="7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260" w:type="dxa"/>
            <w:vAlign w:val="bottom"/>
            <w:tcBorders>
              <w:bottom w:val="single" w:sz="8" w:color="auto"/>
            </w:tcBorders>
            <w:shd w:val="clear" w:color="auto" w:fill="CEFFE7"/>
          </w:tcPr>
          <w:p>
            <w:pPr>
              <w:spacing w:after="0"/>
              <w:rPr>
                <w:sz w:val="18"/>
                <w:szCs w:val="18"/>
                <w:color w:val="auto"/>
              </w:rPr>
            </w:pP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36,849</w:t>
            </w:r>
          </w:p>
        </w:tc>
        <w:tc>
          <w:tcPr>
            <w:tcW w:w="22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37,004</w:t>
            </w:r>
          </w:p>
        </w:tc>
      </w:tr>
      <w:tr>
        <w:trPr>
          <w:trHeight w:val="210"/>
        </w:trPr>
        <w:tc>
          <w:tcPr>
            <w:tcW w:w="7280" w:type="dxa"/>
            <w:vAlign w:val="bottom"/>
          </w:tcPr>
          <w:p>
            <w:pPr>
              <w:ind w:left="220"/>
              <w:spacing w:after="0"/>
              <w:rPr>
                <w:sz w:val="20"/>
                <w:szCs w:val="20"/>
                <w:color w:val="auto"/>
              </w:rPr>
            </w:pPr>
            <w:r>
              <w:rPr>
                <w:rFonts w:ascii="Arial" w:cs="Arial" w:eastAsia="Arial" w:hAnsi="Arial"/>
                <w:sz w:val="16"/>
                <w:szCs w:val="16"/>
                <w:color w:val="auto"/>
              </w:rPr>
              <w:t>Total accrued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244,759</w:t>
            </w:r>
          </w:p>
        </w:tc>
      </w:tr>
      <w:tr>
        <w:trPr>
          <w:trHeight w:val="21"/>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480" w:hanging="472"/>
        <w:spacing w:after="0"/>
        <w:tabs>
          <w:tab w:leader="none" w:pos="4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4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0000FF"/>
        </w:rPr>
        <w:t>Note 3</w:t>
      </w:r>
      <w:r>
        <w:rPr>
          <w:rFonts w:ascii="Arial" w:cs="Arial" w:eastAsia="Arial" w:hAnsi="Arial"/>
          <w:sz w:val="16"/>
          <w:szCs w:val="16"/>
          <w:color w:val="auto"/>
        </w:rPr>
        <w:t>, there have been no events subsequent to March 31, 2022, which would require recognition in the condensed consolidated financial statements or disclosures.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2021 Form 10-K.</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Executive Summary</w:t>
      </w:r>
    </w:p>
    <w:p>
      <w:pPr>
        <w:spacing w:after="0" w:line="2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We are a customer-focused energy solutions provider that invests in our communities’ safety, sustainability and growth with a mission of </w:t>
      </w:r>
      <w:r>
        <w:rPr>
          <w:rFonts w:ascii="Arial" w:cs="Arial" w:eastAsia="Arial" w:hAnsi="Arial"/>
          <w:sz w:val="16"/>
          <w:szCs w:val="16"/>
          <w:i w:val="1"/>
          <w:iCs w:val="1"/>
          <w:color w:val="auto"/>
        </w:rPr>
        <w:t>Improving Life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Energy </w:t>
      </w:r>
      <w:r>
        <w:rPr>
          <w:rFonts w:ascii="Arial" w:cs="Arial" w:eastAsia="Arial" w:hAnsi="Arial"/>
          <w:sz w:val="16"/>
          <w:szCs w:val="16"/>
          <w:color w:val="auto"/>
        </w:rPr>
        <w:t>and a vision to be the</w:t>
      </w:r>
      <w:r>
        <w:rPr>
          <w:rFonts w:ascii="Arial" w:cs="Arial" w:eastAsia="Arial" w:hAnsi="Arial"/>
          <w:sz w:val="16"/>
          <w:szCs w:val="16"/>
          <w:i w:val="1"/>
          <w:iCs w:val="1"/>
          <w:color w:val="auto"/>
        </w:rPr>
        <w:t xml:space="preserve"> Energy Partner of Choice</w:t>
      </w:r>
      <w:r>
        <w:rPr>
          <w:rFonts w:ascii="Arial" w:cs="Arial" w:eastAsia="Arial" w:hAnsi="Arial"/>
          <w:sz w:val="16"/>
          <w:szCs w:val="16"/>
          <w:color w:val="auto"/>
        </w:rPr>
        <w:t>. The Company’s core mission— and our primary focus — is to provide safe, reliable and cost-effective electric and natural gas service to 1.3 million utility customers in over 800 communities in eight states, including Arkansas, Colorado, Iowa, Kansas, Montana, Nebraska, South Dakota and Wyoming.</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Winter Storm Uri</w:t>
      </w:r>
    </w:p>
    <w:p>
      <w:pPr>
        <w:spacing w:after="0" w:line="262"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substantial increase in heating and energy demand and contributed to unforeseeable and unprecedented market prices for natural gas and electricity. As a result of Winter Storm Uri, we incurred significant incremental natural gas and fuel costs.</w:t>
      </w:r>
    </w:p>
    <w:p>
      <w:pPr>
        <w:spacing w:after="0" w:line="21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 xml:space="preserve">In 2021, our Utilities submitted cost recovery applications with the utility commissions in our state jurisdictions to recover incremental costs associated with Winter Storm Uri. To date, we have received final commission approval for all of our Winter Storm Uri cost recovery applications with the exception of Arkansas Gas and Wyoming Gas (which are both approved for interim cost recovery).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Condensed Consolidated Financial Statements for further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Trends</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We are monitoring emerging macroeconomic trends including inflationary pressures on the prices of commodities, materials, outside services and employee costs; supply chain constraints; and a competitive and tightening labor market. </w:t>
      </w:r>
      <w:r>
        <w:rPr>
          <w:rFonts w:ascii="Arial" w:cs="Arial" w:eastAsia="Arial" w:hAnsi="Arial"/>
          <w:sz w:val="16"/>
          <w:szCs w:val="16"/>
          <w:color w:val="212529"/>
        </w:rPr>
        <w:t>To date, we have experienced limited net impacts from these trends.</w:t>
      </w:r>
      <w:r>
        <w:rPr>
          <w:rFonts w:ascii="Arial" w:cs="Arial" w:eastAsia="Arial" w:hAnsi="Arial"/>
          <w:sz w:val="16"/>
          <w:szCs w:val="16"/>
          <w:color w:val="auto"/>
        </w:rPr>
        <w:t xml:space="preserve"> </w:t>
      </w:r>
      <w:r>
        <w:rPr>
          <w:rFonts w:ascii="Arial" w:cs="Arial" w:eastAsia="Arial" w:hAnsi="Arial"/>
          <w:sz w:val="16"/>
          <w:szCs w:val="16"/>
          <w:color w:val="212529"/>
        </w:rPr>
        <w:t>However, the situation remains fluid and it is difficult to predict.</w:t>
      </w:r>
    </w:p>
    <w:p>
      <w:pPr>
        <w:spacing w:after="0" w:line="191"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212529"/>
        </w:rPr>
        <w:t>We have seen an increase in commodity energy costs that had an effect on customer bills. Our utilities have regulatory mechanisms that allow them to pass prudently incurred costs of energy through to the customer, which mitigates our exposure. Customer billing rates are adjusted periodically to reflect changes in our cost of energy.</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212529"/>
        </w:rPr>
        <w:t>We are proactively managing through increased costs of materials and supply chain disruptions to achieve our forecasted capital investment targets. We have already contracted a significant majority of the materials needed for our 2022 capital program. We have also evaluated each of our forecasted projects and will prioritize depending on future constraints. Project delays may occur if costs rise significantly or if materials are not available.</w:t>
      </w:r>
    </w:p>
    <w:p>
      <w:pPr>
        <w:spacing w:after="0" w:line="19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212529"/>
        </w:rPr>
        <w:t>We are faced with increased competition for employee and contractor talent in the current labor market. To date, we have seen increased employee costs related to attraction and retention of talent offset by decreases in headcount compared to the prior year.</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More detailed discussion of the future uncertainties can be found in “Risk Factors” section in Part I, Item 1A of our 2021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248" w:lineRule="exact"/>
        <w:rPr>
          <w:sz w:val="20"/>
          <w:szCs w:val="20"/>
          <w:color w:val="auto"/>
        </w:rPr>
      </w:pPr>
    </w:p>
    <w:p>
      <w:pPr>
        <w:ind w:left="660" w:right="60" w:hanging="328"/>
        <w:spacing w:after="0" w:line="304"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February 23, 2022, Wyoming Electric set a new winter peak load of 262 MW, surpassing the previous winter peak of 252 MW set on January 5, 2022.</w:t>
      </w:r>
    </w:p>
    <w:p>
      <w:pPr>
        <w:spacing w:after="0" w:line="168" w:lineRule="exact"/>
        <w:rPr>
          <w:rFonts w:ascii="Arial" w:cs="Arial" w:eastAsia="Arial" w:hAnsi="Arial"/>
          <w:sz w:val="16"/>
          <w:szCs w:val="16"/>
          <w:color w:val="auto"/>
        </w:rPr>
      </w:pPr>
    </w:p>
    <w:p>
      <w:pPr>
        <w:ind w:left="660" w:right="140" w:hanging="328"/>
        <w:spacing w:after="0" w:line="26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On February 15, 2022, Wyoming Electric submitted a request to the WPSC seeking approval for a CPCN to construct an estimated 260-mile transmission expansion project. As proposed, the approximately $260 million transmission expansion project, known as </w:t>
      </w:r>
      <w:r>
        <w:rPr>
          <w:rFonts w:ascii="Arial" w:cs="Arial" w:eastAsia="Arial" w:hAnsi="Arial"/>
          <w:sz w:val="16"/>
          <w:szCs w:val="16"/>
          <w:i w:val="1"/>
          <w:iCs w:val="1"/>
          <w:color w:val="auto"/>
        </w:rPr>
        <w:t>Ready Wyoming</w:t>
      </w:r>
      <w:r>
        <w:rPr>
          <w:rFonts w:ascii="Arial" w:cs="Arial" w:eastAsia="Arial" w:hAnsi="Arial"/>
          <w:sz w:val="16"/>
          <w:szCs w:val="16"/>
          <w:color w:val="auto"/>
        </w:rPr>
        <w:t>, would provide customers long-term price stability and greater flexibility as power markets develop in the Western States. If approved, construction of the project would take place in multiple phases or segments spanning 2023 through 2025 and would interconnect South Dakota Electric’s and Wyoming Electric’s transmission systems.</w:t>
      </w:r>
    </w:p>
    <w:p>
      <w:pPr>
        <w:sectPr>
          <w:pgSz w:w="11900" w:h="16838" w:orient="portrait"/>
          <w:cols w:equalWidth="0" w:num="1">
            <w:col w:w="11200"/>
          </w:cols>
          <w:pgMar w:left="320" w:top="125" w:right="379" w:bottom="1440" w:gutter="0" w:footer="0" w:header="0"/>
        </w:sect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right="6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January 26, 2022, Colorado Electric agreed to join SPP’s Western Energy Imbalance Service Market. Colorado Electric will join the market in April 2023 and will continue to study long-term solutions for joining or developing an organized wholesale market. The expansion allows the utilities to participate in a real-time market to dispatch energy at lower costs.</w:t>
      </w:r>
    </w:p>
    <w:p>
      <w:pPr>
        <w:spacing w:after="0" w:line="191"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January 2022, South Dakota Electric placed in service a $19 million, 54-mile, 230 kV electric transmission line from Rapid City to Spearfish, South Dakota. The second leg of this transmission line rebuild project, an 85-mile segment from Spearfish to Gillette, Wyoming, is expected to be in service by the end of 2023.</w:t>
      </w:r>
    </w:p>
    <w:p>
      <w:pPr>
        <w:spacing w:after="0" w:line="191" w:lineRule="exact"/>
        <w:rPr>
          <w:rFonts w:ascii="Arial" w:cs="Arial" w:eastAsia="Arial" w:hAnsi="Arial"/>
          <w:sz w:val="16"/>
          <w:szCs w:val="16"/>
          <w:color w:val="auto"/>
        </w:rPr>
      </w:pPr>
    </w:p>
    <w:p>
      <w:pPr>
        <w:ind w:left="660" w:right="60" w:hanging="328"/>
        <w:spacing w:after="0" w:line="27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January 5, 2022, South Dakota Electric and Wyoming Electric set new winter peak loads. Wyoming Electric’s new winter peak load of 252 MW surpasses the previous peak of 247 MW set in December 2019. South Dakota Electric’s new winter peak of 327 MW surpasses the previous winter peak of 326 MW set in February 2021.</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248" w:lineRule="exact"/>
        <w:rPr>
          <w:sz w:val="20"/>
          <w:szCs w:val="20"/>
          <w:color w:val="auto"/>
        </w:rPr>
      </w:pPr>
    </w:p>
    <w:p>
      <w:pPr>
        <w:ind w:right="1800" w:firstLine="332"/>
        <w:spacing w:after="0" w:line="572" w:lineRule="auto"/>
        <w:tabs>
          <w:tab w:leader="none" w:pos="6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Condensed Consolidated Financial Statements for recent rate review activity for Arkansas Gas. </w:t>
      </w:r>
      <w:r>
        <w:rPr>
          <w:rFonts w:ascii="Arial" w:cs="Arial" w:eastAsia="Arial" w:hAnsi="Arial"/>
          <w:sz w:val="16"/>
          <w:szCs w:val="16"/>
          <w:u w:val="single" w:color="auto"/>
          <w:color w:val="auto"/>
        </w:rPr>
        <w:t>Corporate and Other</w:t>
      </w:r>
    </w:p>
    <w:p>
      <w:pPr>
        <w:ind w:left="660" w:right="160" w:hanging="328"/>
        <w:spacing w:after="0" w:line="260"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2.3-million-acre concession award in Costa Rica which was acquired by a BHC subsidiary in 2003. We believe we have meritorious defenses to the verdict and intend to appeal the verdict. See additional information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Results of Operations</w:t>
      </w:r>
    </w:p>
    <w:p>
      <w:pPr>
        <w:spacing w:after="0" w:line="24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months ended March 31, 2022 and 2021, and our financial condition as of March 31, 2022 and December 31, 2021, are not necessarily indicative of the results of operations and financial condition to be expected as of or for any other period or for the entire year.</w:t>
      </w:r>
    </w:p>
    <w:p>
      <w:pPr>
        <w:spacing w:after="0" w:line="20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In the fourth quarter of 2021, we integrated our power generation and mining businesses within the Electric Utilities segment. The alignment is consistent with the current way our CODM evaluates the performance of the business and makes decisions related to the allocation of resources. Comparative periods presented reflect this change. See further segment information in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of the Notes to Condensed Consolidated Financial Statements.</w:t>
      </w:r>
    </w:p>
    <w:p>
      <w:pPr>
        <w:spacing w:after="0" w:line="205"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Segment information does not include inter-company eliminations and all amounts are presented on a pre-tax basis unless otherwise indicated. Minor differences in amounts may result due to rounding.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58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796"/>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4"/>
        </w:trPr>
        <w:tc>
          <w:tcPr>
            <w:tcW w:w="13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2"/>
          </w:tcPr>
          <w:p>
            <w:pPr>
              <w:jc w:val="right"/>
              <w:ind w:right="559"/>
              <w:spacing w:after="0"/>
              <w:rPr>
                <w:sz w:val="20"/>
                <w:szCs w:val="20"/>
                <w:color w:val="auto"/>
              </w:rPr>
            </w:pPr>
            <w:r>
              <w:rPr>
                <w:rFonts w:ascii="Arial" w:cs="Arial" w:eastAsia="Arial" w:hAnsi="Arial"/>
                <w:sz w:val="16"/>
                <w:szCs w:val="16"/>
                <w:color w:val="auto"/>
              </w:rPr>
              <w:t>Three Months Ended March 31,</w:t>
            </w:r>
          </w:p>
        </w:tc>
        <w:tc>
          <w:tcPr>
            <w:tcW w:w="92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2021</w:t>
            </w:r>
          </w:p>
        </w:tc>
        <w:tc>
          <w:tcPr>
            <w:tcW w:w="920" w:type="dxa"/>
            <w:vAlign w:val="bottom"/>
            <w:tcBorders>
              <w:bottom w:val="single" w:sz="8" w:color="auto"/>
            </w:tcBorders>
          </w:tcPr>
          <w:p>
            <w:pPr>
              <w:spacing w:after="0"/>
              <w:rPr>
                <w:sz w:val="18"/>
                <w:szCs w:val="18"/>
                <w:color w:val="auto"/>
              </w:rPr>
            </w:pPr>
          </w:p>
        </w:tc>
      </w:tr>
      <w:tr>
        <w:trPr>
          <w:trHeight w:val="210"/>
        </w:trPr>
        <w:tc>
          <w:tcPr>
            <w:tcW w:w="1360" w:type="dxa"/>
            <w:vAlign w:val="bottom"/>
            <w:tcBorders>
              <w:bottom w:val="single" w:sz="8" w:color="CEFFE7"/>
            </w:tcBorders>
          </w:tcPr>
          <w:p>
            <w:pPr>
              <w:spacing w:after="0"/>
              <w:rPr>
                <w:sz w:val="18"/>
                <w:szCs w:val="18"/>
                <w:color w:val="auto"/>
              </w:rPr>
            </w:pPr>
          </w:p>
        </w:tc>
        <w:tc>
          <w:tcPr>
            <w:tcW w:w="4500" w:type="dxa"/>
            <w:vAlign w:val="bottom"/>
            <w:tcBorders>
              <w:bottom w:val="single" w:sz="8" w:color="CEFFE7"/>
            </w:tcBorders>
          </w:tcPr>
          <w:p>
            <w:pPr>
              <w:spacing w:after="0"/>
              <w:rPr>
                <w:sz w:val="18"/>
                <w:szCs w:val="18"/>
                <w:color w:val="auto"/>
              </w:rPr>
            </w:pPr>
          </w:p>
        </w:tc>
        <w:tc>
          <w:tcPr>
            <w:tcW w:w="44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color w:val="auto"/>
              </w:rPr>
              <w:t>(in thousands, except per share amounts)</w:t>
            </w:r>
          </w:p>
        </w:tc>
        <w:tc>
          <w:tcPr>
            <w:tcW w:w="920" w:type="dxa"/>
            <w:vAlign w:val="bottom"/>
            <w:tcBorders>
              <w:bottom w:val="single" w:sz="8" w:color="auto"/>
            </w:tcBorders>
          </w:tcPr>
          <w:p>
            <w:pPr>
              <w:spacing w:after="0"/>
              <w:rPr>
                <w:sz w:val="18"/>
                <w:szCs w:val="18"/>
                <w:color w:val="auto"/>
              </w:rPr>
            </w:pPr>
          </w:p>
        </w:tc>
      </w:tr>
      <w:tr>
        <w:trPr>
          <w:trHeight w:val="197"/>
        </w:trPr>
        <w:tc>
          <w:tcPr>
            <w:tcW w:w="58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 (loss):</w:t>
            </w:r>
          </w:p>
        </w:tc>
        <w:tc>
          <w:tcPr>
            <w:tcW w:w="15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178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r>
      <w:tr>
        <w:trPr>
          <w:trHeight w:val="215"/>
        </w:trPr>
        <w:tc>
          <w:tcPr>
            <w:tcW w:w="5860" w:type="dxa"/>
            <w:vAlign w:val="bottom"/>
            <w:gridSpan w:val="2"/>
          </w:tcPr>
          <w:p>
            <w:pPr>
              <w:ind w:left="140"/>
              <w:spacing w:after="0"/>
              <w:rPr>
                <w:sz w:val="20"/>
                <w:szCs w:val="20"/>
                <w:color w:val="auto"/>
              </w:rPr>
            </w:pPr>
            <w:r>
              <w:rPr>
                <w:rFonts w:ascii="Arial" w:cs="Arial" w:eastAsia="Arial" w:hAnsi="Arial"/>
                <w:sz w:val="16"/>
                <w:szCs w:val="16"/>
                <w:color w:val="auto"/>
              </w:rPr>
              <w:t>Electric Utilities</w:t>
            </w:r>
          </w:p>
        </w:tc>
        <w:tc>
          <w:tcPr>
            <w:tcW w:w="1540" w:type="dxa"/>
            <w:vAlign w:val="bottom"/>
          </w:tcPr>
          <w:p>
            <w:pPr>
              <w:jc w:val="right"/>
              <w:ind w:right="1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50,746</w:t>
            </w:r>
          </w:p>
        </w:tc>
        <w:tc>
          <w:tcPr>
            <w:tcW w:w="1780" w:type="dxa"/>
            <w:vAlign w:val="bottom"/>
          </w:tcPr>
          <w:p>
            <w:pPr>
              <w:jc w:val="right"/>
              <w:ind w:right="15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39,343</w:t>
            </w:r>
          </w:p>
        </w:tc>
      </w:tr>
      <w:tr>
        <w:trPr>
          <w:trHeight w:val="217"/>
        </w:trPr>
        <w:tc>
          <w:tcPr>
            <w:tcW w:w="586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Gas Utilities</w:t>
            </w:r>
          </w:p>
        </w:tc>
        <w:tc>
          <w:tcPr>
            <w:tcW w:w="15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123,540</w:t>
            </w:r>
          </w:p>
        </w:tc>
        <w:tc>
          <w:tcPr>
            <w:tcW w:w="178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102,094</w:t>
            </w:r>
          </w:p>
        </w:tc>
      </w:tr>
      <w:tr>
        <w:trPr>
          <w:trHeight w:val="215"/>
        </w:trPr>
        <w:tc>
          <w:tcPr>
            <w:tcW w:w="586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Corporate and Other</w:t>
            </w:r>
          </w:p>
        </w:tc>
        <w:tc>
          <w:tcPr>
            <w:tcW w:w="1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(3,122)</w:t>
            </w:r>
          </w:p>
        </w:tc>
      </w:tr>
      <w:tr>
        <w:trPr>
          <w:trHeight w:val="210"/>
        </w:trPr>
        <w:tc>
          <w:tcPr>
            <w:tcW w:w="58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5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173,353</w:t>
            </w:r>
          </w:p>
        </w:tc>
        <w:tc>
          <w:tcPr>
            <w:tcW w:w="17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138,315</w:t>
            </w:r>
          </w:p>
        </w:tc>
      </w:tr>
      <w:tr>
        <w:trPr>
          <w:trHeight w:val="237"/>
        </w:trPr>
        <w:tc>
          <w:tcPr>
            <w:tcW w:w="13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58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5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(38,545)</w:t>
            </w:r>
          </w:p>
        </w:tc>
        <w:tc>
          <w:tcPr>
            <w:tcW w:w="178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(37,600)</w:t>
            </w:r>
          </w:p>
        </w:tc>
      </w:tr>
      <w:tr>
        <w:trPr>
          <w:trHeight w:val="215"/>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1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704</w:t>
            </w:r>
          </w:p>
        </w:tc>
        <w:tc>
          <w:tcPr>
            <w:tcW w:w="1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17"/>
        </w:trPr>
        <w:tc>
          <w:tcPr>
            <w:tcW w:w="58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15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(14,488)</w:t>
            </w:r>
          </w:p>
        </w:tc>
        <w:tc>
          <w:tcPr>
            <w:tcW w:w="17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(494)</w:t>
            </w: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121,024</w:t>
            </w:r>
          </w:p>
        </w:tc>
        <w:tc>
          <w:tcPr>
            <w:tcW w:w="1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100,487</w:t>
            </w:r>
          </w:p>
        </w:tc>
      </w:tr>
      <w:tr>
        <w:trPr>
          <w:trHeight w:val="216"/>
        </w:trPr>
        <w:tc>
          <w:tcPr>
            <w:tcW w:w="58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5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(3,498)</w:t>
            </w:r>
          </w:p>
        </w:tc>
        <w:tc>
          <w:tcPr>
            <w:tcW w:w="17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(4,171)</w:t>
            </w:r>
          </w:p>
        </w:tc>
      </w:tr>
      <w:tr>
        <w:trPr>
          <w:trHeight w:val="210"/>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w:t>
            </w:r>
          </w:p>
        </w:tc>
        <w:tc>
          <w:tcPr>
            <w:tcW w:w="154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117,526</w:t>
            </w:r>
          </w:p>
        </w:tc>
        <w:tc>
          <w:tcPr>
            <w:tcW w:w="1780" w:type="dxa"/>
            <w:vAlign w:val="bottom"/>
            <w:tcBorders>
              <w:bottom w:val="single" w:sz="8" w:color="auto"/>
            </w:tcBorders>
          </w:tcPr>
          <w:p>
            <w:pPr>
              <w:jc w:val="right"/>
              <w:ind w:right="15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96,316</w:t>
            </w:r>
          </w:p>
        </w:tc>
      </w:tr>
      <w:tr>
        <w:trPr>
          <w:trHeight w:val="20"/>
        </w:trPr>
        <w:tc>
          <w:tcPr>
            <w:tcW w:w="1360" w:type="dxa"/>
            <w:vAlign w:val="bottom"/>
            <w:tcBorders>
              <w:bottom w:val="single" w:sz="8" w:color="CEFFE7"/>
            </w:tcBorders>
          </w:tcPr>
          <w:p>
            <w:pPr>
              <w:spacing w:after="0" w:line="20" w:lineRule="exact"/>
              <w:rPr>
                <w:sz w:val="1"/>
                <w:szCs w:val="1"/>
                <w:color w:val="auto"/>
              </w:rPr>
            </w:pPr>
          </w:p>
        </w:tc>
        <w:tc>
          <w:tcPr>
            <w:tcW w:w="4500" w:type="dxa"/>
            <w:vAlign w:val="bottom"/>
            <w:tcBorders>
              <w:bottom w:val="single" w:sz="8" w:color="CEFFE7"/>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1360" w:type="dxa"/>
            <w:vAlign w:val="bottom"/>
            <w:shd w:val="clear" w:color="auto" w:fill="CEFFE7"/>
          </w:tcPr>
          <w:p>
            <w:pPr>
              <w:spacing w:after="0"/>
              <w:rPr>
                <w:sz w:val="20"/>
                <w:szCs w:val="20"/>
                <w:color w:val="auto"/>
              </w:rPr>
            </w:pPr>
          </w:p>
        </w:tc>
        <w:tc>
          <w:tcPr>
            <w:tcW w:w="4500" w:type="dxa"/>
            <w:vAlign w:val="bottom"/>
            <w:shd w:val="clear" w:color="auto" w:fill="CEFFE7"/>
          </w:tcPr>
          <w:p>
            <w:pPr>
              <w:spacing w:after="0"/>
              <w:rPr>
                <w:sz w:val="20"/>
                <w:szCs w:val="20"/>
                <w:color w:val="auto"/>
              </w:rPr>
            </w:pPr>
          </w:p>
        </w:tc>
        <w:tc>
          <w:tcPr>
            <w:tcW w:w="154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178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154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780" w:type="dxa"/>
            <w:vAlign w:val="bottom"/>
            <w:tcBorders>
              <w:bottom w:val="single" w:sz="8" w:color="auto"/>
            </w:tcBorders>
          </w:tcPr>
          <w:p>
            <w:pPr>
              <w:jc w:val="right"/>
              <w:ind w:right="15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13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Three Months Ended March 31, 2022 Compared to Three Months Ended March 31, 2021</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ind w:left="660" w:right="80" w:hanging="328"/>
        <w:spacing w:after="0" w:line="26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Electric Utilities’ operating income increased $11 million primarily due to prior year impacts related to Colorado Electric’s TCJA-related bill credits to customers (which were offset by reduced income tax expense), increased off-system energy sales, and prior year impacts related to Winter Storm Uri partially offset by higher operating expenses;</w:t>
      </w:r>
    </w:p>
    <w:p>
      <w:pPr>
        <w:spacing w:after="0" w:line="1" w:lineRule="exact"/>
        <w:rPr>
          <w:rFonts w:ascii="Arial" w:cs="Arial" w:eastAsia="Arial" w:hAnsi="Arial"/>
          <w:sz w:val="16"/>
          <w:szCs w:val="16"/>
          <w:color w:val="auto"/>
        </w:rPr>
      </w:pPr>
    </w:p>
    <w:p>
      <w:pPr>
        <w:jc w:val="both"/>
        <w:ind w:left="660" w:right="520" w:hanging="328"/>
        <w:spacing w:after="0" w:line="249"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Gas Utilities’ operating income increased $21 million primarily due to new rates and rider recovery, prior year impacts from Winter Storm Uri, favorable mark-to-market adjustments on wholesale commodity contracts and customer growth partially offset by higher operating expenses;</w:t>
      </w:r>
    </w:p>
    <w:p>
      <w:pPr>
        <w:ind w:left="660" w:right="300" w:hanging="328"/>
        <w:spacing w:after="0" w:line="25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Corporate and Other expenses decreased $2.2 million primarily due to an allocation of a 2020 employee cost true-up in the first quarter of 2021, which was offset in our business segments;</w:t>
      </w: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Interest expense increased $0.9 million due to higher debt balances; and</w:t>
      </w:r>
    </w:p>
    <w:p>
      <w:pPr>
        <w:spacing w:after="0" w:line="14" w:lineRule="exact"/>
        <w:rPr>
          <w:rFonts w:ascii="Arial" w:cs="Arial" w:eastAsia="Arial" w:hAnsi="Arial"/>
          <w:sz w:val="16"/>
          <w:szCs w:val="16"/>
          <w:color w:val="auto"/>
        </w:rPr>
      </w:pPr>
    </w:p>
    <w:p>
      <w:pPr>
        <w:ind w:left="660" w:right="620" w:hanging="328"/>
        <w:spacing w:after="0" w:line="270" w:lineRule="auto"/>
        <w:tabs>
          <w:tab w:leader="none" w:pos="649"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Income tax expense increased $14 million driven by higher pre-tax income and a higher effective tax rate due to prior year tax benefits from Colorado Electric TCJA-related bill credits.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26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21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Electric Utilities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24"/>
        </w:trPr>
        <w:tc>
          <w:tcPr>
            <w:tcW w:w="5420" w:type="dxa"/>
            <w:vAlign w:val="bottom"/>
            <w:gridSpan w:val="2"/>
          </w:tcPr>
          <w:p>
            <w:pPr>
              <w:spacing w:after="0"/>
              <w:rPr>
                <w:sz w:val="20"/>
                <w:szCs w:val="20"/>
                <w:color w:val="auto"/>
              </w:rPr>
            </w:pPr>
            <w:r>
              <w:rPr>
                <w:rFonts w:ascii="Arial" w:cs="Arial" w:eastAsia="Arial" w:hAnsi="Arial"/>
                <w:sz w:val="16"/>
                <w:szCs w:val="16"/>
                <w:color w:val="auto"/>
              </w:rPr>
              <w:t>Operating results for the Electric Utilities were as follows (in thousands):</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86"/>
        </w:trPr>
        <w:tc>
          <w:tcPr>
            <w:tcW w:w="15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5"/>
          </w:tcPr>
          <w:p>
            <w:pPr>
              <w:jc w:val="center"/>
              <w:ind w:left="259"/>
              <w:spacing w:after="0"/>
              <w:rPr>
                <w:sz w:val="20"/>
                <w:szCs w:val="20"/>
                <w:color w:val="auto"/>
              </w:rPr>
            </w:pPr>
            <w:r>
              <w:rPr>
                <w:rFonts w:ascii="Arial" w:cs="Arial" w:eastAsia="Arial" w:hAnsi="Arial"/>
                <w:sz w:val="16"/>
                <w:szCs w:val="16"/>
                <w:color w:val="auto"/>
              </w:rPr>
              <w:t>Three Months Ended March 31,</w:t>
            </w:r>
          </w:p>
        </w:tc>
        <w:tc>
          <w:tcPr>
            <w:tcW w:w="1640" w:type="dxa"/>
            <w:vAlign w:val="bottom"/>
          </w:tcPr>
          <w:p>
            <w:pPr>
              <w:spacing w:after="0"/>
              <w:rPr>
                <w:sz w:val="24"/>
                <w:szCs w:val="24"/>
                <w:color w:val="auto"/>
              </w:rPr>
            </w:pPr>
          </w:p>
        </w:tc>
      </w:tr>
      <w:tr>
        <w:trPr>
          <w:trHeight w:val="217"/>
        </w:trPr>
        <w:tc>
          <w:tcPr>
            <w:tcW w:w="15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Variance</w:t>
            </w:r>
          </w:p>
        </w:tc>
      </w:tr>
      <w:tr>
        <w:trPr>
          <w:trHeight w:val="251"/>
        </w:trPr>
        <w:tc>
          <w:tcPr>
            <w:tcW w:w="15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16"/>
        </w:trPr>
        <w:tc>
          <w:tcPr>
            <w:tcW w:w="5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600" w:type="dxa"/>
            <w:vAlign w:val="bottom"/>
            <w:shd w:val="clear" w:color="auto" w:fill="CEFFE7"/>
          </w:tcPr>
          <w:p>
            <w:pPr>
              <w:spacing w:after="0"/>
              <w:rPr>
                <w:sz w:val="18"/>
                <w:szCs w:val="18"/>
                <w:color w:val="auto"/>
              </w:rPr>
            </w:pPr>
          </w:p>
        </w:tc>
        <w:tc>
          <w:tcPr>
            <w:tcW w:w="48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640" w:type="dxa"/>
            <w:vAlign w:val="bottom"/>
            <w:shd w:val="clear" w:color="auto" w:fill="CEFFE7"/>
          </w:tcPr>
          <w:p>
            <w:pPr>
              <w:spacing w:after="0"/>
              <w:rPr>
                <w:sz w:val="18"/>
                <w:szCs w:val="18"/>
                <w:color w:val="auto"/>
              </w:rPr>
            </w:pP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Electric - regulated</w:t>
            </w:r>
          </w:p>
        </w:tc>
        <w:tc>
          <w:tcPr>
            <w:tcW w:w="1220" w:type="dxa"/>
            <w:vAlign w:val="bottom"/>
          </w:tcPr>
          <w:p>
            <w:pPr>
              <w:jc w:val="right"/>
              <w:ind w:right="10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195,725</w:t>
            </w:r>
          </w:p>
        </w:tc>
        <w:tc>
          <w:tcPr>
            <w:tcW w:w="4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223,096</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(27,371)</w:t>
            </w:r>
          </w:p>
        </w:tc>
      </w:tr>
      <w:tr>
        <w:trPr>
          <w:trHeight w:val="217"/>
        </w:trPr>
        <w:tc>
          <w:tcPr>
            <w:tcW w:w="542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Other - non-regulated</w:t>
            </w:r>
          </w:p>
        </w:tc>
        <w:tc>
          <w:tcPr>
            <w:tcW w:w="1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10,813</w:t>
            </w:r>
          </w:p>
        </w:tc>
        <w:tc>
          <w:tcPr>
            <w:tcW w:w="48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12,308</w:t>
            </w:r>
          </w:p>
        </w:tc>
        <w:tc>
          <w:tcPr>
            <w:tcW w:w="340" w:type="dxa"/>
            <w:vAlign w:val="bottom"/>
            <w:tcBorders>
              <w:bottom w:val="single" w:sz="8" w:color="auto"/>
            </w:tcBorders>
            <w:shd w:val="clear" w:color="auto" w:fill="CEFFE7"/>
          </w:tcPr>
          <w:p>
            <w:pPr>
              <w:spacing w:after="0"/>
              <w:rPr>
                <w:sz w:val="18"/>
                <w:szCs w:val="18"/>
                <w:color w:val="auto"/>
              </w:rPr>
            </w:pPr>
          </w:p>
        </w:tc>
        <w:tc>
          <w:tcPr>
            <w:tcW w:w="1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(1,495)</w:t>
            </w:r>
          </w:p>
        </w:tc>
      </w:tr>
      <w:tr>
        <w:trPr>
          <w:trHeight w:val="209"/>
        </w:trPr>
        <w:tc>
          <w:tcPr>
            <w:tcW w:w="5420" w:type="dxa"/>
            <w:vAlign w:val="bottom"/>
            <w:tcBorders>
              <w:bottom w:val="single" w:sz="8" w:color="CEFFE7"/>
            </w:tcBorders>
            <w:gridSpan w:val="2"/>
          </w:tcPr>
          <w:p>
            <w:pPr>
              <w:ind w:left="240"/>
              <w:spacing w:after="0"/>
              <w:rPr>
                <w:sz w:val="20"/>
                <w:szCs w:val="20"/>
                <w:color w:val="auto"/>
              </w:rPr>
            </w:pPr>
            <w:r>
              <w:rPr>
                <w:rFonts w:ascii="Arial" w:cs="Arial" w:eastAsia="Arial" w:hAnsi="Arial"/>
                <w:sz w:val="16"/>
                <w:szCs w:val="16"/>
                <w:color w:val="auto"/>
              </w:rPr>
              <w:t>Total revenue</w:t>
            </w: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206,538</w:t>
            </w: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235,404</w:t>
            </w: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(28,866)</w:t>
            </w:r>
          </w:p>
        </w:tc>
      </w:tr>
      <w:tr>
        <w:trPr>
          <w:trHeight w:val="251"/>
        </w:trPr>
        <w:tc>
          <w:tcPr>
            <w:tcW w:w="1520" w:type="dxa"/>
            <w:vAlign w:val="bottom"/>
            <w:shd w:val="clear" w:color="auto" w:fill="CEFFE7"/>
          </w:tcPr>
          <w:p>
            <w:pPr>
              <w:spacing w:after="0"/>
              <w:rPr>
                <w:sz w:val="21"/>
                <w:szCs w:val="21"/>
                <w:color w:val="auto"/>
              </w:rPr>
            </w:pPr>
          </w:p>
        </w:tc>
        <w:tc>
          <w:tcPr>
            <w:tcW w:w="3900" w:type="dxa"/>
            <w:vAlign w:val="bottom"/>
            <w:shd w:val="clear" w:color="auto" w:fill="CEFFE7"/>
          </w:tcPr>
          <w:p>
            <w:pPr>
              <w:spacing w:after="0"/>
              <w:rPr>
                <w:sz w:val="21"/>
                <w:szCs w:val="21"/>
                <w:color w:val="auto"/>
              </w:rPr>
            </w:pPr>
          </w:p>
        </w:tc>
        <w:tc>
          <w:tcPr>
            <w:tcW w:w="122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600" w:type="dxa"/>
            <w:vAlign w:val="bottom"/>
            <w:shd w:val="clear" w:color="auto" w:fill="CEFFE7"/>
          </w:tcPr>
          <w:p>
            <w:pPr>
              <w:spacing w:after="0"/>
              <w:rPr>
                <w:sz w:val="21"/>
                <w:szCs w:val="21"/>
                <w:color w:val="auto"/>
              </w:rPr>
            </w:pPr>
          </w:p>
        </w:tc>
        <w:tc>
          <w:tcPr>
            <w:tcW w:w="480" w:type="dxa"/>
            <w:vAlign w:val="bottom"/>
            <w:shd w:val="clear" w:color="auto" w:fill="CEFFE7"/>
          </w:tcPr>
          <w:p>
            <w:pPr>
              <w:spacing w:after="0"/>
              <w:rPr>
                <w:sz w:val="21"/>
                <w:szCs w:val="21"/>
                <w:color w:val="auto"/>
              </w:rPr>
            </w:pPr>
          </w:p>
        </w:tc>
        <w:tc>
          <w:tcPr>
            <w:tcW w:w="124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1640" w:type="dxa"/>
            <w:vAlign w:val="bottom"/>
            <w:shd w:val="clear" w:color="auto" w:fill="CEFFE7"/>
          </w:tcPr>
          <w:p>
            <w:pPr>
              <w:spacing w:after="0"/>
              <w:rPr>
                <w:sz w:val="21"/>
                <w:szCs w:val="21"/>
                <w:color w:val="auto"/>
              </w:rPr>
            </w:pP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Cost of fuel and purchased power:</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7"/>
        </w:trPr>
        <w:tc>
          <w:tcPr>
            <w:tcW w:w="542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Electric - regulated</w:t>
            </w:r>
          </w:p>
        </w:tc>
        <w:tc>
          <w:tcPr>
            <w:tcW w:w="1220" w:type="dxa"/>
            <w:vAlign w:val="bottom"/>
            <w:shd w:val="clear" w:color="auto" w:fill="CEFFE7"/>
          </w:tcPr>
          <w:p>
            <w:pPr>
              <w:spacing w:after="0"/>
              <w:rPr>
                <w:sz w:val="18"/>
                <w:szCs w:val="18"/>
                <w:color w:val="auto"/>
              </w:rPr>
            </w:pPr>
          </w:p>
        </w:tc>
        <w:tc>
          <w:tcPr>
            <w:tcW w:w="6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51,479</w:t>
            </w:r>
          </w:p>
        </w:tc>
        <w:tc>
          <w:tcPr>
            <w:tcW w:w="480" w:type="dxa"/>
            <w:vAlign w:val="bottom"/>
            <w:shd w:val="clear" w:color="auto" w:fill="CEFFE7"/>
          </w:tcPr>
          <w:p>
            <w:pPr>
              <w:spacing w:after="0"/>
              <w:rPr>
                <w:sz w:val="18"/>
                <w:szCs w:val="18"/>
                <w:color w:val="auto"/>
              </w:rPr>
            </w:pPr>
          </w:p>
        </w:tc>
        <w:tc>
          <w:tcPr>
            <w:tcW w:w="14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99,469</w:t>
            </w:r>
          </w:p>
        </w:tc>
        <w:tc>
          <w:tcPr>
            <w:tcW w:w="340" w:type="dxa"/>
            <w:vAlign w:val="bottom"/>
            <w:shd w:val="clear" w:color="auto" w:fill="CEFFE7"/>
          </w:tcPr>
          <w:p>
            <w:pPr>
              <w:spacing w:after="0"/>
              <w:rPr>
                <w:sz w:val="18"/>
                <w:szCs w:val="18"/>
                <w:color w:val="auto"/>
              </w:rPr>
            </w:pP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(47,990)</w:t>
            </w:r>
          </w:p>
        </w:tc>
      </w:tr>
      <w:tr>
        <w:trPr>
          <w:trHeight w:val="215"/>
        </w:trPr>
        <w:tc>
          <w:tcPr>
            <w:tcW w:w="542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Other - non-regulated</w:t>
            </w: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931</w:t>
            </w: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830</w:t>
            </w: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09"/>
        </w:trPr>
        <w:tc>
          <w:tcPr>
            <w:tcW w:w="542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Total cost of fuel and purchased power</w:t>
            </w:r>
          </w:p>
        </w:tc>
        <w:tc>
          <w:tcPr>
            <w:tcW w:w="1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52,410</w:t>
            </w:r>
          </w:p>
        </w:tc>
        <w:tc>
          <w:tcPr>
            <w:tcW w:w="48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100,299</w:t>
            </w:r>
          </w:p>
        </w:tc>
        <w:tc>
          <w:tcPr>
            <w:tcW w:w="340" w:type="dxa"/>
            <w:vAlign w:val="bottom"/>
            <w:tcBorders>
              <w:bottom w:val="single" w:sz="8" w:color="auto"/>
            </w:tcBorders>
            <w:shd w:val="clear" w:color="auto" w:fill="CEFFE7"/>
          </w:tcPr>
          <w:p>
            <w:pPr>
              <w:spacing w:after="0"/>
              <w:rPr>
                <w:sz w:val="18"/>
                <w:szCs w:val="18"/>
                <w:color w:val="auto"/>
              </w:rPr>
            </w:pPr>
          </w:p>
        </w:tc>
        <w:tc>
          <w:tcPr>
            <w:tcW w:w="1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(47,889)</w:t>
            </w:r>
          </w:p>
        </w:tc>
      </w:tr>
      <w:tr>
        <w:trPr>
          <w:trHeight w:val="251"/>
        </w:trPr>
        <w:tc>
          <w:tcPr>
            <w:tcW w:w="1520" w:type="dxa"/>
            <w:vAlign w:val="bottom"/>
            <w:tcBorders>
              <w:bottom w:val="single" w:sz="8" w:color="CEFFE7"/>
            </w:tcBorders>
          </w:tcPr>
          <w:p>
            <w:pPr>
              <w:spacing w:after="0"/>
              <w:rPr>
                <w:sz w:val="21"/>
                <w:szCs w:val="21"/>
                <w:color w:val="auto"/>
              </w:rPr>
            </w:pPr>
          </w:p>
        </w:tc>
        <w:tc>
          <w:tcPr>
            <w:tcW w:w="3900" w:type="dxa"/>
            <w:vAlign w:val="bottom"/>
            <w:tcBorders>
              <w:bottom w:val="single" w:sz="8" w:color="CEFFE7"/>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09"/>
        </w:trPr>
        <w:tc>
          <w:tcPr>
            <w:tcW w:w="5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Electric Utility margin (non-GAAP)</w:t>
            </w:r>
          </w:p>
        </w:tc>
        <w:tc>
          <w:tcPr>
            <w:tcW w:w="1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154,128</w:t>
            </w:r>
          </w:p>
        </w:tc>
        <w:tc>
          <w:tcPr>
            <w:tcW w:w="48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135,105</w:t>
            </w:r>
          </w:p>
        </w:tc>
        <w:tc>
          <w:tcPr>
            <w:tcW w:w="340" w:type="dxa"/>
            <w:vAlign w:val="bottom"/>
            <w:tcBorders>
              <w:bottom w:val="single" w:sz="8" w:color="auto"/>
            </w:tcBorders>
            <w:shd w:val="clear" w:color="auto" w:fill="CEFFE7"/>
          </w:tcPr>
          <w:p>
            <w:pPr>
              <w:spacing w:after="0"/>
              <w:rPr>
                <w:sz w:val="18"/>
                <w:szCs w:val="18"/>
                <w:color w:val="auto"/>
              </w:rPr>
            </w:pPr>
          </w:p>
        </w:tc>
        <w:tc>
          <w:tcPr>
            <w:tcW w:w="1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19,023</w:t>
            </w:r>
          </w:p>
        </w:tc>
      </w:tr>
      <w:tr>
        <w:trPr>
          <w:trHeight w:val="251"/>
        </w:trPr>
        <w:tc>
          <w:tcPr>
            <w:tcW w:w="15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16"/>
        </w:trPr>
        <w:tc>
          <w:tcPr>
            <w:tcW w:w="5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1220" w:type="dxa"/>
            <w:vAlign w:val="bottom"/>
            <w:shd w:val="clear" w:color="auto" w:fill="CEFFE7"/>
          </w:tcPr>
          <w:p>
            <w:pPr>
              <w:spacing w:after="0"/>
              <w:rPr>
                <w:sz w:val="18"/>
                <w:szCs w:val="18"/>
                <w:color w:val="auto"/>
              </w:rPr>
            </w:pPr>
          </w:p>
        </w:tc>
        <w:tc>
          <w:tcPr>
            <w:tcW w:w="6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69,669</w:t>
            </w:r>
          </w:p>
        </w:tc>
        <w:tc>
          <w:tcPr>
            <w:tcW w:w="480" w:type="dxa"/>
            <w:vAlign w:val="bottom"/>
            <w:shd w:val="clear" w:color="auto" w:fill="CEFFE7"/>
          </w:tcPr>
          <w:p>
            <w:pPr>
              <w:spacing w:after="0"/>
              <w:rPr>
                <w:sz w:val="18"/>
                <w:szCs w:val="18"/>
                <w:color w:val="auto"/>
              </w:rPr>
            </w:pPr>
          </w:p>
        </w:tc>
        <w:tc>
          <w:tcPr>
            <w:tcW w:w="14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63,734</w:t>
            </w:r>
          </w:p>
        </w:tc>
        <w:tc>
          <w:tcPr>
            <w:tcW w:w="340" w:type="dxa"/>
            <w:vAlign w:val="bottom"/>
            <w:shd w:val="clear" w:color="auto" w:fill="CEFFE7"/>
          </w:tcPr>
          <w:p>
            <w:pPr>
              <w:spacing w:after="0"/>
              <w:rPr>
                <w:sz w:val="18"/>
                <w:szCs w:val="18"/>
                <w:color w:val="auto"/>
              </w:rPr>
            </w:pP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5,935</w:t>
            </w:r>
          </w:p>
        </w:tc>
      </w:tr>
      <w:tr>
        <w:trPr>
          <w:trHeight w:val="215"/>
        </w:trPr>
        <w:tc>
          <w:tcPr>
            <w:tcW w:w="54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33,713</w:t>
            </w:r>
          </w:p>
        </w:tc>
        <w:tc>
          <w:tcPr>
            <w:tcW w:w="4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32,028</w:t>
            </w: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w:t>
            </w:r>
          </w:p>
        </w:tc>
      </w:tr>
      <w:tr>
        <w:trPr>
          <w:trHeight w:val="210"/>
        </w:trPr>
        <w:tc>
          <w:tcPr>
            <w:tcW w:w="542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Total operating expenses</w:t>
            </w:r>
          </w:p>
        </w:tc>
        <w:tc>
          <w:tcPr>
            <w:tcW w:w="1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103,382</w:t>
            </w:r>
          </w:p>
        </w:tc>
        <w:tc>
          <w:tcPr>
            <w:tcW w:w="480" w:type="dxa"/>
            <w:vAlign w:val="bottom"/>
            <w:tcBorders>
              <w:bottom w:val="single" w:sz="8" w:color="auto"/>
            </w:tcBorders>
            <w:shd w:val="clear" w:color="auto" w:fill="CEFFE7"/>
          </w:tcPr>
          <w:p>
            <w:pPr>
              <w:spacing w:after="0"/>
              <w:rPr>
                <w:sz w:val="18"/>
                <w:szCs w:val="18"/>
                <w:color w:val="auto"/>
              </w:rPr>
            </w:pPr>
          </w:p>
        </w:tc>
        <w:tc>
          <w:tcPr>
            <w:tcW w:w="14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95,762</w:t>
            </w:r>
          </w:p>
        </w:tc>
        <w:tc>
          <w:tcPr>
            <w:tcW w:w="340" w:type="dxa"/>
            <w:vAlign w:val="bottom"/>
            <w:tcBorders>
              <w:bottom w:val="single" w:sz="8" w:color="auto"/>
            </w:tcBorders>
            <w:shd w:val="clear" w:color="auto" w:fill="CEFFE7"/>
          </w:tcPr>
          <w:p>
            <w:pPr>
              <w:spacing w:after="0"/>
              <w:rPr>
                <w:sz w:val="18"/>
                <w:szCs w:val="18"/>
                <w:color w:val="auto"/>
              </w:rPr>
            </w:pPr>
          </w:p>
        </w:tc>
        <w:tc>
          <w:tcPr>
            <w:tcW w:w="1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7,620</w:t>
            </w:r>
          </w:p>
        </w:tc>
      </w:tr>
      <w:tr>
        <w:trPr>
          <w:trHeight w:val="251"/>
        </w:trPr>
        <w:tc>
          <w:tcPr>
            <w:tcW w:w="1520" w:type="dxa"/>
            <w:vAlign w:val="bottom"/>
            <w:tcBorders>
              <w:bottom w:val="single" w:sz="8" w:color="CEFFE7"/>
            </w:tcBorders>
          </w:tcPr>
          <w:p>
            <w:pPr>
              <w:spacing w:after="0"/>
              <w:rPr>
                <w:sz w:val="21"/>
                <w:szCs w:val="21"/>
                <w:color w:val="auto"/>
              </w:rPr>
            </w:pPr>
          </w:p>
        </w:tc>
        <w:tc>
          <w:tcPr>
            <w:tcW w:w="3900" w:type="dxa"/>
            <w:vAlign w:val="bottom"/>
            <w:tcBorders>
              <w:bottom w:val="single" w:sz="8" w:color="CEFFE7"/>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r>
      <w:tr>
        <w:trPr>
          <w:trHeight w:val="234"/>
        </w:trPr>
        <w:tc>
          <w:tcPr>
            <w:tcW w:w="54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220" w:type="dxa"/>
            <w:vAlign w:val="bottom"/>
            <w:tcBorders>
              <w:bottom w:val="single" w:sz="8" w:color="auto"/>
            </w:tcBorders>
            <w:shd w:val="clear" w:color="auto" w:fill="CEFFE7"/>
          </w:tcPr>
          <w:p>
            <w:pPr>
              <w:jc w:val="right"/>
              <w:ind w:right="10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50,746</w:t>
            </w:r>
          </w:p>
        </w:tc>
        <w:tc>
          <w:tcPr>
            <w:tcW w:w="48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39,343</w:t>
            </w:r>
          </w:p>
        </w:tc>
        <w:tc>
          <w:tcPr>
            <w:tcW w:w="34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11,403</w:t>
            </w:r>
          </w:p>
        </w:tc>
      </w:tr>
      <w:tr>
        <w:trPr>
          <w:trHeight w:val="20"/>
        </w:trPr>
        <w:tc>
          <w:tcPr>
            <w:tcW w:w="1520" w:type="dxa"/>
            <w:vAlign w:val="bottom"/>
            <w:tcBorders>
              <w:top w:val="single" w:sz="8" w:color="CEFFE7"/>
            </w:tcBorders>
          </w:tcPr>
          <w:p>
            <w:pPr>
              <w:spacing w:after="0" w:line="20" w:lineRule="exact"/>
              <w:rPr>
                <w:sz w:val="1"/>
                <w:szCs w:val="1"/>
                <w:color w:val="auto"/>
              </w:rPr>
            </w:pPr>
          </w:p>
        </w:tc>
        <w:tc>
          <w:tcPr>
            <w:tcW w:w="3900" w:type="dxa"/>
            <w:vAlign w:val="bottom"/>
            <w:tcBorders>
              <w:top w:val="single" w:sz="8" w:color="CEFFE7"/>
            </w:tcBorders>
          </w:tcPr>
          <w:p>
            <w:pPr>
              <w:spacing w:after="0" w:line="20" w:lineRule="exact"/>
              <w:rPr>
                <w:sz w:val="1"/>
                <w:szCs w:val="1"/>
                <w:color w:val="auto"/>
              </w:rPr>
            </w:pPr>
          </w:p>
        </w:tc>
        <w:tc>
          <w:tcPr>
            <w:tcW w:w="1300" w:type="dxa"/>
            <w:vAlign w:val="bottom"/>
            <w:tcBorders>
              <w:top w:val="single" w:sz="8" w:color="CEFFE7"/>
              <w:bottom w:val="single" w:sz="8" w:color="auto"/>
            </w:tcBorders>
            <w:gridSpan w:val="2"/>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48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640" w:type="dxa"/>
            <w:vAlign w:val="bottom"/>
            <w:tcBorders>
              <w:top w:val="single" w:sz="8" w:color="CEFFE7"/>
              <w:bottom w:val="single" w:sz="8" w:color="auto"/>
            </w:tcBorders>
          </w:tcPr>
          <w:p>
            <w:pPr>
              <w:spacing w:after="0" w:line="20" w:lineRule="exact"/>
              <w:rPr>
                <w:sz w:val="1"/>
                <w:szCs w:val="1"/>
                <w:color w:val="auto"/>
              </w:rPr>
            </w:pPr>
          </w:p>
        </w:tc>
      </w:tr>
      <w:tr>
        <w:trPr>
          <w:trHeight w:val="460"/>
        </w:trPr>
        <w:tc>
          <w:tcPr>
            <w:tcW w:w="7320" w:type="dxa"/>
            <w:vAlign w:val="bottom"/>
            <w:gridSpan w:val="5"/>
          </w:tcPr>
          <w:p>
            <w:pPr>
              <w:spacing w:after="0"/>
              <w:rPr>
                <w:sz w:val="20"/>
                <w:szCs w:val="20"/>
                <w:color w:val="auto"/>
              </w:rPr>
            </w:pPr>
            <w:r>
              <w:rPr>
                <w:rFonts w:ascii="Arial" w:cs="Arial" w:eastAsia="Arial" w:hAnsi="Arial"/>
                <w:sz w:val="16"/>
                <w:szCs w:val="16"/>
                <w:color w:val="auto"/>
              </w:rPr>
              <w:t>Three Months Ended March 31, 2022 Compared to the Three Months Ended March 31, 2021:</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25"/>
        </w:trPr>
        <w:tc>
          <w:tcPr>
            <w:tcW w:w="5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Electric Utility margin increased as a result of the following:</w:t>
            </w: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46"/>
        </w:trPr>
        <w:tc>
          <w:tcPr>
            <w:tcW w:w="1520" w:type="dxa"/>
            <w:vAlign w:val="bottom"/>
            <w:tcBorders>
              <w:top w:val="single" w:sz="8" w:color="auto"/>
              <w:bottom w:val="single" w:sz="8" w:color="CEFFE7"/>
            </w:tcBorders>
          </w:tcPr>
          <w:p>
            <w:pPr>
              <w:spacing w:after="0"/>
              <w:rPr>
                <w:sz w:val="24"/>
                <w:szCs w:val="24"/>
                <w:color w:val="auto"/>
              </w:rPr>
            </w:pPr>
          </w:p>
        </w:tc>
        <w:tc>
          <w:tcPr>
            <w:tcW w:w="3900" w:type="dxa"/>
            <w:vAlign w:val="bottom"/>
            <w:tcBorders>
              <w:bottom w:val="single" w:sz="8" w:color="CEFFE7"/>
            </w:tcBorders>
          </w:tcPr>
          <w:p>
            <w:pPr>
              <w:spacing w:after="0"/>
              <w:rPr>
                <w:sz w:val="24"/>
                <w:szCs w:val="24"/>
                <w:color w:val="auto"/>
              </w:rPr>
            </w:pPr>
          </w:p>
        </w:tc>
        <w:tc>
          <w:tcPr>
            <w:tcW w:w="1220" w:type="dxa"/>
            <w:vAlign w:val="bottom"/>
            <w:tcBorders>
              <w:bottom w:val="single" w:sz="8" w:color="CEFFE7"/>
            </w:tcBorders>
          </w:tcPr>
          <w:p>
            <w:pPr>
              <w:spacing w:after="0"/>
              <w:rPr>
                <w:sz w:val="24"/>
                <w:szCs w:val="24"/>
                <w:color w:val="auto"/>
              </w:rPr>
            </w:pPr>
          </w:p>
        </w:tc>
        <w:tc>
          <w:tcPr>
            <w:tcW w:w="80" w:type="dxa"/>
            <w:vAlign w:val="bottom"/>
            <w:tcBorders>
              <w:bottom w:val="single" w:sz="8" w:color="CEFFE7"/>
            </w:tcBorders>
          </w:tcPr>
          <w:p>
            <w:pPr>
              <w:spacing w:after="0"/>
              <w:rPr>
                <w:sz w:val="24"/>
                <w:szCs w:val="24"/>
                <w:color w:val="auto"/>
              </w:rPr>
            </w:pPr>
          </w:p>
        </w:tc>
        <w:tc>
          <w:tcPr>
            <w:tcW w:w="600" w:type="dxa"/>
            <w:vAlign w:val="bottom"/>
            <w:tcBorders>
              <w:bottom w:val="single" w:sz="8" w:color="CEFFE7"/>
            </w:tcBorders>
          </w:tcPr>
          <w:p>
            <w:pPr>
              <w:spacing w:after="0"/>
              <w:rPr>
                <w:sz w:val="24"/>
                <w:szCs w:val="24"/>
                <w:color w:val="auto"/>
              </w:rPr>
            </w:pPr>
          </w:p>
        </w:tc>
        <w:tc>
          <w:tcPr>
            <w:tcW w:w="480" w:type="dxa"/>
            <w:vAlign w:val="bottom"/>
            <w:tcBorders>
              <w:bottom w:val="single" w:sz="8" w:color="CEFFE7"/>
            </w:tcBorders>
          </w:tcPr>
          <w:p>
            <w:pPr>
              <w:spacing w:after="0"/>
              <w:rPr>
                <w:sz w:val="24"/>
                <w:szCs w:val="24"/>
                <w:color w:val="auto"/>
              </w:rPr>
            </w:pPr>
          </w:p>
        </w:tc>
        <w:tc>
          <w:tcPr>
            <w:tcW w:w="1240" w:type="dxa"/>
            <w:vAlign w:val="bottom"/>
            <w:tcBorders>
              <w:bottom w:val="single" w:sz="8" w:color="CEFFE7"/>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(in millions)</w:t>
            </w:r>
          </w:p>
        </w:tc>
      </w:tr>
      <w:tr>
        <w:trPr>
          <w:trHeight w:val="210"/>
        </w:trPr>
        <w:tc>
          <w:tcPr>
            <w:tcW w:w="5420" w:type="dxa"/>
            <w:vAlign w:val="bottom"/>
            <w:gridSpan w:val="2"/>
            <w:shd w:val="clear" w:color="auto" w:fill="CEFFE7"/>
          </w:tcPr>
          <w:p>
            <w:pPr>
              <w:ind w:left="20"/>
              <w:spacing w:after="0" w:line="211" w:lineRule="exact"/>
              <w:rPr>
                <w:sz w:val="20"/>
                <w:szCs w:val="20"/>
                <w:color w:val="auto"/>
              </w:rPr>
            </w:pPr>
            <w:r>
              <w:rPr>
                <w:rFonts w:ascii="Arial" w:cs="Arial" w:eastAsia="Arial" w:hAnsi="Arial"/>
                <w:sz w:val="16"/>
                <w:szCs w:val="16"/>
                <w:color w:val="auto"/>
              </w:rPr>
              <w:t xml:space="preserve">Prior year TCJA-related bill credits </w:t>
            </w:r>
            <w:r>
              <w:rPr>
                <w:rFonts w:ascii="Arial" w:cs="Arial" w:eastAsia="Arial" w:hAnsi="Arial"/>
                <w:sz w:val="21"/>
                <w:szCs w:val="21"/>
                <w:color w:val="auto"/>
                <w:vertAlign w:val="superscript"/>
              </w:rPr>
              <w:t>(a)</w:t>
            </w:r>
          </w:p>
        </w:tc>
        <w:tc>
          <w:tcPr>
            <w:tcW w:w="1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600" w:type="dxa"/>
            <w:vAlign w:val="bottom"/>
            <w:shd w:val="clear" w:color="auto" w:fill="CEFFE7"/>
          </w:tcPr>
          <w:p>
            <w:pPr>
              <w:spacing w:after="0"/>
              <w:rPr>
                <w:sz w:val="18"/>
                <w:szCs w:val="18"/>
                <w:color w:val="auto"/>
              </w:rPr>
            </w:pPr>
          </w:p>
        </w:tc>
        <w:tc>
          <w:tcPr>
            <w:tcW w:w="48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EFFE7"/>
          </w:tcPr>
          <w:p>
            <w:pPr>
              <w:spacing w:after="0"/>
              <w:rPr>
                <w:sz w:val="18"/>
                <w:szCs w:val="18"/>
                <w:color w:val="auto"/>
              </w:rPr>
            </w:pP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w:t>
            </w: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Off-system energy sales and transmission services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5420" w:type="dxa"/>
            <w:vAlign w:val="bottom"/>
            <w:gridSpan w:val="2"/>
            <w:shd w:val="clear" w:color="auto" w:fill="CEFFE7"/>
          </w:tcPr>
          <w:p>
            <w:pPr>
              <w:ind w:left="20"/>
              <w:spacing w:after="0" w:line="217" w:lineRule="exact"/>
              <w:rPr>
                <w:sz w:val="20"/>
                <w:szCs w:val="20"/>
                <w:color w:val="auto"/>
              </w:rPr>
            </w:pPr>
            <w:r>
              <w:rPr>
                <w:rFonts w:ascii="Arial" w:cs="Arial" w:eastAsia="Arial" w:hAnsi="Arial"/>
                <w:sz w:val="16"/>
                <w:szCs w:val="16"/>
                <w:color w:val="auto"/>
              </w:rPr>
              <w:t xml:space="preserve">Prior year Winter Storm Uri impacts </w:t>
            </w:r>
            <w:r>
              <w:rPr>
                <w:rFonts w:ascii="Arial" w:cs="Arial" w:eastAsia="Arial" w:hAnsi="Arial"/>
                <w:sz w:val="21"/>
                <w:szCs w:val="21"/>
                <w:color w:val="auto"/>
                <w:vertAlign w:val="superscript"/>
              </w:rPr>
              <w:t>(b)</w:t>
            </w:r>
          </w:p>
        </w:tc>
        <w:tc>
          <w:tcPr>
            <w:tcW w:w="1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600" w:type="dxa"/>
            <w:vAlign w:val="bottom"/>
            <w:shd w:val="clear" w:color="auto" w:fill="CEFFE7"/>
          </w:tcPr>
          <w:p>
            <w:pPr>
              <w:spacing w:after="0"/>
              <w:rPr>
                <w:sz w:val="18"/>
                <w:szCs w:val="18"/>
                <w:color w:val="auto"/>
              </w:rPr>
            </w:pPr>
          </w:p>
        </w:tc>
        <w:tc>
          <w:tcPr>
            <w:tcW w:w="48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w:t>
            </w: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New rates and rider recovery</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5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Mark-to-market on wholesale energy contracts</w:t>
            </w:r>
          </w:p>
        </w:tc>
        <w:tc>
          <w:tcPr>
            <w:tcW w:w="1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600" w:type="dxa"/>
            <w:vAlign w:val="bottom"/>
            <w:shd w:val="clear" w:color="auto" w:fill="CEFFE7"/>
          </w:tcPr>
          <w:p>
            <w:pPr>
              <w:spacing w:after="0"/>
              <w:rPr>
                <w:sz w:val="18"/>
                <w:szCs w:val="18"/>
                <w:color w:val="auto"/>
              </w:rPr>
            </w:pPr>
          </w:p>
        </w:tc>
        <w:tc>
          <w:tcPr>
            <w:tcW w:w="48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Customer load growth</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5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Lower pricing on new Wygen I PPA</w:t>
            </w:r>
          </w:p>
        </w:tc>
        <w:tc>
          <w:tcPr>
            <w:tcW w:w="1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600" w:type="dxa"/>
            <w:vAlign w:val="bottom"/>
            <w:shd w:val="clear" w:color="auto" w:fill="CEFFE7"/>
          </w:tcPr>
          <w:p>
            <w:pPr>
              <w:spacing w:after="0"/>
              <w:rPr>
                <w:sz w:val="18"/>
                <w:szCs w:val="18"/>
                <w:color w:val="auto"/>
              </w:rPr>
            </w:pPr>
          </w:p>
        </w:tc>
        <w:tc>
          <w:tcPr>
            <w:tcW w:w="48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Weather</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7"/>
        </w:trPr>
        <w:tc>
          <w:tcPr>
            <w:tcW w:w="5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600" w:type="dxa"/>
            <w:vAlign w:val="bottom"/>
            <w:shd w:val="clear" w:color="auto" w:fill="CEFFE7"/>
          </w:tcPr>
          <w:p>
            <w:pPr>
              <w:spacing w:after="0"/>
              <w:rPr>
                <w:sz w:val="18"/>
                <w:szCs w:val="18"/>
                <w:color w:val="auto"/>
              </w:rPr>
            </w:pPr>
          </w:p>
        </w:tc>
        <w:tc>
          <w:tcPr>
            <w:tcW w:w="48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1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0.6</w:t>
            </w:r>
          </w:p>
        </w:tc>
      </w:tr>
      <w:tr>
        <w:trPr>
          <w:trHeight w:val="209"/>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Total increase in Electric Utility margin</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r>
      <w:tr>
        <w:trPr>
          <w:trHeight w:val="21"/>
        </w:trPr>
        <w:tc>
          <w:tcPr>
            <w:tcW w:w="15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right="80" w:hanging="332"/>
        <w:spacing w:after="0" w:line="261" w:lineRule="auto"/>
        <w:tabs>
          <w:tab w:leader="none" w:pos="3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February 2021, Colorado Electric delivered TCJA-related bill credits to its customers. These bill credits were offset by a reduction in income tax expense and resulted in a minimal impact to Net income.</w:t>
      </w:r>
    </w:p>
    <w:p>
      <w:pPr>
        <w:ind w:left="340" w:right="120" w:hanging="332"/>
        <w:spacing w:after="0" w:line="262" w:lineRule="auto"/>
        <w:tabs>
          <w:tab w:leader="none" w:pos="344"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a result of Winter Storm Uri, we incurred a $3.2 million negative impact to our regulated wholesale power margins due to higher fuel costs and $2.1 million of incremental fuel costs that are not recoverable through our fuel cost recovery mechanisms partially offset by $1.7 million of increased Electric Utility margin realized under Black Hills Wyoming’s Economy Energy PSA.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cloud computing licensing costs and higher maintenance costs related to planned spring outages at the Gillette, Wyoming energy complex.</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4"/>
          </w:tcPr>
          <w:p>
            <w:pPr>
              <w:jc w:val="center"/>
              <w:ind w:right="460"/>
              <w:spacing w:after="0"/>
              <w:rPr>
                <w:sz w:val="20"/>
                <w:szCs w:val="20"/>
                <w:color w:val="auto"/>
              </w:rPr>
            </w:pPr>
            <w:r>
              <w:rPr>
                <w:rFonts w:ascii="Arial" w:cs="Arial" w:eastAsia="Arial" w:hAnsi="Arial"/>
                <w:sz w:val="16"/>
                <w:szCs w:val="16"/>
                <w:color w:val="auto"/>
              </w:rPr>
              <w:t>Revenue (in thousands)</w:t>
            </w:r>
          </w:p>
        </w:tc>
        <w:tc>
          <w:tcPr>
            <w:tcW w:w="3300" w:type="dxa"/>
            <w:vAlign w:val="bottom"/>
            <w:gridSpan w:val="2"/>
          </w:tcPr>
          <w:p>
            <w:pPr>
              <w:jc w:val="center"/>
              <w:spacing w:after="0"/>
              <w:rPr>
                <w:sz w:val="20"/>
                <w:szCs w:val="20"/>
                <w:color w:val="auto"/>
              </w:rPr>
            </w:pPr>
            <w:r>
              <w:rPr>
                <w:rFonts w:ascii="Arial" w:cs="Arial" w:eastAsia="Arial" w:hAnsi="Arial"/>
                <w:sz w:val="16"/>
                <w:szCs w:val="16"/>
                <w:color w:val="auto"/>
              </w:rPr>
              <w:t>Quantities Sold (MWh)</w:t>
            </w:r>
          </w:p>
        </w:tc>
        <w:tc>
          <w:tcPr>
            <w:tcW w:w="0" w:type="dxa"/>
            <w:vAlign w:val="bottom"/>
          </w:tcPr>
          <w:p>
            <w:pPr>
              <w:spacing w:after="0"/>
              <w:rPr>
                <w:sz w:val="1"/>
                <w:szCs w:val="1"/>
                <w:color w:val="auto"/>
              </w:rPr>
            </w:pPr>
          </w:p>
        </w:tc>
      </w:tr>
      <w:tr>
        <w:trPr>
          <w:trHeight w:val="157"/>
        </w:trPr>
        <w:tc>
          <w:tcPr>
            <w:tcW w:w="45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gridSpan w:val="3"/>
          </w:tcPr>
          <w:p>
            <w:pPr>
              <w:jc w:val="center"/>
              <w:ind w:right="299"/>
              <w:spacing w:after="0" w:line="157" w:lineRule="exact"/>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3"/>
                <w:szCs w:val="13"/>
                <w:color w:val="auto"/>
              </w:rPr>
            </w:pPr>
          </w:p>
        </w:tc>
        <w:tc>
          <w:tcPr>
            <w:tcW w:w="3300" w:type="dxa"/>
            <w:vAlign w:val="bottom"/>
            <w:tcBorders>
              <w:top w:val="single" w:sz="8" w:color="auto"/>
            </w:tcBorders>
            <w:gridSpan w:val="2"/>
          </w:tcPr>
          <w:p>
            <w:pPr>
              <w:jc w:val="center"/>
              <w:spacing w:after="0" w:line="157" w:lineRule="exact"/>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2"/>
          </w:tcPr>
          <w:p>
            <w:pPr>
              <w:jc w:val="center"/>
              <w:ind w:left="699"/>
              <w:spacing w:after="0"/>
              <w:rPr>
                <w:sz w:val="20"/>
                <w:szCs w:val="20"/>
                <w:color w:val="auto"/>
              </w:rPr>
            </w:pPr>
            <w:r>
              <w:rPr>
                <w:rFonts w:ascii="Arial" w:cs="Arial" w:eastAsia="Arial" w:hAnsi="Arial"/>
                <w:sz w:val="16"/>
                <w:szCs w:val="16"/>
                <w:color w:val="auto"/>
              </w:rPr>
              <w:t>March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ind w:left="1079"/>
              <w:spacing w:after="0"/>
              <w:rPr>
                <w:sz w:val="20"/>
                <w:szCs w:val="20"/>
                <w:color w:val="auto"/>
              </w:rPr>
            </w:pPr>
            <w:r>
              <w:rPr>
                <w:rFonts w:ascii="Arial" w:cs="Arial" w:eastAsia="Arial" w:hAnsi="Arial"/>
                <w:sz w:val="16"/>
                <w:szCs w:val="16"/>
                <w:color w:val="auto"/>
              </w:rPr>
              <w:t>March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EFFE7"/>
            </w:tcBorders>
          </w:tcPr>
          <w:p>
            <w:pPr>
              <w:spacing w:after="0"/>
              <w:rPr>
                <w:sz w:val="18"/>
                <w:szCs w:val="18"/>
                <w:color w:val="auto"/>
              </w:rPr>
            </w:pPr>
          </w:p>
        </w:tc>
        <w:tc>
          <w:tcPr>
            <w:tcW w:w="216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2022</w:t>
            </w: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1"/>
        </w:trPr>
        <w:tc>
          <w:tcPr>
            <w:tcW w:w="4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62,249</w:t>
            </w:r>
          </w:p>
        </w:tc>
        <w:tc>
          <w:tcPr>
            <w:tcW w:w="5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72,760</w:t>
            </w:r>
          </w:p>
        </w:tc>
        <w:tc>
          <w:tcPr>
            <w:tcW w:w="100" w:type="dxa"/>
            <w:vAlign w:val="bottom"/>
            <w:shd w:val="clear" w:color="auto" w:fill="CEFFE7"/>
          </w:tcPr>
          <w:p>
            <w:pPr>
              <w:spacing w:after="0"/>
              <w:rPr>
                <w:sz w:val="18"/>
                <w:szCs w:val="18"/>
                <w:color w:val="auto"/>
              </w:rPr>
            </w:pPr>
          </w:p>
        </w:tc>
        <w:tc>
          <w:tcPr>
            <w:tcW w:w="216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rPr>
              <w:t>391,582</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396,086</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64,353</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77,007</w:t>
            </w:r>
          </w:p>
        </w:tc>
        <w:tc>
          <w:tcPr>
            <w:tcW w:w="100" w:type="dxa"/>
            <w:vAlign w:val="bottom"/>
          </w:tcPr>
          <w:p>
            <w:pPr>
              <w:spacing w:after="0"/>
              <w:rPr>
                <w:sz w:val="18"/>
                <w:szCs w:val="18"/>
                <w:color w:val="auto"/>
              </w:rPr>
            </w:pPr>
          </w:p>
        </w:tc>
        <w:tc>
          <w:tcPr>
            <w:tcW w:w="2160" w:type="dxa"/>
            <w:vAlign w:val="bottom"/>
          </w:tcPr>
          <w:p>
            <w:pPr>
              <w:jc w:val="right"/>
              <w:ind w:right="499"/>
              <w:spacing w:after="0"/>
              <w:rPr>
                <w:sz w:val="20"/>
                <w:szCs w:val="20"/>
                <w:color w:val="auto"/>
              </w:rPr>
            </w:pPr>
            <w:r>
              <w:rPr>
                <w:rFonts w:ascii="Arial" w:cs="Arial" w:eastAsia="Arial" w:hAnsi="Arial"/>
                <w:sz w:val="16"/>
                <w:szCs w:val="16"/>
                <w:color w:val="auto"/>
              </w:rPr>
              <w:t>490,418</w:t>
            </w:r>
          </w:p>
        </w:tc>
        <w:tc>
          <w:tcPr>
            <w:tcW w:w="1140" w:type="dxa"/>
            <w:vAlign w:val="bottom"/>
          </w:tcPr>
          <w:p>
            <w:pPr>
              <w:jc w:val="right"/>
              <w:spacing w:after="0"/>
              <w:rPr>
                <w:sz w:val="20"/>
                <w:szCs w:val="20"/>
                <w:color w:val="auto"/>
              </w:rPr>
            </w:pPr>
            <w:r>
              <w:rPr>
                <w:rFonts w:ascii="Arial" w:cs="Arial" w:eastAsia="Arial" w:hAnsi="Arial"/>
                <w:sz w:val="16"/>
                <w:szCs w:val="16"/>
                <w:color w:val="auto"/>
              </w:rPr>
              <w:t>492,955</w:t>
            </w:r>
          </w:p>
        </w:tc>
        <w:tc>
          <w:tcPr>
            <w:tcW w:w="0" w:type="dxa"/>
            <w:vAlign w:val="bottom"/>
          </w:tcPr>
          <w:p>
            <w:pPr>
              <w:spacing w:after="0"/>
              <w:rPr>
                <w:sz w:val="1"/>
                <w:szCs w:val="1"/>
                <w:color w:val="auto"/>
              </w:rPr>
            </w:pPr>
          </w:p>
        </w:tc>
      </w:tr>
      <w:tr>
        <w:trPr>
          <w:trHeight w:val="217"/>
        </w:trPr>
        <w:tc>
          <w:tcPr>
            <w:tcW w:w="4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38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35,408</w:t>
            </w:r>
          </w:p>
        </w:tc>
        <w:tc>
          <w:tcPr>
            <w:tcW w:w="5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43,009</w:t>
            </w:r>
          </w:p>
        </w:tc>
        <w:tc>
          <w:tcPr>
            <w:tcW w:w="100" w:type="dxa"/>
            <w:vAlign w:val="bottom"/>
            <w:shd w:val="clear" w:color="auto" w:fill="CEFFE7"/>
          </w:tcPr>
          <w:p>
            <w:pPr>
              <w:spacing w:after="0"/>
              <w:rPr>
                <w:sz w:val="18"/>
                <w:szCs w:val="18"/>
                <w:color w:val="auto"/>
              </w:rPr>
            </w:pPr>
          </w:p>
        </w:tc>
        <w:tc>
          <w:tcPr>
            <w:tcW w:w="216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rPr>
              <w:t>463,768</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415,191</w:t>
            </w:r>
          </w:p>
        </w:tc>
        <w:tc>
          <w:tcPr>
            <w:tcW w:w="0" w:type="dxa"/>
            <w:vAlign w:val="bottom"/>
          </w:tcPr>
          <w:p>
            <w:pPr>
              <w:spacing w:after="0"/>
              <w:rPr>
                <w:sz w:val="1"/>
                <w:szCs w:val="1"/>
                <w:color w:val="auto"/>
              </w:rPr>
            </w:pPr>
          </w:p>
        </w:tc>
      </w:tr>
      <w:tr>
        <w:trPr>
          <w:trHeight w:val="215"/>
        </w:trPr>
        <w:tc>
          <w:tcPr>
            <w:tcW w:w="45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Municipal</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4,575</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5,020</w:t>
            </w:r>
          </w:p>
        </w:tc>
        <w:tc>
          <w:tcPr>
            <w:tcW w:w="100" w:type="dxa"/>
            <w:vAlign w:val="bottom"/>
            <w:tcBorders>
              <w:bottom w:val="single" w:sz="8" w:color="CEFFE7"/>
            </w:tcBorders>
          </w:tcPr>
          <w:p>
            <w:pPr>
              <w:spacing w:after="0"/>
              <w:rPr>
                <w:sz w:val="18"/>
                <w:szCs w:val="18"/>
                <w:color w:val="auto"/>
              </w:rPr>
            </w:pPr>
          </w:p>
        </w:tc>
        <w:tc>
          <w:tcPr>
            <w:tcW w:w="2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35,305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36,242</w:t>
            </w:r>
          </w:p>
        </w:tc>
        <w:tc>
          <w:tcPr>
            <w:tcW w:w="0" w:type="dxa"/>
            <w:vAlign w:val="bottom"/>
          </w:tcPr>
          <w:p>
            <w:pPr>
              <w:spacing w:after="0"/>
              <w:rPr>
                <w:sz w:val="1"/>
                <w:szCs w:val="1"/>
                <w:color w:val="auto"/>
              </w:rPr>
            </w:pPr>
          </w:p>
        </w:tc>
      </w:tr>
      <w:tr>
        <w:trPr>
          <w:trHeight w:val="210"/>
        </w:trPr>
        <w:tc>
          <w:tcPr>
            <w:tcW w:w="45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Subtotal Retail Revenue - Electric</w:t>
            </w:r>
          </w:p>
        </w:tc>
        <w:tc>
          <w:tcPr>
            <w:tcW w:w="380" w:type="dxa"/>
            <w:vAlign w:val="bottom"/>
            <w:tcBorders>
              <w:bottom w:val="single" w:sz="8" w:color="auto"/>
            </w:tcBorders>
            <w:shd w:val="clear" w:color="auto" w:fill="CEFFE7"/>
          </w:tcPr>
          <w:p>
            <w:pPr>
              <w:spacing w:after="0"/>
              <w:rPr>
                <w:sz w:val="18"/>
                <w:szCs w:val="18"/>
                <w:color w:val="auto"/>
              </w:rPr>
            </w:pP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166,585</w:t>
            </w:r>
          </w:p>
        </w:tc>
        <w:tc>
          <w:tcPr>
            <w:tcW w:w="54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197,796</w:t>
            </w:r>
          </w:p>
        </w:tc>
        <w:tc>
          <w:tcPr>
            <w:tcW w:w="100" w:type="dxa"/>
            <w:vAlign w:val="bottom"/>
            <w:shd w:val="clear" w:color="auto" w:fill="CEFFE7"/>
          </w:tcPr>
          <w:p>
            <w:pPr>
              <w:spacing w:after="0"/>
              <w:rPr>
                <w:sz w:val="18"/>
                <w:szCs w:val="18"/>
                <w:color w:val="auto"/>
              </w:rPr>
            </w:pPr>
          </w:p>
        </w:tc>
        <w:tc>
          <w:tcPr>
            <w:tcW w:w="2160" w:type="dxa"/>
            <w:vAlign w:val="bottom"/>
            <w:tcBorders>
              <w:bottom w:val="single" w:sz="8" w:color="auto"/>
            </w:tcBorders>
            <w:shd w:val="clear" w:color="auto" w:fill="CEFFE7"/>
          </w:tcPr>
          <w:p>
            <w:pPr>
              <w:jc w:val="right"/>
              <w:ind w:right="499"/>
              <w:spacing w:after="0"/>
              <w:rPr>
                <w:sz w:val="20"/>
                <w:szCs w:val="20"/>
                <w:color w:val="auto"/>
              </w:rPr>
            </w:pPr>
            <w:r>
              <w:rPr>
                <w:rFonts w:ascii="Arial" w:cs="Arial" w:eastAsia="Arial" w:hAnsi="Arial"/>
                <w:sz w:val="16"/>
                <w:szCs w:val="16"/>
                <w:color w:val="auto"/>
              </w:rPr>
              <w:t>1,381,073</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1,340,474</w:t>
            </w:r>
          </w:p>
        </w:tc>
        <w:tc>
          <w:tcPr>
            <w:tcW w:w="0" w:type="dxa"/>
            <w:vAlign w:val="bottom"/>
          </w:tcPr>
          <w:p>
            <w:pPr>
              <w:spacing w:after="0"/>
              <w:rPr>
                <w:sz w:val="1"/>
                <w:szCs w:val="1"/>
                <w:color w:val="auto"/>
              </w:rPr>
            </w:pP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Contract Wholesale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5,923</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5,922</w:t>
            </w:r>
          </w:p>
        </w:tc>
        <w:tc>
          <w:tcPr>
            <w:tcW w:w="100" w:type="dxa"/>
            <w:vAlign w:val="bottom"/>
          </w:tcPr>
          <w:p>
            <w:pPr>
              <w:spacing w:after="0"/>
              <w:rPr>
                <w:sz w:val="18"/>
                <w:szCs w:val="18"/>
                <w:color w:val="auto"/>
              </w:rPr>
            </w:pPr>
          </w:p>
        </w:tc>
        <w:tc>
          <w:tcPr>
            <w:tcW w:w="2160" w:type="dxa"/>
            <w:vAlign w:val="bottom"/>
          </w:tcPr>
          <w:p>
            <w:pPr>
              <w:jc w:val="right"/>
              <w:ind w:right="499"/>
              <w:spacing w:after="0"/>
              <w:rPr>
                <w:sz w:val="20"/>
                <w:szCs w:val="20"/>
                <w:color w:val="auto"/>
              </w:rPr>
            </w:pPr>
            <w:r>
              <w:rPr>
                <w:rFonts w:ascii="Arial" w:cs="Arial" w:eastAsia="Arial" w:hAnsi="Arial"/>
                <w:sz w:val="16"/>
                <w:szCs w:val="16"/>
                <w:color w:val="auto"/>
              </w:rPr>
              <w:t>182,207</w:t>
            </w:r>
          </w:p>
        </w:tc>
        <w:tc>
          <w:tcPr>
            <w:tcW w:w="1140" w:type="dxa"/>
            <w:vAlign w:val="bottom"/>
          </w:tcPr>
          <w:p>
            <w:pPr>
              <w:jc w:val="right"/>
              <w:spacing w:after="0"/>
              <w:rPr>
                <w:sz w:val="20"/>
                <w:szCs w:val="20"/>
                <w:color w:val="auto"/>
              </w:rPr>
            </w:pPr>
            <w:r>
              <w:rPr>
                <w:rFonts w:ascii="Arial" w:cs="Arial" w:eastAsia="Arial" w:hAnsi="Arial"/>
                <w:sz w:val="16"/>
                <w:szCs w:val="16"/>
                <w:color w:val="auto"/>
              </w:rPr>
              <w:t>156,995</w:t>
            </w:r>
          </w:p>
        </w:tc>
        <w:tc>
          <w:tcPr>
            <w:tcW w:w="0" w:type="dxa"/>
            <w:vAlign w:val="bottom"/>
          </w:tcPr>
          <w:p>
            <w:pPr>
              <w:spacing w:after="0"/>
              <w:rPr>
                <w:sz w:val="1"/>
                <w:szCs w:val="1"/>
                <w:color w:val="auto"/>
              </w:rPr>
            </w:pPr>
          </w:p>
        </w:tc>
      </w:tr>
      <w:tr>
        <w:trPr>
          <w:trHeight w:val="217"/>
        </w:trPr>
        <w:tc>
          <w:tcPr>
            <w:tcW w:w="45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Off-system/Power Marketing Wholesale</w:t>
            </w:r>
          </w:p>
        </w:tc>
        <w:tc>
          <w:tcPr>
            <w:tcW w:w="38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7,154</w:t>
            </w:r>
          </w:p>
        </w:tc>
        <w:tc>
          <w:tcPr>
            <w:tcW w:w="5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4,772</w:t>
            </w:r>
          </w:p>
        </w:tc>
        <w:tc>
          <w:tcPr>
            <w:tcW w:w="100" w:type="dxa"/>
            <w:vAlign w:val="bottom"/>
            <w:shd w:val="clear" w:color="auto" w:fill="CEFFE7"/>
          </w:tcPr>
          <w:p>
            <w:pPr>
              <w:spacing w:after="0"/>
              <w:rPr>
                <w:sz w:val="18"/>
                <w:szCs w:val="18"/>
                <w:color w:val="auto"/>
              </w:rPr>
            </w:pPr>
          </w:p>
        </w:tc>
        <w:tc>
          <w:tcPr>
            <w:tcW w:w="216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rPr>
              <w:t>160,441</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60,221</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16,063</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14,606</w:t>
            </w:r>
          </w:p>
        </w:tc>
        <w:tc>
          <w:tcPr>
            <w:tcW w:w="100" w:type="dxa"/>
            <w:vAlign w:val="bottom"/>
            <w:tcBorders>
              <w:bottom w:val="single" w:sz="8" w:color="CEFFE7"/>
            </w:tcBorders>
          </w:tcPr>
          <w:p>
            <w:pPr>
              <w:spacing w:after="0"/>
              <w:rPr>
                <w:sz w:val="18"/>
                <w:szCs w:val="18"/>
                <w:color w:val="auto"/>
              </w:rPr>
            </w:pPr>
          </w:p>
        </w:tc>
        <w:tc>
          <w:tcPr>
            <w:tcW w:w="2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Total Regulated</w:t>
            </w:r>
          </w:p>
        </w:tc>
        <w:tc>
          <w:tcPr>
            <w:tcW w:w="380" w:type="dxa"/>
            <w:vAlign w:val="bottom"/>
            <w:shd w:val="clear" w:color="auto" w:fill="CEFFE7"/>
          </w:tcPr>
          <w:p>
            <w:pPr>
              <w:spacing w:after="0"/>
              <w:rPr>
                <w:sz w:val="18"/>
                <w:szCs w:val="18"/>
                <w:color w:val="auto"/>
              </w:rPr>
            </w:pP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195,725</w:t>
            </w:r>
          </w:p>
        </w:tc>
        <w:tc>
          <w:tcPr>
            <w:tcW w:w="54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223,096</w:t>
            </w:r>
          </w:p>
        </w:tc>
        <w:tc>
          <w:tcPr>
            <w:tcW w:w="100" w:type="dxa"/>
            <w:vAlign w:val="bottom"/>
            <w:shd w:val="clear" w:color="auto" w:fill="CEFFE7"/>
          </w:tcPr>
          <w:p>
            <w:pPr>
              <w:spacing w:after="0"/>
              <w:rPr>
                <w:sz w:val="18"/>
                <w:szCs w:val="18"/>
                <w:color w:val="auto"/>
              </w:rPr>
            </w:pPr>
          </w:p>
        </w:tc>
        <w:tc>
          <w:tcPr>
            <w:tcW w:w="216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rPr>
              <w:t>1,723,721</w:t>
            </w: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1,557,690</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EFFE7"/>
            </w:tcBorders>
          </w:tcPr>
          <w:p>
            <w:pPr>
              <w:ind w:left="20"/>
              <w:spacing w:after="0" w:line="216" w:lineRule="exact"/>
              <w:rPr>
                <w:sz w:val="20"/>
                <w:szCs w:val="20"/>
                <w:color w:val="auto"/>
              </w:rPr>
            </w:pPr>
            <w:r>
              <w:rPr>
                <w:rFonts w:ascii="Arial" w:cs="Arial" w:eastAsia="Arial" w:hAnsi="Arial"/>
                <w:sz w:val="16"/>
                <w:szCs w:val="16"/>
                <w:color w:val="auto"/>
              </w:rPr>
              <w:t xml:space="preserve">Non-Regulated </w:t>
            </w:r>
            <w:r>
              <w:rPr>
                <w:rFonts w:ascii="Arial" w:cs="Arial" w:eastAsia="Arial" w:hAnsi="Arial"/>
                <w:sz w:val="21"/>
                <w:szCs w:val="21"/>
                <w:color w:val="auto"/>
                <w:vertAlign w:val="superscript"/>
              </w:rPr>
              <w:t>(b)</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10,813</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12,308</w:t>
            </w:r>
          </w:p>
        </w:tc>
        <w:tc>
          <w:tcPr>
            <w:tcW w:w="100" w:type="dxa"/>
            <w:vAlign w:val="bottom"/>
            <w:tcBorders>
              <w:bottom w:val="single" w:sz="8" w:color="CEFFE7"/>
            </w:tcBorders>
          </w:tcPr>
          <w:p>
            <w:pPr>
              <w:spacing w:after="0"/>
              <w:rPr>
                <w:sz w:val="18"/>
                <w:szCs w:val="18"/>
                <w:color w:val="auto"/>
              </w:rPr>
            </w:pPr>
          </w:p>
        </w:tc>
        <w:tc>
          <w:tcPr>
            <w:tcW w:w="2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89,094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79,515</w:t>
            </w:r>
          </w:p>
        </w:tc>
        <w:tc>
          <w:tcPr>
            <w:tcW w:w="0" w:type="dxa"/>
            <w:vAlign w:val="bottom"/>
          </w:tcPr>
          <w:p>
            <w:pPr>
              <w:spacing w:after="0"/>
              <w:rPr>
                <w:sz w:val="1"/>
                <w:szCs w:val="1"/>
                <w:color w:val="auto"/>
              </w:rPr>
            </w:pPr>
          </w:p>
        </w:tc>
      </w:tr>
      <w:tr>
        <w:trPr>
          <w:trHeight w:val="234"/>
        </w:trPr>
        <w:tc>
          <w:tcPr>
            <w:tcW w:w="4540" w:type="dxa"/>
            <w:vAlign w:val="bottom"/>
            <w:tcBorders>
              <w:bottom w:val="single" w:sz="8" w:color="CEFFE7"/>
            </w:tcBorders>
            <w:shd w:val="clear" w:color="auto" w:fill="CEFFE7"/>
          </w:tcPr>
          <w:p>
            <w:pPr>
              <w:ind w:left="140"/>
              <w:spacing w:after="0"/>
              <w:rPr>
                <w:sz w:val="20"/>
                <w:szCs w:val="20"/>
                <w:color w:val="auto"/>
              </w:rPr>
            </w:pPr>
            <w:r>
              <w:rPr>
                <w:rFonts w:ascii="Arial" w:cs="Arial" w:eastAsia="Arial" w:hAnsi="Arial"/>
                <w:sz w:val="16"/>
                <w:szCs w:val="16"/>
                <w:color w:val="auto"/>
              </w:rPr>
              <w:t>Total Revenue and Quantities Sold</w:t>
            </w:r>
          </w:p>
        </w:tc>
        <w:tc>
          <w:tcPr>
            <w:tcW w:w="38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206,538</w:t>
            </w:r>
          </w:p>
        </w:tc>
        <w:tc>
          <w:tcPr>
            <w:tcW w:w="54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235,404</w:t>
            </w:r>
          </w:p>
        </w:tc>
        <w:tc>
          <w:tcPr>
            <w:tcW w:w="100" w:type="dxa"/>
            <w:vAlign w:val="bottom"/>
            <w:tcBorders>
              <w:bottom w:val="single" w:sz="8" w:color="CEFFE7"/>
            </w:tcBorders>
            <w:shd w:val="clear" w:color="auto" w:fill="CEFFE7"/>
          </w:tcPr>
          <w:p>
            <w:pPr>
              <w:spacing w:after="0"/>
              <w:rPr>
                <w:sz w:val="19"/>
                <w:szCs w:val="19"/>
                <w:color w:val="auto"/>
              </w:rPr>
            </w:pPr>
          </w:p>
        </w:tc>
        <w:tc>
          <w:tcPr>
            <w:tcW w:w="2160" w:type="dxa"/>
            <w:vAlign w:val="bottom"/>
            <w:tcBorders>
              <w:bottom w:val="single" w:sz="8" w:color="auto"/>
            </w:tcBorders>
            <w:shd w:val="clear" w:color="auto" w:fill="CEFFE7"/>
          </w:tcPr>
          <w:p>
            <w:pPr>
              <w:jc w:val="right"/>
              <w:ind w:right="499"/>
              <w:spacing w:after="0"/>
              <w:rPr>
                <w:sz w:val="20"/>
                <w:szCs w:val="20"/>
                <w:color w:val="auto"/>
              </w:rPr>
            </w:pPr>
            <w:r>
              <w:rPr>
                <w:rFonts w:ascii="Arial" w:cs="Arial" w:eastAsia="Arial" w:hAnsi="Arial"/>
                <w:sz w:val="16"/>
                <w:szCs w:val="16"/>
                <w:color w:val="auto"/>
              </w:rPr>
              <w:t>1,812,815</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1,637,205</w:t>
            </w:r>
          </w:p>
        </w:tc>
        <w:tc>
          <w:tcPr>
            <w:tcW w:w="0" w:type="dxa"/>
            <w:vAlign w:val="bottom"/>
          </w:tcPr>
          <w:p>
            <w:pPr>
              <w:spacing w:after="0"/>
              <w:rPr>
                <w:sz w:val="1"/>
                <w:szCs w:val="1"/>
                <w:color w:val="auto"/>
              </w:rPr>
            </w:pPr>
          </w:p>
        </w:tc>
      </w:tr>
      <w:tr>
        <w:trPr>
          <w:trHeight w:val="20"/>
        </w:trPr>
        <w:tc>
          <w:tcPr>
            <w:tcW w:w="4540" w:type="dxa"/>
            <w:vAlign w:val="bottom"/>
            <w:tcBorders>
              <w:top w:val="single" w:sz="8" w:color="CEFFE7"/>
              <w:bottom w:val="single" w:sz="8" w:color="CEFFE7"/>
            </w:tcBorders>
            <w:vMerge w:val="restart"/>
          </w:tcPr>
          <w:p>
            <w:pPr>
              <w:ind w:left="20"/>
              <w:spacing w:after="0" w:line="230" w:lineRule="exact"/>
              <w:rPr>
                <w:sz w:val="20"/>
                <w:szCs w:val="20"/>
                <w:color w:val="auto"/>
              </w:rPr>
            </w:pPr>
            <w:r>
              <w:rPr>
                <w:rFonts w:ascii="Arial" w:cs="Arial" w:eastAsia="Arial" w:hAnsi="Arial"/>
                <w:sz w:val="16"/>
                <w:szCs w:val="16"/>
                <w:color w:val="auto"/>
              </w:rPr>
              <w:t xml:space="preserve">Other Uses, Losses or Generation, net </w:t>
            </w:r>
            <w:r>
              <w:rPr>
                <w:rFonts w:ascii="Arial" w:cs="Arial" w:eastAsia="Arial" w:hAnsi="Arial"/>
                <w:sz w:val="21"/>
                <w:szCs w:val="21"/>
                <w:color w:val="auto"/>
                <w:vertAlign w:val="superscript"/>
              </w:rPr>
              <w:t>(c)</w:t>
            </w: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c>
          <w:tcPr>
            <w:tcW w:w="54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16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tcBorders>
              <w:bottom w:val="single" w:sz="8" w:color="CEFFE7"/>
            </w:tcBorders>
            <w:vMerge w:val="continue"/>
          </w:tcPr>
          <w:p>
            <w:pPr>
              <w:spacing w:after="0"/>
              <w:rPr>
                <w:sz w:val="16"/>
                <w:szCs w:val="16"/>
                <w:color w:val="auto"/>
              </w:rPr>
            </w:pPr>
          </w:p>
        </w:tc>
        <w:tc>
          <w:tcPr>
            <w:tcW w:w="380" w:type="dxa"/>
            <w:vAlign w:val="bottom"/>
            <w:tcBorders>
              <w:bottom w:val="single" w:sz="8" w:color="CEFFE7"/>
            </w:tcBorders>
          </w:tcPr>
          <w:p>
            <w:pPr>
              <w:spacing w:after="0"/>
              <w:rPr>
                <w:sz w:val="16"/>
                <w:szCs w:val="16"/>
                <w:color w:val="auto"/>
              </w:rPr>
            </w:pPr>
          </w:p>
        </w:tc>
        <w:tc>
          <w:tcPr>
            <w:tcW w:w="1240" w:type="dxa"/>
            <w:vAlign w:val="bottom"/>
            <w:tcBorders>
              <w:bottom w:val="single" w:sz="8" w:color="CEFFE7"/>
            </w:tcBorders>
          </w:tcPr>
          <w:p>
            <w:pPr>
              <w:spacing w:after="0"/>
              <w:rPr>
                <w:sz w:val="16"/>
                <w:szCs w:val="16"/>
                <w:color w:val="auto"/>
              </w:rPr>
            </w:pPr>
          </w:p>
        </w:tc>
        <w:tc>
          <w:tcPr>
            <w:tcW w:w="540" w:type="dxa"/>
            <w:vAlign w:val="bottom"/>
            <w:tcBorders>
              <w:bottom w:val="single" w:sz="8" w:color="CEFFE7"/>
            </w:tcBorders>
          </w:tcPr>
          <w:p>
            <w:pPr>
              <w:spacing w:after="0"/>
              <w:rPr>
                <w:sz w:val="16"/>
                <w:szCs w:val="16"/>
                <w:color w:val="auto"/>
              </w:rPr>
            </w:pPr>
          </w:p>
        </w:tc>
        <w:tc>
          <w:tcPr>
            <w:tcW w:w="1140" w:type="dxa"/>
            <w:vAlign w:val="bottom"/>
            <w:tcBorders>
              <w:bottom w:val="single" w:sz="8" w:color="CEFFE7"/>
            </w:tcBorders>
          </w:tcPr>
          <w:p>
            <w:pPr>
              <w:spacing w:after="0"/>
              <w:rPr>
                <w:sz w:val="16"/>
                <w:szCs w:val="16"/>
                <w:color w:val="auto"/>
              </w:rPr>
            </w:pPr>
          </w:p>
        </w:tc>
        <w:tc>
          <w:tcPr>
            <w:tcW w:w="100" w:type="dxa"/>
            <w:vAlign w:val="bottom"/>
            <w:tcBorders>
              <w:bottom w:val="single" w:sz="8" w:color="CEFFE7"/>
            </w:tcBorders>
          </w:tcPr>
          <w:p>
            <w:pPr>
              <w:spacing w:after="0"/>
              <w:rPr>
                <w:sz w:val="16"/>
                <w:szCs w:val="16"/>
                <w:color w:val="auto"/>
              </w:rPr>
            </w:pPr>
          </w:p>
        </w:tc>
        <w:tc>
          <w:tcPr>
            <w:tcW w:w="2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113,286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132,748</w:t>
            </w:r>
          </w:p>
        </w:tc>
        <w:tc>
          <w:tcPr>
            <w:tcW w:w="0" w:type="dxa"/>
            <w:vAlign w:val="bottom"/>
          </w:tcPr>
          <w:p>
            <w:pPr>
              <w:spacing w:after="0"/>
              <w:rPr>
                <w:sz w:val="1"/>
                <w:szCs w:val="1"/>
                <w:color w:val="auto"/>
              </w:rPr>
            </w:pPr>
          </w:p>
        </w:tc>
      </w:tr>
      <w:tr>
        <w:trPr>
          <w:trHeight w:val="234"/>
        </w:trPr>
        <w:tc>
          <w:tcPr>
            <w:tcW w:w="454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Total Energy</w:t>
            </w:r>
          </w:p>
        </w:tc>
        <w:tc>
          <w:tcPr>
            <w:tcW w:w="380" w:type="dxa"/>
            <w:vAlign w:val="bottom"/>
            <w:tcBorders>
              <w:bottom w:val="single" w:sz="8" w:color="CEFFE7"/>
            </w:tcBorders>
            <w:shd w:val="clear" w:color="auto" w:fill="CEFFE7"/>
          </w:tcPr>
          <w:p>
            <w:pPr>
              <w:spacing w:after="0"/>
              <w:rPr>
                <w:sz w:val="19"/>
                <w:szCs w:val="19"/>
                <w:color w:val="auto"/>
              </w:rPr>
            </w:pPr>
          </w:p>
        </w:tc>
        <w:tc>
          <w:tcPr>
            <w:tcW w:w="1240" w:type="dxa"/>
            <w:vAlign w:val="bottom"/>
            <w:tcBorders>
              <w:bottom w:val="single" w:sz="8" w:color="CEFFE7"/>
            </w:tcBorders>
            <w:shd w:val="clear" w:color="auto" w:fill="CEFFE7"/>
          </w:tcPr>
          <w:p>
            <w:pPr>
              <w:spacing w:after="0"/>
              <w:rPr>
                <w:sz w:val="19"/>
                <w:szCs w:val="19"/>
                <w:color w:val="auto"/>
              </w:rPr>
            </w:pPr>
          </w:p>
        </w:tc>
        <w:tc>
          <w:tcPr>
            <w:tcW w:w="5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100" w:type="dxa"/>
            <w:vAlign w:val="bottom"/>
            <w:tcBorders>
              <w:bottom w:val="single" w:sz="8" w:color="CEFFE7"/>
            </w:tcBorders>
            <w:shd w:val="clear" w:color="auto" w:fill="CEFFE7"/>
          </w:tcPr>
          <w:p>
            <w:pPr>
              <w:spacing w:after="0"/>
              <w:rPr>
                <w:sz w:val="19"/>
                <w:szCs w:val="19"/>
                <w:color w:val="auto"/>
              </w:rPr>
            </w:pPr>
          </w:p>
        </w:tc>
        <w:tc>
          <w:tcPr>
            <w:tcW w:w="2160" w:type="dxa"/>
            <w:vAlign w:val="bottom"/>
            <w:tcBorders>
              <w:bottom w:val="single" w:sz="8" w:color="auto"/>
            </w:tcBorders>
            <w:shd w:val="clear" w:color="auto" w:fill="CEFFE7"/>
          </w:tcPr>
          <w:p>
            <w:pPr>
              <w:jc w:val="right"/>
              <w:ind w:right="499"/>
              <w:spacing w:after="0"/>
              <w:rPr>
                <w:sz w:val="20"/>
                <w:szCs w:val="20"/>
                <w:color w:val="auto"/>
              </w:rPr>
            </w:pPr>
            <w:r>
              <w:rPr>
                <w:rFonts w:ascii="Arial" w:cs="Arial" w:eastAsia="Arial" w:hAnsi="Arial"/>
                <w:sz w:val="16"/>
                <w:szCs w:val="16"/>
                <w:color w:val="auto"/>
              </w:rPr>
              <w:t>1,926,101</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1,769,953</w:t>
            </w:r>
          </w:p>
        </w:tc>
        <w:tc>
          <w:tcPr>
            <w:tcW w:w="0" w:type="dxa"/>
            <w:vAlign w:val="bottom"/>
          </w:tcPr>
          <w:p>
            <w:pPr>
              <w:spacing w:after="0"/>
              <w:rPr>
                <w:sz w:val="1"/>
                <w:szCs w:val="1"/>
                <w:color w:val="auto"/>
              </w:rPr>
            </w:pPr>
          </w:p>
        </w:tc>
      </w:tr>
      <w:tr>
        <w:trPr>
          <w:trHeight w:val="20"/>
        </w:trPr>
        <w:tc>
          <w:tcPr>
            <w:tcW w:w="454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CEFFE7"/>
            </w:tcBorders>
          </w:tcPr>
          <w:p>
            <w:pPr>
              <w:spacing w:after="0" w:line="20" w:lineRule="exact"/>
              <w:rPr>
                <w:sz w:val="1"/>
                <w:szCs w:val="1"/>
                <w:color w:val="auto"/>
              </w:rPr>
            </w:pPr>
          </w:p>
        </w:tc>
        <w:tc>
          <w:tcPr>
            <w:tcW w:w="1240" w:type="dxa"/>
            <w:vAlign w:val="bottom"/>
            <w:tcBorders>
              <w:top w:val="single" w:sz="8" w:color="CEFFE7"/>
            </w:tcBorders>
          </w:tcPr>
          <w:p>
            <w:pPr>
              <w:spacing w:after="0" w:line="20" w:lineRule="exact"/>
              <w:rPr>
                <w:sz w:val="1"/>
                <w:szCs w:val="1"/>
                <w:color w:val="auto"/>
              </w:rPr>
            </w:pPr>
          </w:p>
        </w:tc>
        <w:tc>
          <w:tcPr>
            <w:tcW w:w="54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216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4"/>
          </w:tcPr>
          <w:p>
            <w:pPr>
              <w:ind w:left="480"/>
              <w:spacing w:after="0"/>
              <w:rPr>
                <w:sz w:val="20"/>
                <w:szCs w:val="20"/>
                <w:color w:val="auto"/>
              </w:rPr>
            </w:pPr>
            <w:r>
              <w:rPr>
                <w:rFonts w:ascii="Arial" w:cs="Arial" w:eastAsia="Arial" w:hAnsi="Arial"/>
                <w:sz w:val="16"/>
                <w:szCs w:val="16"/>
                <w:color w:val="auto"/>
              </w:rPr>
              <w:t>Revenue (in thousands)</w:t>
            </w:r>
          </w:p>
        </w:tc>
        <w:tc>
          <w:tcPr>
            <w:tcW w:w="3240" w:type="dxa"/>
            <w:vAlign w:val="bottom"/>
            <w:gridSpan w:val="2"/>
          </w:tcPr>
          <w:p>
            <w:pPr>
              <w:jc w:val="right"/>
              <w:ind w:right="719"/>
              <w:spacing w:after="0"/>
              <w:rPr>
                <w:sz w:val="20"/>
                <w:szCs w:val="20"/>
                <w:color w:val="auto"/>
              </w:rPr>
            </w:pPr>
            <w:r>
              <w:rPr>
                <w:rFonts w:ascii="Arial" w:cs="Arial" w:eastAsia="Arial" w:hAnsi="Arial"/>
                <w:sz w:val="16"/>
                <w:szCs w:val="16"/>
                <w:color w:val="auto"/>
              </w:rPr>
              <w:t>Quantities Sold (MWh)</w:t>
            </w:r>
          </w:p>
        </w:tc>
      </w:tr>
      <w:tr>
        <w:trPr>
          <w:trHeight w:val="209"/>
        </w:trPr>
        <w:tc>
          <w:tcPr>
            <w:tcW w:w="46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Three Months Ended March 31,</w:t>
            </w:r>
          </w:p>
        </w:tc>
        <w:tc>
          <w:tcPr>
            <w:tcW w:w="100" w:type="dxa"/>
            <w:vAlign w:val="bottom"/>
          </w:tcPr>
          <w:p>
            <w:pPr>
              <w:spacing w:after="0"/>
              <w:rPr>
                <w:sz w:val="18"/>
                <w:szCs w:val="18"/>
                <w:color w:val="auto"/>
              </w:rPr>
            </w:pPr>
          </w:p>
        </w:tc>
        <w:tc>
          <w:tcPr>
            <w:tcW w:w="3240" w:type="dxa"/>
            <w:vAlign w:val="bottom"/>
            <w:tcBorders>
              <w:top w:val="single" w:sz="8" w:color="auto"/>
            </w:tcBorders>
            <w:gridSpan w:val="2"/>
          </w:tcPr>
          <w:p>
            <w:pPr>
              <w:jc w:val="right"/>
              <w:ind w:right="399"/>
              <w:spacing w:after="0"/>
              <w:rPr>
                <w:sz w:val="20"/>
                <w:szCs w:val="20"/>
                <w:color w:val="auto"/>
              </w:rPr>
            </w:pPr>
            <w:r>
              <w:rPr>
                <w:rFonts w:ascii="Arial" w:cs="Arial" w:eastAsia="Arial" w:hAnsi="Arial"/>
                <w:sz w:val="16"/>
                <w:szCs w:val="16"/>
                <w:color w:val="auto"/>
              </w:rPr>
              <w:t>Three Months Ended March 31,</w:t>
            </w:r>
          </w:p>
        </w:tc>
      </w:tr>
      <w:tr>
        <w:trPr>
          <w:trHeight w:val="216"/>
        </w:trPr>
        <w:tc>
          <w:tcPr>
            <w:tcW w:w="4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2022</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EFFE7"/>
            </w:tcBorders>
          </w:tcPr>
          <w:p>
            <w:pPr>
              <w:spacing w:after="0"/>
              <w:rPr>
                <w:sz w:val="18"/>
                <w:szCs w:val="18"/>
                <w:color w:val="auto"/>
              </w:rPr>
            </w:pPr>
          </w:p>
        </w:tc>
        <w:tc>
          <w:tcPr>
            <w:tcW w:w="19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2022</w:t>
            </w: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r>
      <w:tr>
        <w:trPr>
          <w:trHeight w:val="210"/>
        </w:trPr>
        <w:tc>
          <w:tcPr>
            <w:tcW w:w="4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2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75,445</w:t>
            </w:r>
          </w:p>
        </w:tc>
        <w:tc>
          <w:tcPr>
            <w:tcW w:w="4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79,437</w:t>
            </w:r>
          </w:p>
        </w:tc>
        <w:tc>
          <w:tcPr>
            <w:tcW w:w="100" w:type="dxa"/>
            <w:vAlign w:val="bottom"/>
            <w:shd w:val="clear" w:color="auto" w:fill="CEFFE7"/>
          </w:tcPr>
          <w:p>
            <w:pPr>
              <w:spacing w:after="0"/>
              <w:rPr>
                <w:sz w:val="18"/>
                <w:szCs w:val="18"/>
                <w:color w:val="auto"/>
              </w:rPr>
            </w:pPr>
          </w:p>
        </w:tc>
        <w:tc>
          <w:tcPr>
            <w:tcW w:w="190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619,588</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553,980</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78,597</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94,129</w:t>
            </w:r>
          </w:p>
        </w:tc>
        <w:tc>
          <w:tcPr>
            <w:tcW w:w="100" w:type="dxa"/>
            <w:vAlign w:val="bottom"/>
          </w:tcPr>
          <w:p>
            <w:pPr>
              <w:spacing w:after="0"/>
              <w:rPr>
                <w:sz w:val="18"/>
                <w:szCs w:val="18"/>
                <w:color w:val="auto"/>
              </w:rPr>
            </w:pPr>
          </w:p>
        </w:tc>
        <w:tc>
          <w:tcPr>
            <w:tcW w:w="1900" w:type="dxa"/>
            <w:vAlign w:val="bottom"/>
          </w:tcPr>
          <w:p>
            <w:pPr>
              <w:jc w:val="right"/>
              <w:ind w:right="279"/>
              <w:spacing w:after="0"/>
              <w:rPr>
                <w:sz w:val="20"/>
                <w:szCs w:val="20"/>
                <w:color w:val="auto"/>
              </w:rPr>
            </w:pPr>
            <w:r>
              <w:rPr>
                <w:rFonts w:ascii="Arial" w:cs="Arial" w:eastAsia="Arial" w:hAnsi="Arial"/>
                <w:sz w:val="16"/>
                <w:szCs w:val="16"/>
                <w:color w:val="auto"/>
              </w:rPr>
              <w:t>644,223</w:t>
            </w:r>
          </w:p>
        </w:tc>
        <w:tc>
          <w:tcPr>
            <w:tcW w:w="1340" w:type="dxa"/>
            <w:vAlign w:val="bottom"/>
          </w:tcPr>
          <w:p>
            <w:pPr>
              <w:jc w:val="right"/>
              <w:spacing w:after="0"/>
              <w:rPr>
                <w:sz w:val="20"/>
                <w:szCs w:val="20"/>
                <w:color w:val="auto"/>
              </w:rPr>
            </w:pPr>
            <w:r>
              <w:rPr>
                <w:rFonts w:ascii="Arial" w:cs="Arial" w:eastAsia="Arial" w:hAnsi="Arial"/>
                <w:sz w:val="16"/>
                <w:szCs w:val="16"/>
                <w:color w:val="auto"/>
              </w:rPr>
              <w:t>581,848</w:t>
            </w:r>
          </w:p>
        </w:tc>
      </w:tr>
      <w:tr>
        <w:trPr>
          <w:trHeight w:val="217"/>
        </w:trPr>
        <w:tc>
          <w:tcPr>
            <w:tcW w:w="46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280" w:type="dxa"/>
            <w:vAlign w:val="bottom"/>
            <w:shd w:val="clear" w:color="auto" w:fill="CEFFE7"/>
          </w:tcPr>
          <w:p>
            <w:pPr>
              <w:spacing w:after="0"/>
              <w:rPr>
                <w:sz w:val="18"/>
                <w:szCs w:val="18"/>
                <w:color w:val="auto"/>
              </w:rPr>
            </w:pP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42,089</w:t>
            </w:r>
          </w:p>
        </w:tc>
        <w:tc>
          <w:tcPr>
            <w:tcW w:w="400" w:type="dxa"/>
            <w:vAlign w:val="bottom"/>
            <w:shd w:val="clear" w:color="auto" w:fill="CEFFE7"/>
          </w:tcPr>
          <w:p>
            <w:pPr>
              <w:spacing w:after="0"/>
              <w:rPr>
                <w:sz w:val="18"/>
                <w:szCs w:val="18"/>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49,950</w:t>
            </w:r>
          </w:p>
        </w:tc>
        <w:tc>
          <w:tcPr>
            <w:tcW w:w="100" w:type="dxa"/>
            <w:vAlign w:val="bottom"/>
            <w:shd w:val="clear" w:color="auto" w:fill="CEFFE7"/>
          </w:tcPr>
          <w:p>
            <w:pPr>
              <w:spacing w:after="0"/>
              <w:rPr>
                <w:sz w:val="18"/>
                <w:szCs w:val="18"/>
                <w:color w:val="auto"/>
              </w:rPr>
            </w:pPr>
          </w:p>
        </w:tc>
        <w:tc>
          <w:tcPr>
            <w:tcW w:w="190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459,910</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421,862</w:t>
            </w:r>
          </w:p>
        </w:tc>
      </w:tr>
      <w:tr>
        <w:trPr>
          <w:trHeight w:val="215"/>
        </w:trPr>
        <w:tc>
          <w:tcPr>
            <w:tcW w:w="46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Integrated Generation</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10,407</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11,888</w:t>
            </w:r>
          </w:p>
        </w:tc>
        <w:tc>
          <w:tcPr>
            <w:tcW w:w="100" w:type="dxa"/>
            <w:vAlign w:val="bottom"/>
            <w:tcBorders>
              <w:bottom w:val="single" w:sz="8" w:color="CEFFE7"/>
            </w:tcBorders>
          </w:tcPr>
          <w:p>
            <w:pPr>
              <w:spacing w:after="0"/>
              <w:rPr>
                <w:sz w:val="18"/>
                <w:szCs w:val="18"/>
                <w:color w:val="auto"/>
              </w:rPr>
            </w:pP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89,094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79,515</w:t>
            </w:r>
          </w:p>
        </w:tc>
      </w:tr>
      <w:tr>
        <w:trPr>
          <w:trHeight w:val="235"/>
        </w:trPr>
        <w:tc>
          <w:tcPr>
            <w:tcW w:w="4660" w:type="dxa"/>
            <w:vAlign w:val="bottom"/>
            <w:tcBorders>
              <w:bottom w:val="single" w:sz="8" w:color="CEFFE7"/>
            </w:tcBorders>
            <w:shd w:val="clear" w:color="auto" w:fill="CEFFE7"/>
          </w:tcPr>
          <w:p>
            <w:pPr>
              <w:ind w:left="220"/>
              <w:spacing w:after="0"/>
              <w:rPr>
                <w:sz w:val="20"/>
                <w:szCs w:val="20"/>
                <w:color w:val="auto"/>
              </w:rPr>
            </w:pPr>
            <w:r>
              <w:rPr>
                <w:rFonts w:ascii="Arial" w:cs="Arial" w:eastAsia="Arial" w:hAnsi="Arial"/>
                <w:sz w:val="16"/>
                <w:szCs w:val="16"/>
                <w:color w:val="auto"/>
              </w:rPr>
              <w:t>Total Revenue and Quantities Sold</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206,538</w:t>
            </w:r>
          </w:p>
        </w:tc>
        <w:tc>
          <w:tcPr>
            <w:tcW w:w="40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235,404</w:t>
            </w:r>
          </w:p>
        </w:tc>
        <w:tc>
          <w:tcPr>
            <w:tcW w:w="100" w:type="dxa"/>
            <w:vAlign w:val="bottom"/>
            <w:tcBorders>
              <w:bottom w:val="single" w:sz="8" w:color="CEFFE7"/>
            </w:tcBorders>
            <w:shd w:val="clear" w:color="auto" w:fill="CEFFE7"/>
          </w:tcPr>
          <w:p>
            <w:pPr>
              <w:spacing w:after="0"/>
              <w:rPr>
                <w:sz w:val="20"/>
                <w:szCs w:val="20"/>
                <w:color w:val="auto"/>
              </w:rPr>
            </w:pPr>
          </w:p>
        </w:tc>
        <w:tc>
          <w:tcPr>
            <w:tcW w:w="190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1,812,815</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1,637,205</w:t>
            </w:r>
          </w:p>
        </w:tc>
      </w:tr>
      <w:tr>
        <w:trPr>
          <w:trHeight w:val="20"/>
        </w:trPr>
        <w:tc>
          <w:tcPr>
            <w:tcW w:w="466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26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9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r>
      <w:tr>
        <w:trPr>
          <w:trHeight w:val="809"/>
        </w:trPr>
        <w:tc>
          <w:tcPr>
            <w:tcW w:w="4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color w:val="auto"/>
              </w:rPr>
              <w:t>32</w:t>
            </w: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6"/>
        </w:trPr>
        <w:tc>
          <w:tcPr>
            <w:tcW w:w="4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6740" w:type="dxa"/>
            <w:vAlign w:val="bottom"/>
          </w:tcPr>
          <w:p>
            <w:pPr>
              <w:spacing w:after="0"/>
              <w:rPr>
                <w:sz w:val="24"/>
                <w:szCs w:val="24"/>
                <w:color w:val="auto"/>
              </w:rPr>
            </w:pPr>
          </w:p>
        </w:tc>
        <w:tc>
          <w:tcPr>
            <w:tcW w:w="3140" w:type="dxa"/>
            <w:vAlign w:val="bottom"/>
            <w:gridSpan w:val="2"/>
          </w:tcPr>
          <w:p>
            <w:pPr>
              <w:jc w:val="right"/>
              <w:ind w:right="339"/>
              <w:spacing w:after="0"/>
              <w:rPr>
                <w:sz w:val="20"/>
                <w:szCs w:val="20"/>
                <w:color w:val="auto"/>
              </w:rPr>
            </w:pPr>
            <w:r>
              <w:rPr>
                <w:rFonts w:ascii="Arial" w:cs="Arial" w:eastAsia="Arial" w:hAnsi="Arial"/>
                <w:sz w:val="16"/>
                <w:szCs w:val="16"/>
                <w:color w:val="auto"/>
              </w:rPr>
              <w:t>Three Months Ended March 31,</w:t>
            </w:r>
          </w:p>
        </w:tc>
      </w:tr>
      <w:tr>
        <w:trPr>
          <w:trHeight w:val="217"/>
        </w:trPr>
        <w:tc>
          <w:tcPr>
            <w:tcW w:w="81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Quantities Generated and Purchased by Fuel Type (MWh)</w:t>
            </w:r>
          </w:p>
        </w:tc>
        <w:tc>
          <w:tcPr>
            <w:tcW w:w="18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2022</w:t>
            </w: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r>
      <w:tr>
        <w:trPr>
          <w:trHeight w:val="210"/>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Generated:</w:t>
            </w: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810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Coal</w:t>
            </w:r>
          </w:p>
        </w:tc>
        <w:tc>
          <w:tcPr>
            <w:tcW w:w="18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663,438</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618,134</w:t>
            </w:r>
          </w:p>
        </w:tc>
      </w:tr>
      <w:tr>
        <w:trPr>
          <w:trHeight w:val="215"/>
        </w:trPr>
        <w:tc>
          <w:tcPr>
            <w:tcW w:w="8100" w:type="dxa"/>
            <w:vAlign w:val="bottom"/>
            <w:gridSpan w:val="2"/>
          </w:tcPr>
          <w:p>
            <w:pPr>
              <w:ind w:left="240"/>
              <w:spacing w:after="0"/>
              <w:rPr>
                <w:sz w:val="20"/>
                <w:szCs w:val="20"/>
                <w:color w:val="auto"/>
              </w:rPr>
            </w:pPr>
            <w:r>
              <w:rPr>
                <w:rFonts w:ascii="Arial" w:cs="Arial" w:eastAsia="Arial" w:hAnsi="Arial"/>
                <w:sz w:val="16"/>
                <w:szCs w:val="16"/>
                <w:color w:val="auto"/>
              </w:rPr>
              <w:t>Natural Gas and Oil</w:t>
            </w:r>
          </w:p>
        </w:tc>
        <w:tc>
          <w:tcPr>
            <w:tcW w:w="1840" w:type="dxa"/>
            <w:vAlign w:val="bottom"/>
          </w:tcPr>
          <w:p>
            <w:pPr>
              <w:jc w:val="right"/>
              <w:ind w:right="259"/>
              <w:spacing w:after="0"/>
              <w:rPr>
                <w:sz w:val="20"/>
                <w:szCs w:val="20"/>
                <w:color w:val="auto"/>
              </w:rPr>
            </w:pPr>
            <w:r>
              <w:rPr>
                <w:rFonts w:ascii="Arial" w:cs="Arial" w:eastAsia="Arial" w:hAnsi="Arial"/>
                <w:sz w:val="16"/>
                <w:szCs w:val="16"/>
                <w:color w:val="auto"/>
              </w:rPr>
              <w:t>296,422</w:t>
            </w:r>
          </w:p>
        </w:tc>
        <w:tc>
          <w:tcPr>
            <w:tcW w:w="1300" w:type="dxa"/>
            <w:vAlign w:val="bottom"/>
          </w:tcPr>
          <w:p>
            <w:pPr>
              <w:jc w:val="right"/>
              <w:spacing w:after="0"/>
              <w:rPr>
                <w:sz w:val="20"/>
                <w:szCs w:val="20"/>
                <w:color w:val="auto"/>
              </w:rPr>
            </w:pPr>
            <w:r>
              <w:rPr>
                <w:rFonts w:ascii="Arial" w:cs="Arial" w:eastAsia="Arial" w:hAnsi="Arial"/>
                <w:sz w:val="16"/>
                <w:szCs w:val="16"/>
                <w:color w:val="auto"/>
              </w:rPr>
              <w:t>373,786</w:t>
            </w:r>
          </w:p>
        </w:tc>
      </w:tr>
      <w:tr>
        <w:trPr>
          <w:trHeight w:val="217"/>
        </w:trPr>
        <w:tc>
          <w:tcPr>
            <w:tcW w:w="810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8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253,568</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213,847</w:t>
            </w:r>
          </w:p>
        </w:tc>
      </w:tr>
      <w:tr>
        <w:trPr>
          <w:trHeight w:val="209"/>
        </w:trPr>
        <w:tc>
          <w:tcPr>
            <w:tcW w:w="8100" w:type="dxa"/>
            <w:vAlign w:val="bottom"/>
            <w:tcBorders>
              <w:bottom w:val="single" w:sz="8" w:color="CEFFE7"/>
            </w:tcBorders>
            <w:gridSpan w:val="2"/>
          </w:tcPr>
          <w:p>
            <w:pPr>
              <w:ind w:left="440"/>
              <w:spacing w:after="0"/>
              <w:rPr>
                <w:sz w:val="20"/>
                <w:szCs w:val="20"/>
                <w:color w:val="auto"/>
              </w:rPr>
            </w:pPr>
            <w:r>
              <w:rPr>
                <w:rFonts w:ascii="Arial" w:cs="Arial" w:eastAsia="Arial" w:hAnsi="Arial"/>
                <w:sz w:val="16"/>
                <w:szCs w:val="16"/>
                <w:color w:val="auto"/>
              </w:rPr>
              <w:t>Total Generated</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1,213,428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1,205,767</w:t>
            </w:r>
          </w:p>
        </w:tc>
      </w:tr>
      <w:tr>
        <w:trPr>
          <w:trHeight w:val="197"/>
        </w:trPr>
        <w:tc>
          <w:tcPr>
            <w:tcW w:w="81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184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r>
      <w:tr>
        <w:trPr>
          <w:trHeight w:val="215"/>
        </w:trPr>
        <w:tc>
          <w:tcPr>
            <w:tcW w:w="8100" w:type="dxa"/>
            <w:vAlign w:val="bottom"/>
            <w:gridSpan w:val="2"/>
          </w:tcPr>
          <w:p>
            <w:pPr>
              <w:ind w:left="240"/>
              <w:spacing w:after="0"/>
              <w:rPr>
                <w:sz w:val="20"/>
                <w:szCs w:val="20"/>
                <w:color w:val="auto"/>
              </w:rPr>
            </w:pPr>
            <w:r>
              <w:rPr>
                <w:rFonts w:ascii="Arial" w:cs="Arial" w:eastAsia="Arial" w:hAnsi="Arial"/>
                <w:sz w:val="16"/>
                <w:szCs w:val="16"/>
                <w:color w:val="auto"/>
              </w:rPr>
              <w:t>Coal, Natural Gas, Oil and Other Market Purchases</w:t>
            </w:r>
          </w:p>
        </w:tc>
        <w:tc>
          <w:tcPr>
            <w:tcW w:w="1840" w:type="dxa"/>
            <w:vAlign w:val="bottom"/>
          </w:tcPr>
          <w:p>
            <w:pPr>
              <w:jc w:val="right"/>
              <w:ind w:right="259"/>
              <w:spacing w:after="0"/>
              <w:rPr>
                <w:sz w:val="20"/>
                <w:szCs w:val="20"/>
                <w:color w:val="auto"/>
              </w:rPr>
            </w:pPr>
            <w:r>
              <w:rPr>
                <w:rFonts w:ascii="Arial" w:cs="Arial" w:eastAsia="Arial" w:hAnsi="Arial"/>
                <w:sz w:val="16"/>
                <w:szCs w:val="16"/>
                <w:color w:val="auto"/>
              </w:rPr>
              <w:t>588,160</w:t>
            </w:r>
          </w:p>
        </w:tc>
        <w:tc>
          <w:tcPr>
            <w:tcW w:w="1300" w:type="dxa"/>
            <w:vAlign w:val="bottom"/>
          </w:tcPr>
          <w:p>
            <w:pPr>
              <w:jc w:val="right"/>
              <w:spacing w:after="0"/>
              <w:rPr>
                <w:sz w:val="20"/>
                <w:szCs w:val="20"/>
                <w:color w:val="auto"/>
              </w:rPr>
            </w:pPr>
            <w:r>
              <w:rPr>
                <w:rFonts w:ascii="Arial" w:cs="Arial" w:eastAsia="Arial" w:hAnsi="Arial"/>
                <w:sz w:val="16"/>
                <w:szCs w:val="16"/>
                <w:color w:val="auto"/>
              </w:rPr>
              <w:t>464,541</w:t>
            </w:r>
          </w:p>
        </w:tc>
      </w:tr>
      <w:tr>
        <w:trPr>
          <w:trHeight w:val="217"/>
        </w:trPr>
        <w:tc>
          <w:tcPr>
            <w:tcW w:w="8100" w:type="dxa"/>
            <w:vAlign w:val="bottom"/>
            <w:gridSpan w:val="2"/>
            <w:shd w:val="clear" w:color="auto" w:fill="CEFFE7"/>
          </w:tcPr>
          <w:p>
            <w:pPr>
              <w:ind w:left="240"/>
              <w:spacing w:after="0"/>
              <w:rPr>
                <w:sz w:val="20"/>
                <w:szCs w:val="20"/>
                <w:color w:val="auto"/>
              </w:rPr>
            </w:pPr>
            <w:r>
              <w:rPr>
                <w:rFonts w:ascii="Arial" w:cs="Arial" w:eastAsia="Arial" w:hAnsi="Arial"/>
                <w:sz w:val="16"/>
                <w:szCs w:val="16"/>
                <w:color w:val="auto"/>
              </w:rPr>
              <w:t>Wind</w:t>
            </w:r>
          </w:p>
        </w:tc>
        <w:tc>
          <w:tcPr>
            <w:tcW w:w="18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124,513</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99,645</w:t>
            </w:r>
          </w:p>
        </w:tc>
      </w:tr>
      <w:tr>
        <w:trPr>
          <w:trHeight w:val="209"/>
        </w:trPr>
        <w:tc>
          <w:tcPr>
            <w:tcW w:w="8100" w:type="dxa"/>
            <w:vAlign w:val="bottom"/>
            <w:tcBorders>
              <w:bottom w:val="single" w:sz="8" w:color="CEFFE7"/>
            </w:tcBorders>
            <w:gridSpan w:val="2"/>
          </w:tcPr>
          <w:p>
            <w:pPr>
              <w:ind w:left="440"/>
              <w:spacing w:after="0"/>
              <w:rPr>
                <w:sz w:val="20"/>
                <w:szCs w:val="20"/>
                <w:color w:val="auto"/>
              </w:rPr>
            </w:pPr>
            <w:r>
              <w:rPr>
                <w:rFonts w:ascii="Arial" w:cs="Arial" w:eastAsia="Arial" w:hAnsi="Arial"/>
                <w:sz w:val="16"/>
                <w:szCs w:val="16"/>
                <w:color w:val="auto"/>
              </w:rPr>
              <w:t>Total Purchased</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712,673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564,186</w:t>
            </w:r>
          </w:p>
        </w:tc>
      </w:tr>
      <w:tr>
        <w:trPr>
          <w:trHeight w:val="143"/>
        </w:trPr>
        <w:tc>
          <w:tcPr>
            <w:tcW w:w="1360" w:type="dxa"/>
            <w:vAlign w:val="bottom"/>
            <w:shd w:val="clear" w:color="auto" w:fill="CEFFE7"/>
          </w:tcPr>
          <w:p>
            <w:pPr>
              <w:spacing w:after="0"/>
              <w:rPr>
                <w:sz w:val="12"/>
                <w:szCs w:val="12"/>
                <w:color w:val="auto"/>
              </w:rPr>
            </w:pPr>
          </w:p>
        </w:tc>
        <w:tc>
          <w:tcPr>
            <w:tcW w:w="6740" w:type="dxa"/>
            <w:vAlign w:val="bottom"/>
            <w:shd w:val="clear" w:color="auto" w:fill="CEFFE7"/>
          </w:tcPr>
          <w:p>
            <w:pPr>
              <w:spacing w:after="0"/>
              <w:rPr>
                <w:sz w:val="12"/>
                <w:szCs w:val="12"/>
                <w:color w:val="auto"/>
              </w:rPr>
            </w:pPr>
          </w:p>
        </w:tc>
        <w:tc>
          <w:tcPr>
            <w:tcW w:w="1840" w:type="dxa"/>
            <w:vAlign w:val="bottom"/>
            <w:shd w:val="clear" w:color="auto" w:fill="CEFFE7"/>
          </w:tcPr>
          <w:p>
            <w:pPr>
              <w:spacing w:after="0"/>
              <w:rPr>
                <w:sz w:val="12"/>
                <w:szCs w:val="12"/>
                <w:color w:val="auto"/>
              </w:rPr>
            </w:pPr>
          </w:p>
        </w:tc>
        <w:tc>
          <w:tcPr>
            <w:tcW w:w="1300" w:type="dxa"/>
            <w:vAlign w:val="bottom"/>
            <w:shd w:val="clear" w:color="auto" w:fill="CEFFE7"/>
          </w:tcPr>
          <w:p>
            <w:pPr>
              <w:spacing w:after="0"/>
              <w:rPr>
                <w:sz w:val="12"/>
                <w:szCs w:val="12"/>
                <w:color w:val="auto"/>
              </w:rPr>
            </w:pPr>
          </w:p>
        </w:tc>
      </w:tr>
      <w:tr>
        <w:trPr>
          <w:trHeight w:val="216"/>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Total Generated and Purchased</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1,926,101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1,769,953</w:t>
            </w:r>
          </w:p>
        </w:tc>
      </w:tr>
      <w:tr>
        <w:trPr>
          <w:trHeight w:val="21"/>
        </w:trPr>
        <w:tc>
          <w:tcPr>
            <w:tcW w:w="13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140" w:type="dxa"/>
            <w:vAlign w:val="bottom"/>
            <w:tcBorders>
              <w:bottom w:val="single" w:sz="8" w:color="auto"/>
            </w:tcBorders>
            <w:gridSpan w:val="2"/>
          </w:tcPr>
          <w:p>
            <w:pPr>
              <w:spacing w:after="0" w:line="20" w:lineRule="exact"/>
              <w:rPr>
                <w:sz w:val="1"/>
                <w:szCs w:val="1"/>
                <w:color w:val="auto"/>
              </w:rPr>
            </w:pPr>
          </w:p>
        </w:tc>
      </w:tr>
      <w:tr>
        <w:trPr>
          <w:trHeight w:val="572"/>
        </w:trPr>
        <w:tc>
          <w:tcPr>
            <w:tcW w:w="13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140" w:type="dxa"/>
            <w:vAlign w:val="bottom"/>
            <w:gridSpan w:val="2"/>
          </w:tcPr>
          <w:p>
            <w:pPr>
              <w:jc w:val="right"/>
              <w:ind w:right="339"/>
              <w:spacing w:after="0"/>
              <w:rPr>
                <w:sz w:val="20"/>
                <w:szCs w:val="20"/>
                <w:color w:val="auto"/>
              </w:rPr>
            </w:pPr>
            <w:r>
              <w:rPr>
                <w:rFonts w:ascii="Arial" w:cs="Arial" w:eastAsia="Arial" w:hAnsi="Arial"/>
                <w:sz w:val="16"/>
                <w:szCs w:val="16"/>
                <w:color w:val="auto"/>
              </w:rPr>
              <w:t>Three Months Ended March 31,</w:t>
            </w:r>
          </w:p>
        </w:tc>
      </w:tr>
      <w:tr>
        <w:trPr>
          <w:trHeight w:val="217"/>
        </w:trPr>
        <w:tc>
          <w:tcPr>
            <w:tcW w:w="81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2022</w:t>
            </w: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r>
      <w:tr>
        <w:trPr>
          <w:trHeight w:val="210"/>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Generated:</w:t>
            </w:r>
          </w:p>
        </w:tc>
        <w:tc>
          <w:tcPr>
            <w:tcW w:w="18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810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8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85,431</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90,256</w:t>
            </w:r>
          </w:p>
        </w:tc>
      </w:tr>
      <w:tr>
        <w:trPr>
          <w:trHeight w:val="215"/>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South Dakota Electric</w:t>
            </w:r>
          </w:p>
        </w:tc>
        <w:tc>
          <w:tcPr>
            <w:tcW w:w="1840" w:type="dxa"/>
            <w:vAlign w:val="bottom"/>
          </w:tcPr>
          <w:p>
            <w:pPr>
              <w:jc w:val="right"/>
              <w:ind w:right="259"/>
              <w:spacing w:after="0"/>
              <w:rPr>
                <w:sz w:val="20"/>
                <w:szCs w:val="20"/>
                <w:color w:val="auto"/>
              </w:rPr>
            </w:pPr>
            <w:r>
              <w:rPr>
                <w:rFonts w:ascii="Arial" w:cs="Arial" w:eastAsia="Arial" w:hAnsi="Arial"/>
                <w:sz w:val="16"/>
                <w:szCs w:val="16"/>
                <w:color w:val="auto"/>
              </w:rPr>
              <w:t>455,605</w:t>
            </w:r>
          </w:p>
        </w:tc>
        <w:tc>
          <w:tcPr>
            <w:tcW w:w="1300" w:type="dxa"/>
            <w:vAlign w:val="bottom"/>
          </w:tcPr>
          <w:p>
            <w:pPr>
              <w:jc w:val="right"/>
              <w:spacing w:after="0"/>
              <w:rPr>
                <w:sz w:val="20"/>
                <w:szCs w:val="20"/>
                <w:color w:val="auto"/>
              </w:rPr>
            </w:pPr>
            <w:r>
              <w:rPr>
                <w:rFonts w:ascii="Arial" w:cs="Arial" w:eastAsia="Arial" w:hAnsi="Arial"/>
                <w:sz w:val="16"/>
                <w:szCs w:val="16"/>
                <w:color w:val="auto"/>
              </w:rPr>
              <w:t>468,816</w:t>
            </w:r>
          </w:p>
        </w:tc>
      </w:tr>
      <w:tr>
        <w:trPr>
          <w:trHeight w:val="217"/>
        </w:trPr>
        <w:tc>
          <w:tcPr>
            <w:tcW w:w="810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8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204,598</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173,990</w:t>
            </w:r>
          </w:p>
        </w:tc>
      </w:tr>
      <w:tr>
        <w:trPr>
          <w:trHeight w:val="215"/>
        </w:trPr>
        <w:tc>
          <w:tcPr>
            <w:tcW w:w="8100" w:type="dxa"/>
            <w:vAlign w:val="bottom"/>
            <w:tcBorders>
              <w:bottom w:val="single" w:sz="8" w:color="CEFFE7"/>
            </w:tcBorders>
            <w:gridSpan w:val="2"/>
          </w:tcPr>
          <w:p>
            <w:pPr>
              <w:ind w:left="220"/>
              <w:spacing w:after="0"/>
              <w:rPr>
                <w:sz w:val="20"/>
                <w:szCs w:val="20"/>
                <w:color w:val="auto"/>
              </w:rPr>
            </w:pPr>
            <w:r>
              <w:rPr>
                <w:rFonts w:ascii="Arial" w:cs="Arial" w:eastAsia="Arial" w:hAnsi="Arial"/>
                <w:sz w:val="16"/>
                <w:szCs w:val="16"/>
                <w:color w:val="auto"/>
              </w:rPr>
              <w:t>Integrated Generation</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467,794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472,704</w:t>
            </w:r>
          </w:p>
        </w:tc>
      </w:tr>
      <w:tr>
        <w:trPr>
          <w:trHeight w:val="210"/>
        </w:trPr>
        <w:tc>
          <w:tcPr>
            <w:tcW w:w="8100" w:type="dxa"/>
            <w:vAlign w:val="bottom"/>
            <w:gridSpan w:val="2"/>
            <w:shd w:val="clear" w:color="auto" w:fill="CEFFE7"/>
          </w:tcPr>
          <w:p>
            <w:pPr>
              <w:ind w:left="480"/>
              <w:spacing w:after="0"/>
              <w:rPr>
                <w:sz w:val="20"/>
                <w:szCs w:val="20"/>
                <w:color w:val="auto"/>
              </w:rPr>
            </w:pPr>
            <w:r>
              <w:rPr>
                <w:rFonts w:ascii="Arial" w:cs="Arial" w:eastAsia="Arial" w:hAnsi="Arial"/>
                <w:sz w:val="16"/>
                <w:szCs w:val="16"/>
                <w:color w:val="auto"/>
              </w:rPr>
              <w:t>Total Generated</w:t>
            </w:r>
          </w:p>
        </w:tc>
        <w:tc>
          <w:tcPr>
            <w:tcW w:w="18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1,213,428</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1,205,766</w:t>
            </w:r>
          </w:p>
        </w:tc>
      </w:tr>
      <w:tr>
        <w:trPr>
          <w:trHeight w:val="195"/>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Purchased:</w:t>
            </w:r>
          </w:p>
        </w:tc>
        <w:tc>
          <w:tcPr>
            <w:tcW w:w="1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810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Colorado Electric</w:t>
            </w:r>
          </w:p>
        </w:tc>
        <w:tc>
          <w:tcPr>
            <w:tcW w:w="18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300,397</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220,245</w:t>
            </w:r>
          </w:p>
        </w:tc>
      </w:tr>
      <w:tr>
        <w:trPr>
          <w:trHeight w:val="215"/>
        </w:trPr>
        <w:tc>
          <w:tcPr>
            <w:tcW w:w="8100" w:type="dxa"/>
            <w:vAlign w:val="bottom"/>
            <w:gridSpan w:val="2"/>
          </w:tcPr>
          <w:p>
            <w:pPr>
              <w:ind w:left="220"/>
              <w:spacing w:after="0"/>
              <w:rPr>
                <w:sz w:val="20"/>
                <w:szCs w:val="20"/>
                <w:color w:val="auto"/>
              </w:rPr>
            </w:pPr>
            <w:r>
              <w:rPr>
                <w:rFonts w:ascii="Arial" w:cs="Arial" w:eastAsia="Arial" w:hAnsi="Arial"/>
                <w:sz w:val="16"/>
                <w:szCs w:val="16"/>
                <w:color w:val="auto"/>
              </w:rPr>
              <w:t>South Dakota Electric</w:t>
            </w:r>
          </w:p>
        </w:tc>
        <w:tc>
          <w:tcPr>
            <w:tcW w:w="1840" w:type="dxa"/>
            <w:vAlign w:val="bottom"/>
          </w:tcPr>
          <w:p>
            <w:pPr>
              <w:jc w:val="right"/>
              <w:ind w:right="259"/>
              <w:spacing w:after="0"/>
              <w:rPr>
                <w:sz w:val="20"/>
                <w:szCs w:val="20"/>
                <w:color w:val="auto"/>
              </w:rPr>
            </w:pPr>
            <w:r>
              <w:rPr>
                <w:rFonts w:ascii="Arial" w:cs="Arial" w:eastAsia="Arial" w:hAnsi="Arial"/>
                <w:sz w:val="16"/>
                <w:szCs w:val="16"/>
                <w:color w:val="auto"/>
              </w:rPr>
              <w:t>197,063</w:t>
            </w:r>
          </w:p>
        </w:tc>
        <w:tc>
          <w:tcPr>
            <w:tcW w:w="1300" w:type="dxa"/>
            <w:vAlign w:val="bottom"/>
          </w:tcPr>
          <w:p>
            <w:pPr>
              <w:jc w:val="right"/>
              <w:spacing w:after="0"/>
              <w:rPr>
                <w:sz w:val="20"/>
                <w:szCs w:val="20"/>
                <w:color w:val="auto"/>
              </w:rPr>
            </w:pPr>
            <w:r>
              <w:rPr>
                <w:rFonts w:ascii="Arial" w:cs="Arial" w:eastAsia="Arial" w:hAnsi="Arial"/>
                <w:sz w:val="16"/>
                <w:szCs w:val="16"/>
                <w:color w:val="auto"/>
              </w:rPr>
              <w:t>142,002</w:t>
            </w:r>
          </w:p>
        </w:tc>
      </w:tr>
      <w:tr>
        <w:trPr>
          <w:trHeight w:val="217"/>
        </w:trPr>
        <w:tc>
          <w:tcPr>
            <w:tcW w:w="810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Wyoming Electric</w:t>
            </w:r>
          </w:p>
        </w:tc>
        <w:tc>
          <w:tcPr>
            <w:tcW w:w="184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190,805</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172,425</w:t>
            </w:r>
          </w:p>
        </w:tc>
      </w:tr>
      <w:tr>
        <w:trPr>
          <w:trHeight w:val="215"/>
        </w:trPr>
        <w:tc>
          <w:tcPr>
            <w:tcW w:w="8100" w:type="dxa"/>
            <w:vAlign w:val="bottom"/>
            <w:tcBorders>
              <w:bottom w:val="single" w:sz="8" w:color="CEFFE7"/>
            </w:tcBorders>
            <w:gridSpan w:val="2"/>
          </w:tcPr>
          <w:p>
            <w:pPr>
              <w:ind w:left="220"/>
              <w:spacing w:after="0"/>
              <w:rPr>
                <w:sz w:val="20"/>
                <w:szCs w:val="20"/>
                <w:color w:val="auto"/>
              </w:rPr>
            </w:pPr>
            <w:r>
              <w:rPr>
                <w:rFonts w:ascii="Arial" w:cs="Arial" w:eastAsia="Arial" w:hAnsi="Arial"/>
                <w:sz w:val="16"/>
                <w:szCs w:val="16"/>
                <w:color w:val="auto"/>
              </w:rPr>
              <w:t>Integrated Generation</w:t>
            </w:r>
          </w:p>
        </w:tc>
        <w:tc>
          <w:tcPr>
            <w:tcW w:w="1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24,408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29,515</w:t>
            </w:r>
          </w:p>
        </w:tc>
      </w:tr>
      <w:tr>
        <w:trPr>
          <w:trHeight w:val="210"/>
        </w:trPr>
        <w:tc>
          <w:tcPr>
            <w:tcW w:w="8100" w:type="dxa"/>
            <w:vAlign w:val="bottom"/>
            <w:gridSpan w:val="2"/>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8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712,673</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564,187</w:t>
            </w:r>
          </w:p>
        </w:tc>
      </w:tr>
      <w:tr>
        <w:trPr>
          <w:trHeight w:val="143"/>
        </w:trPr>
        <w:tc>
          <w:tcPr>
            <w:tcW w:w="13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41"/>
        </w:trPr>
        <w:tc>
          <w:tcPr>
            <w:tcW w:w="81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Total Generated and Purchased</w:t>
            </w:r>
          </w:p>
        </w:tc>
        <w:tc>
          <w:tcPr>
            <w:tcW w:w="18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1,926,101</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1,769,953</w:t>
            </w: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6740" w:type="dxa"/>
            <w:vAlign w:val="bottom"/>
            <w:tcBorders>
              <w:top w:val="single" w:sz="8" w:color="CEFFE7"/>
            </w:tcBorders>
          </w:tcPr>
          <w:p>
            <w:pPr>
              <w:spacing w:after="0" w:line="20" w:lineRule="exact"/>
              <w:rPr>
                <w:sz w:val="1"/>
                <w:szCs w:val="1"/>
                <w:color w:val="auto"/>
              </w:rPr>
            </w:pPr>
          </w:p>
        </w:tc>
        <w:tc>
          <w:tcPr>
            <w:tcW w:w="1840" w:type="dxa"/>
            <w:vAlign w:val="bottom"/>
            <w:tcBorders>
              <w:top w:val="single" w:sz="8" w:color="CEFFE7"/>
              <w:bottom w:val="single" w:sz="8" w:color="auto"/>
            </w:tcBorders>
          </w:tcPr>
          <w:p>
            <w:pPr>
              <w:spacing w:after="0" w:line="20" w:lineRule="exact"/>
              <w:rPr>
                <w:sz w:val="1"/>
                <w:szCs w:val="1"/>
                <w:color w:val="auto"/>
              </w:rPr>
            </w:pPr>
          </w:p>
        </w:tc>
        <w:tc>
          <w:tcPr>
            <w:tcW w:w="1300" w:type="dxa"/>
            <w:vAlign w:val="bottom"/>
            <w:tcBorders>
              <w:top w:val="single" w:sz="8" w:color="CEFFE7"/>
              <w:bottom w:val="single" w:sz="8" w:color="auto"/>
            </w:tcBorders>
          </w:tcPr>
          <w:p>
            <w:pPr>
              <w:spacing w:after="0" w:line="20" w:lineRule="exact"/>
              <w:rPr>
                <w:sz w:val="1"/>
                <w:szCs w:val="1"/>
                <w:color w:val="auto"/>
              </w:rPr>
            </w:pP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540" w:type="dxa"/>
            <w:vAlign w:val="bottom"/>
            <w:gridSpan w:val="3"/>
          </w:tcPr>
          <w:p>
            <w:pPr>
              <w:jc w:val="right"/>
              <w:ind w:right="279"/>
              <w:spacing w:after="0"/>
              <w:rPr>
                <w:sz w:val="20"/>
                <w:szCs w:val="20"/>
                <w:color w:val="auto"/>
              </w:rPr>
            </w:pPr>
            <w:r>
              <w:rPr>
                <w:rFonts w:ascii="Arial" w:cs="Arial" w:eastAsia="Arial" w:hAnsi="Arial"/>
                <w:sz w:val="16"/>
                <w:szCs w:val="16"/>
                <w:color w:val="FFFFFF"/>
              </w:rPr>
              <w:t>Three Months Ended March 31,</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4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40" w:type="dxa"/>
            <w:vAlign w:val="bottom"/>
            <w:gridSpan w:val="3"/>
          </w:tcPr>
          <w:p>
            <w:pPr>
              <w:jc w:val="right"/>
              <w:ind w:right="359"/>
              <w:spacing w:after="0"/>
              <w:rPr>
                <w:sz w:val="20"/>
                <w:szCs w:val="20"/>
                <w:color w:val="auto"/>
              </w:rPr>
            </w:pPr>
            <w:r>
              <w:rPr>
                <w:rFonts w:ascii="Arial" w:cs="Arial" w:eastAsia="Arial" w:hAnsi="Arial"/>
                <w:sz w:val="16"/>
                <w:szCs w:val="16"/>
                <w:color w:val="auto"/>
              </w:rPr>
              <w:t>Three Months Ended March 31,</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w w:val="95"/>
              </w:rPr>
              <w:t>2022</w:t>
            </w:r>
          </w:p>
        </w:tc>
        <w:tc>
          <w:tcPr>
            <w:tcW w:w="1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7"/>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Degree Days</w:t>
            </w:r>
          </w:p>
        </w:tc>
        <w:tc>
          <w:tcPr>
            <w:tcW w:w="1540" w:type="dxa"/>
            <w:vAlign w:val="bottom"/>
            <w:vMerge w:val="restart"/>
          </w:tcPr>
          <w:p>
            <w:pPr>
              <w:jc w:val="right"/>
              <w:ind w:right="439"/>
              <w:spacing w:after="0"/>
              <w:rPr>
                <w:sz w:val="20"/>
                <w:szCs w:val="20"/>
                <w:color w:val="auto"/>
              </w:rPr>
            </w:pPr>
            <w:r>
              <w:rPr>
                <w:rFonts w:ascii="Arial" w:cs="Arial" w:eastAsia="Arial" w:hAnsi="Arial"/>
                <w:sz w:val="16"/>
                <w:szCs w:val="16"/>
                <w:color w:val="auto"/>
              </w:rPr>
              <w:t>Actual</w:t>
            </w:r>
          </w:p>
        </w:tc>
        <w:tc>
          <w:tcPr>
            <w:tcW w:w="1900" w:type="dxa"/>
            <w:vAlign w:val="bottom"/>
          </w:tcPr>
          <w:p>
            <w:pPr>
              <w:jc w:val="center"/>
              <w:ind w:left="59"/>
              <w:spacing w:after="0" w:line="157" w:lineRule="exact"/>
              <w:rPr>
                <w:sz w:val="20"/>
                <w:szCs w:val="20"/>
                <w:color w:val="auto"/>
              </w:rPr>
            </w:pPr>
            <w:r>
              <w:rPr>
                <w:rFonts w:ascii="Arial" w:cs="Arial" w:eastAsia="Arial" w:hAnsi="Arial"/>
                <w:sz w:val="16"/>
                <w:szCs w:val="16"/>
                <w:color w:val="auto"/>
              </w:rPr>
              <w:t>Variance from</w:t>
            </w:r>
          </w:p>
        </w:tc>
        <w:tc>
          <w:tcPr>
            <w:tcW w:w="120" w:type="dxa"/>
            <w:vAlign w:val="bottom"/>
          </w:tcPr>
          <w:p>
            <w:pPr>
              <w:spacing w:after="0"/>
              <w:rPr>
                <w:sz w:val="13"/>
                <w:szCs w:val="13"/>
                <w:color w:val="auto"/>
              </w:rPr>
            </w:pPr>
          </w:p>
        </w:tc>
        <w:tc>
          <w:tcPr>
            <w:tcW w:w="1520" w:type="dxa"/>
            <w:vAlign w:val="bottom"/>
            <w:vMerge w:val="restart"/>
          </w:tcPr>
          <w:p>
            <w:pPr>
              <w:jc w:val="right"/>
              <w:ind w:right="419"/>
              <w:spacing w:after="0"/>
              <w:rPr>
                <w:sz w:val="20"/>
                <w:szCs w:val="20"/>
                <w:color w:val="auto"/>
              </w:rPr>
            </w:pPr>
            <w:r>
              <w:rPr>
                <w:rFonts w:ascii="Arial" w:cs="Arial" w:eastAsia="Arial" w:hAnsi="Arial"/>
                <w:sz w:val="16"/>
                <w:szCs w:val="16"/>
                <w:color w:val="auto"/>
              </w:rPr>
              <w:t>Actual</w:t>
            </w:r>
          </w:p>
        </w:tc>
        <w:tc>
          <w:tcPr>
            <w:tcW w:w="1920" w:type="dxa"/>
            <w:vAlign w:val="bottom"/>
          </w:tcPr>
          <w:p>
            <w:pPr>
              <w:jc w:val="right"/>
              <w:ind w:right="319"/>
              <w:spacing w:after="0" w:line="157" w:lineRule="exact"/>
              <w:rPr>
                <w:sz w:val="20"/>
                <w:szCs w:val="20"/>
                <w:color w:val="auto"/>
              </w:rPr>
            </w:pPr>
            <w:r>
              <w:rPr>
                <w:rFonts w:ascii="Arial" w:cs="Arial" w:eastAsia="Arial" w:hAnsi="Arial"/>
                <w:sz w:val="16"/>
                <w:szCs w:val="16"/>
                <w:color w:val="auto"/>
              </w:rPr>
              <w:t>Variance from</w:t>
            </w:r>
          </w:p>
        </w:tc>
        <w:tc>
          <w:tcPr>
            <w:tcW w:w="0" w:type="dxa"/>
            <w:vAlign w:val="bottom"/>
          </w:tcPr>
          <w:p>
            <w:pPr>
              <w:spacing w:after="0"/>
              <w:rPr>
                <w:sz w:val="1"/>
                <w:szCs w:val="1"/>
                <w:color w:val="auto"/>
              </w:rPr>
            </w:pPr>
          </w:p>
        </w:tc>
      </w:tr>
      <w:tr>
        <w:trPr>
          <w:trHeight w:val="215"/>
        </w:trPr>
        <w:tc>
          <w:tcPr>
            <w:tcW w:w="424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2020" w:type="dxa"/>
            <w:vAlign w:val="bottom"/>
            <w:gridSpan w:val="2"/>
          </w:tcPr>
          <w:p>
            <w:pPr>
              <w:jc w:val="center"/>
              <w:spacing w:after="0"/>
              <w:rPr>
                <w:sz w:val="20"/>
                <w:szCs w:val="20"/>
                <w:color w:val="auto"/>
              </w:rPr>
            </w:pPr>
            <w:r>
              <w:rPr>
                <w:rFonts w:ascii="Arial" w:cs="Arial" w:eastAsia="Arial" w:hAnsi="Arial"/>
                <w:sz w:val="16"/>
                <w:szCs w:val="16"/>
                <w:color w:val="auto"/>
              </w:rPr>
              <w:t>Normal</w:t>
            </w:r>
          </w:p>
        </w:tc>
        <w:tc>
          <w:tcPr>
            <w:tcW w:w="1520" w:type="dxa"/>
            <w:vAlign w:val="bottom"/>
            <w:vMerge w:val="continue"/>
          </w:tcPr>
          <w:p>
            <w:pPr>
              <w:spacing w:after="0"/>
              <w:rPr>
                <w:sz w:val="18"/>
                <w:szCs w:val="18"/>
                <w:color w:val="auto"/>
              </w:rPr>
            </w:pPr>
          </w:p>
        </w:tc>
        <w:tc>
          <w:tcPr>
            <w:tcW w:w="1920" w:type="dxa"/>
            <w:vAlign w:val="bottom"/>
          </w:tcPr>
          <w:p>
            <w:pPr>
              <w:jc w:val="right"/>
              <w:ind w:right="519"/>
              <w:spacing w:after="0"/>
              <w:rPr>
                <w:sz w:val="20"/>
                <w:szCs w:val="20"/>
                <w:color w:val="auto"/>
              </w:rPr>
            </w:pPr>
            <w:r>
              <w:rPr>
                <w:rFonts w:ascii="Arial" w:cs="Arial" w:eastAsia="Arial" w:hAnsi="Arial"/>
                <w:sz w:val="16"/>
                <w:szCs w:val="16"/>
                <w:color w:val="auto"/>
              </w:rPr>
              <w:t>Normal</w:t>
            </w: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EFFE7"/>
          </w:tcPr>
          <w:p>
            <w:pPr>
              <w:ind w:left="38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2,715</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2,731</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5"/>
        </w:trPr>
        <w:tc>
          <w:tcPr>
            <w:tcW w:w="4240" w:type="dxa"/>
            <w:vAlign w:val="bottom"/>
          </w:tcPr>
          <w:p>
            <w:pPr>
              <w:ind w:left="38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3,248</w:t>
            </w:r>
          </w:p>
        </w:tc>
        <w:tc>
          <w:tcPr>
            <w:tcW w:w="1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3,324</w:t>
            </w:r>
          </w:p>
        </w:tc>
        <w:tc>
          <w:tcPr>
            <w:tcW w:w="192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7"/>
        </w:trPr>
        <w:tc>
          <w:tcPr>
            <w:tcW w:w="4240" w:type="dxa"/>
            <w:vAlign w:val="bottom"/>
            <w:shd w:val="clear" w:color="auto" w:fill="CEFFE7"/>
          </w:tcPr>
          <w:p>
            <w:pPr>
              <w:ind w:left="38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3,132</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3,261</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85"/>
        </w:trPr>
        <w:tc>
          <w:tcPr>
            <w:tcW w:w="4240" w:type="dxa"/>
            <w:vAlign w:val="bottom"/>
          </w:tcPr>
          <w:p>
            <w:pPr>
              <w:ind w:left="6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2,981</w:t>
            </w:r>
          </w:p>
        </w:tc>
        <w:tc>
          <w:tcPr>
            <w:tcW w:w="1900" w:type="dxa"/>
            <w:vAlign w:val="bottom"/>
          </w:tcPr>
          <w:p>
            <w:pPr>
              <w:jc w:val="right"/>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3,040</w:t>
            </w:r>
          </w:p>
        </w:tc>
        <w:tc>
          <w:tcPr>
            <w:tcW w:w="1920" w:type="dxa"/>
            <w:vAlign w:val="bottom"/>
          </w:tcPr>
          <w:p>
            <w:pPr>
              <w:jc w:val="right"/>
              <w:spacing w:after="0"/>
              <w:rPr>
                <w:sz w:val="20"/>
                <w:szCs w:val="20"/>
                <w:color w:val="auto"/>
              </w:rPr>
            </w:pPr>
            <w:r>
              <w:rPr>
                <w:rFonts w:ascii="Arial" w:cs="Arial" w:eastAsia="Arial" w:hAnsi="Arial"/>
                <w:sz w:val="16"/>
                <w:szCs w:val="16"/>
                <w:color w:val="auto"/>
              </w:rPr>
              <w:t>4 %</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200" w:lineRule="exact"/>
        <w:rPr>
          <w:rFonts w:ascii="Arial" w:cs="Arial" w:eastAsia="Arial" w:hAnsi="Arial"/>
          <w:sz w:val="14"/>
          <w:szCs w:val="14"/>
          <w:color w:val="auto"/>
        </w:rPr>
      </w:pPr>
    </w:p>
    <w:p>
      <w:pPr>
        <w:spacing w:after="0" w:line="36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62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5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828"/>
        </w:trPr>
        <w:tc>
          <w:tcPr>
            <w:tcW w:w="1360" w:type="dxa"/>
            <w:vAlign w:val="bottom"/>
            <w:tcBorders>
              <w:top w:val="single" w:sz="8" w:color="0000FF"/>
            </w:tcBorders>
          </w:tcPr>
          <w:p>
            <w:pPr>
              <w:spacing w:after="0"/>
              <w:rPr>
                <w:sz w:val="24"/>
                <w:szCs w:val="24"/>
                <w:color w:val="auto"/>
              </w:rPr>
            </w:pPr>
          </w:p>
        </w:tc>
        <w:tc>
          <w:tcPr>
            <w:tcW w:w="4840" w:type="dxa"/>
            <w:vAlign w:val="bottom"/>
          </w:tcPr>
          <w:p>
            <w:pPr>
              <w:spacing w:after="0"/>
              <w:rPr>
                <w:sz w:val="24"/>
                <w:szCs w:val="24"/>
                <w:color w:val="auto"/>
              </w:rPr>
            </w:pPr>
          </w:p>
        </w:tc>
        <w:tc>
          <w:tcPr>
            <w:tcW w:w="5040" w:type="dxa"/>
            <w:vAlign w:val="bottom"/>
            <w:gridSpan w:val="2"/>
          </w:tcPr>
          <w:p>
            <w:pPr>
              <w:jc w:val="right"/>
              <w:ind w:right="579"/>
              <w:spacing w:after="0"/>
              <w:rPr>
                <w:sz w:val="20"/>
                <w:szCs w:val="20"/>
                <w:color w:val="auto"/>
              </w:rPr>
            </w:pPr>
            <w:r>
              <w:rPr>
                <w:rFonts w:ascii="Arial" w:cs="Arial" w:eastAsia="Arial" w:hAnsi="Arial"/>
                <w:sz w:val="16"/>
                <w:szCs w:val="16"/>
                <w:color w:val="auto"/>
              </w:rPr>
              <w:t>Three Months Ended March 31,</w:t>
            </w:r>
          </w:p>
        </w:tc>
      </w:tr>
      <w:tr>
        <w:trPr>
          <w:trHeight w:val="218"/>
        </w:trPr>
        <w:tc>
          <w:tcPr>
            <w:tcW w:w="6200" w:type="dxa"/>
            <w:vAlign w:val="bottom"/>
            <w:tcBorders>
              <w:bottom w:val="single" w:sz="8" w:color="auto"/>
            </w:tcBorders>
            <w:gridSpan w:val="2"/>
          </w:tcPr>
          <w:p>
            <w:pPr>
              <w:ind w:left="20"/>
              <w:spacing w:after="0" w:line="218"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35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2021</w:t>
            </w:r>
          </w:p>
        </w:tc>
      </w:tr>
      <w:tr>
        <w:trPr>
          <w:trHeight w:val="210"/>
        </w:trPr>
        <w:tc>
          <w:tcPr>
            <w:tcW w:w="6200" w:type="dxa"/>
            <w:vAlign w:val="bottom"/>
            <w:gridSpan w:val="2"/>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358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90.6 %</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86.2 %</w:t>
            </w:r>
          </w:p>
        </w:tc>
      </w:tr>
      <w:tr>
        <w:trPr>
          <w:trHeight w:val="216"/>
        </w:trPr>
        <w:tc>
          <w:tcPr>
            <w:tcW w:w="62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w:t>
            </w:r>
          </w:p>
        </w:tc>
        <w:tc>
          <w:tcPr>
            <w:tcW w:w="3580" w:type="dxa"/>
            <w:vAlign w:val="bottom"/>
          </w:tcPr>
          <w:p>
            <w:pPr>
              <w:jc w:val="right"/>
              <w:ind w:right="279"/>
              <w:spacing w:after="0"/>
              <w:rPr>
                <w:sz w:val="20"/>
                <w:szCs w:val="20"/>
                <w:color w:val="auto"/>
              </w:rPr>
            </w:pPr>
            <w:r>
              <w:rPr>
                <w:rFonts w:ascii="Arial" w:cs="Arial" w:eastAsia="Arial" w:hAnsi="Arial"/>
                <w:sz w:val="16"/>
                <w:szCs w:val="16"/>
                <w:color w:val="auto"/>
              </w:rPr>
              <w:t>95.3 %</w:t>
            </w:r>
          </w:p>
        </w:tc>
        <w:tc>
          <w:tcPr>
            <w:tcW w:w="1460" w:type="dxa"/>
            <w:vAlign w:val="bottom"/>
          </w:tcPr>
          <w:p>
            <w:pPr>
              <w:jc w:val="right"/>
              <w:spacing w:after="0"/>
              <w:rPr>
                <w:sz w:val="20"/>
                <w:szCs w:val="20"/>
                <w:color w:val="auto"/>
              </w:rPr>
            </w:pPr>
            <w:r>
              <w:rPr>
                <w:rFonts w:ascii="Arial" w:cs="Arial" w:eastAsia="Arial" w:hAnsi="Arial"/>
                <w:sz w:val="16"/>
                <w:szCs w:val="16"/>
                <w:color w:val="auto"/>
              </w:rPr>
              <w:t>90.0 %</w:t>
            </w:r>
          </w:p>
        </w:tc>
      </w:tr>
      <w:tr>
        <w:trPr>
          <w:trHeight w:val="216"/>
        </w:trPr>
        <w:tc>
          <w:tcPr>
            <w:tcW w:w="62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3580" w:type="dxa"/>
            <w:vAlign w:val="bottom"/>
            <w:shd w:val="clear" w:color="auto" w:fill="CEFFE7"/>
          </w:tcPr>
          <w:p>
            <w:pPr>
              <w:jc w:val="right"/>
              <w:ind w:right="279"/>
              <w:spacing w:after="0"/>
              <w:rPr>
                <w:sz w:val="20"/>
                <w:szCs w:val="20"/>
                <w:color w:val="auto"/>
              </w:rPr>
            </w:pPr>
            <w:r>
              <w:rPr>
                <w:rFonts w:ascii="Arial" w:cs="Arial" w:eastAsia="Arial" w:hAnsi="Arial"/>
                <w:sz w:val="16"/>
                <w:szCs w:val="16"/>
                <w:color w:val="auto"/>
              </w:rPr>
              <w:t>95.6 %</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93.8 %</w:t>
            </w:r>
          </w:p>
        </w:tc>
      </w:tr>
      <w:tr>
        <w:trPr>
          <w:trHeight w:val="215"/>
        </w:trPr>
        <w:tc>
          <w:tcPr>
            <w:tcW w:w="6200" w:type="dxa"/>
            <w:vAlign w:val="bottom"/>
            <w:gridSpan w:val="2"/>
          </w:tcPr>
          <w:p>
            <w:pPr>
              <w:ind w:left="20"/>
              <w:spacing w:after="0"/>
              <w:rPr>
                <w:sz w:val="20"/>
                <w:szCs w:val="20"/>
                <w:color w:val="auto"/>
              </w:rPr>
            </w:pPr>
            <w:r>
              <w:rPr>
                <w:rFonts w:ascii="Arial" w:cs="Arial" w:eastAsia="Arial" w:hAnsi="Arial"/>
                <w:sz w:val="16"/>
                <w:szCs w:val="16"/>
                <w:color w:val="auto"/>
              </w:rPr>
              <w:t>Total Availability</w:t>
            </w:r>
          </w:p>
        </w:tc>
        <w:tc>
          <w:tcPr>
            <w:tcW w:w="3580" w:type="dxa"/>
            <w:vAlign w:val="bottom"/>
          </w:tcPr>
          <w:p>
            <w:pPr>
              <w:jc w:val="right"/>
              <w:ind w:right="279"/>
              <w:spacing w:after="0"/>
              <w:rPr>
                <w:sz w:val="20"/>
                <w:szCs w:val="20"/>
                <w:color w:val="auto"/>
              </w:rPr>
            </w:pPr>
            <w:r>
              <w:rPr>
                <w:rFonts w:ascii="Arial" w:cs="Arial" w:eastAsia="Arial" w:hAnsi="Arial"/>
                <w:sz w:val="16"/>
                <w:szCs w:val="16"/>
                <w:color w:val="auto"/>
              </w:rPr>
              <w:t>94.1 %</w:t>
            </w:r>
          </w:p>
        </w:tc>
        <w:tc>
          <w:tcPr>
            <w:tcW w:w="1460" w:type="dxa"/>
            <w:vAlign w:val="bottom"/>
          </w:tcPr>
          <w:p>
            <w:pPr>
              <w:jc w:val="right"/>
              <w:spacing w:after="0"/>
              <w:rPr>
                <w:sz w:val="20"/>
                <w:szCs w:val="20"/>
                <w:color w:val="auto"/>
              </w:rPr>
            </w:pPr>
            <w:r>
              <w:rPr>
                <w:rFonts w:ascii="Arial" w:cs="Arial" w:eastAsia="Arial" w:hAnsi="Arial"/>
                <w:sz w:val="16"/>
                <w:szCs w:val="16"/>
                <w:color w:val="auto"/>
              </w:rPr>
              <w:t>89.8 %</w:t>
            </w:r>
          </w:p>
        </w:tc>
      </w:tr>
      <w:tr>
        <w:trPr>
          <w:trHeight w:val="163"/>
        </w:trPr>
        <w:tc>
          <w:tcPr>
            <w:tcW w:w="6200" w:type="dxa"/>
            <w:vAlign w:val="bottom"/>
            <w:gridSpan w:val="2"/>
            <w:shd w:val="clear" w:color="auto" w:fill="CEFFE7"/>
          </w:tcPr>
          <w:p>
            <w:pPr>
              <w:spacing w:after="0"/>
              <w:rPr>
                <w:sz w:val="14"/>
                <w:szCs w:val="14"/>
                <w:color w:val="auto"/>
              </w:rPr>
            </w:pPr>
          </w:p>
        </w:tc>
        <w:tc>
          <w:tcPr>
            <w:tcW w:w="3580" w:type="dxa"/>
            <w:vAlign w:val="bottom"/>
            <w:shd w:val="clear" w:color="auto" w:fill="CEFFE7"/>
          </w:tcPr>
          <w:p>
            <w:pPr>
              <w:spacing w:after="0"/>
              <w:rPr>
                <w:sz w:val="14"/>
                <w:szCs w:val="14"/>
                <w:color w:val="auto"/>
              </w:rPr>
            </w:pPr>
          </w:p>
        </w:tc>
        <w:tc>
          <w:tcPr>
            <w:tcW w:w="1460" w:type="dxa"/>
            <w:vAlign w:val="bottom"/>
            <w:shd w:val="clear" w:color="auto" w:fill="CEFFE7"/>
          </w:tcPr>
          <w:p>
            <w:pPr>
              <w:spacing w:after="0"/>
              <w:rPr>
                <w:sz w:val="14"/>
                <w:szCs w:val="14"/>
                <w:color w:val="auto"/>
              </w:rPr>
            </w:pPr>
          </w:p>
        </w:tc>
      </w:tr>
      <w:tr>
        <w:trPr>
          <w:trHeight w:val="215"/>
        </w:trPr>
        <w:tc>
          <w:tcPr>
            <w:tcW w:w="6200" w:type="dxa"/>
            <w:vAlign w:val="bottom"/>
            <w:gridSpan w:val="2"/>
          </w:tcPr>
          <w:p>
            <w:pPr>
              <w:ind w:left="20"/>
              <w:spacing w:after="0"/>
              <w:rPr>
                <w:sz w:val="20"/>
                <w:szCs w:val="20"/>
                <w:color w:val="auto"/>
              </w:rPr>
            </w:pPr>
            <w:r>
              <w:rPr>
                <w:rFonts w:ascii="Arial" w:cs="Arial" w:eastAsia="Arial" w:hAnsi="Arial"/>
                <w:sz w:val="16"/>
                <w:szCs w:val="16"/>
                <w:color w:val="auto"/>
              </w:rPr>
              <w:t>Wind Capacity Factor</w:t>
            </w:r>
          </w:p>
        </w:tc>
        <w:tc>
          <w:tcPr>
            <w:tcW w:w="3580" w:type="dxa"/>
            <w:vAlign w:val="bottom"/>
          </w:tcPr>
          <w:p>
            <w:pPr>
              <w:jc w:val="right"/>
              <w:ind w:right="279"/>
              <w:spacing w:after="0"/>
              <w:rPr>
                <w:sz w:val="20"/>
                <w:szCs w:val="20"/>
                <w:color w:val="auto"/>
              </w:rPr>
            </w:pPr>
            <w:r>
              <w:rPr>
                <w:rFonts w:ascii="Arial" w:cs="Arial" w:eastAsia="Arial" w:hAnsi="Arial"/>
                <w:sz w:val="16"/>
                <w:szCs w:val="16"/>
                <w:color w:val="auto"/>
              </w:rPr>
              <w:t>42.0 %</w:t>
            </w:r>
          </w:p>
        </w:tc>
        <w:tc>
          <w:tcPr>
            <w:tcW w:w="1460" w:type="dxa"/>
            <w:vAlign w:val="bottom"/>
          </w:tcPr>
          <w:p>
            <w:pPr>
              <w:jc w:val="right"/>
              <w:spacing w:after="0"/>
              <w:rPr>
                <w:sz w:val="20"/>
                <w:szCs w:val="20"/>
                <w:color w:val="auto"/>
              </w:rPr>
            </w:pPr>
            <w:r>
              <w:rPr>
                <w:rFonts w:ascii="Arial" w:cs="Arial" w:eastAsia="Arial" w:hAnsi="Arial"/>
                <w:sz w:val="16"/>
                <w:szCs w:val="16"/>
                <w:color w:val="auto"/>
              </w:rPr>
              <w:t>37.2 %</w:t>
            </w:r>
          </w:p>
        </w:tc>
      </w:tr>
      <w:tr>
        <w:trPr>
          <w:trHeight w:val="290"/>
        </w:trPr>
        <w:tc>
          <w:tcPr>
            <w:tcW w:w="1360" w:type="dxa"/>
            <w:vAlign w:val="bottom"/>
          </w:tcPr>
          <w:p>
            <w:pPr>
              <w:spacing w:after="0"/>
              <w:rPr>
                <w:sz w:val="20"/>
                <w:szCs w:val="20"/>
                <w:color w:val="auto"/>
              </w:rPr>
            </w:pPr>
            <w:r>
              <w:rPr>
                <w:rFonts w:ascii="Arial" w:cs="Arial" w:eastAsia="Arial" w:hAnsi="Arial"/>
                <w:sz w:val="16"/>
                <w:szCs w:val="16"/>
                <w:color w:val="auto"/>
              </w:rPr>
              <w:t>__________</w:t>
            </w:r>
          </w:p>
        </w:tc>
        <w:tc>
          <w:tcPr>
            <w:tcW w:w="48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4" w:lineRule="exact"/>
        <w:rPr>
          <w:rFonts w:ascii="Arial" w:cs="Arial" w:eastAsia="Arial" w:hAnsi="Arial"/>
          <w:sz w:val="14"/>
          <w:szCs w:val="14"/>
          <w:color w:val="auto"/>
        </w:rPr>
      </w:pPr>
    </w:p>
    <w:p>
      <w:pPr>
        <w:ind w:left="380" w:hanging="372"/>
        <w:spacing w:after="0"/>
        <w:tabs>
          <w:tab w:leader="none" w:pos="3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2021 included a planned outage at Wygen II and unplanned outages at Neil Simpson II and Pueblo Airport Generation.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20" w:type="dxa"/>
            <w:vAlign w:val="bottom"/>
          </w:tcPr>
          <w:p>
            <w:pPr>
              <w:spacing w:after="0"/>
              <w:rPr>
                <w:sz w:val="20"/>
                <w:szCs w:val="20"/>
                <w:color w:val="auto"/>
              </w:rPr>
            </w:pPr>
            <w:r>
              <w:rPr>
                <w:rFonts w:ascii="Arial" w:cs="Arial" w:eastAsia="Arial" w:hAnsi="Arial"/>
                <w:sz w:val="16"/>
                <w:szCs w:val="16"/>
                <w:b w:val="1"/>
                <w:bCs w:val="1"/>
                <w:color w:val="auto"/>
              </w:rPr>
              <w:t>Gas Utilities</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5220" w:type="dxa"/>
            <w:vAlign w:val="bottom"/>
          </w:tcPr>
          <w:p>
            <w:pPr>
              <w:spacing w:after="0"/>
              <w:rPr>
                <w:sz w:val="20"/>
                <w:szCs w:val="20"/>
                <w:color w:val="auto"/>
              </w:rPr>
            </w:pPr>
            <w:r>
              <w:rPr>
                <w:rFonts w:ascii="Arial" w:cs="Arial" w:eastAsia="Arial" w:hAnsi="Arial"/>
                <w:sz w:val="16"/>
                <w:szCs w:val="16"/>
                <w:color w:val="auto"/>
              </w:rPr>
              <w:t>Operating results for the Gas Utilities were as follows (in thousands):</w:t>
            </w: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Three Months Ended March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2022</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196"/>
        </w:trPr>
        <w:tc>
          <w:tcPr>
            <w:tcW w:w="5220" w:type="dxa"/>
            <w:vAlign w:val="bottom"/>
          </w:tcPr>
          <w:p>
            <w:pPr>
              <w:ind w:left="20"/>
              <w:spacing w:after="0"/>
              <w:rPr>
                <w:sz w:val="20"/>
                <w:szCs w:val="20"/>
                <w:color w:val="auto"/>
              </w:rPr>
            </w:pPr>
            <w:r>
              <w:rPr>
                <w:rFonts w:ascii="Arial" w:cs="Arial" w:eastAsia="Arial" w:hAnsi="Arial"/>
                <w:sz w:val="16"/>
                <w:szCs w:val="16"/>
                <w:color w:val="auto"/>
              </w:rPr>
              <w:t>Revenue:</w:t>
            </w: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Natural gas - regulated</w:t>
            </w:r>
          </w:p>
        </w:tc>
        <w:tc>
          <w:tcPr>
            <w:tcW w:w="1640" w:type="dxa"/>
            <w:vAlign w:val="bottom"/>
            <w:gridSpan w:val="2"/>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596,458</w:t>
            </w:r>
          </w:p>
        </w:tc>
        <w:tc>
          <w:tcPr>
            <w:tcW w:w="38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378,077</w:t>
            </w:r>
          </w:p>
        </w:tc>
        <w:tc>
          <w:tcPr>
            <w:tcW w:w="44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218,381</w:t>
            </w:r>
          </w:p>
        </w:tc>
        <w:tc>
          <w:tcPr>
            <w:tcW w:w="0" w:type="dxa"/>
            <w:vAlign w:val="bottom"/>
          </w:tcPr>
          <w:p>
            <w:pPr>
              <w:spacing w:after="0"/>
              <w:rPr>
                <w:sz w:val="1"/>
                <w:szCs w:val="1"/>
                <w:color w:val="auto"/>
              </w:rPr>
            </w:pPr>
          </w:p>
        </w:tc>
      </w:tr>
      <w:tr>
        <w:trPr>
          <w:trHeight w:val="215"/>
        </w:trPr>
        <w:tc>
          <w:tcPr>
            <w:tcW w:w="5220" w:type="dxa"/>
            <w:vAlign w:val="bottom"/>
            <w:tcBorders>
              <w:bottom w:val="single" w:sz="8" w:color="CEFFE7"/>
            </w:tcBorders>
          </w:tcPr>
          <w:p>
            <w:pPr>
              <w:ind w:left="140"/>
              <w:spacing w:after="0"/>
              <w:rPr>
                <w:sz w:val="20"/>
                <w:szCs w:val="20"/>
                <w:color w:val="auto"/>
              </w:rPr>
            </w:pPr>
            <w:r>
              <w:rPr>
                <w:rFonts w:ascii="Arial" w:cs="Arial" w:eastAsia="Arial" w:hAnsi="Arial"/>
                <w:sz w:val="16"/>
                <w:szCs w:val="16"/>
                <w:color w:val="auto"/>
              </w:rPr>
              <w:t>Other - non-regulated</w:t>
            </w:r>
          </w:p>
        </w:tc>
        <w:tc>
          <w:tcPr>
            <w:tcW w:w="1280" w:type="dxa"/>
            <w:vAlign w:val="bottom"/>
            <w:tcBorders>
              <w:bottom w:val="single" w:sz="8" w:color="CEFFE7"/>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24,934</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24,442</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0"/>
        </w:trPr>
        <w:tc>
          <w:tcPr>
            <w:tcW w:w="5220" w:type="dxa"/>
            <w:vAlign w:val="bottom"/>
            <w:shd w:val="clear" w:color="auto" w:fill="CEFFE7"/>
          </w:tcPr>
          <w:p>
            <w:pPr>
              <w:ind w:left="560"/>
              <w:spacing w:after="0"/>
              <w:rPr>
                <w:sz w:val="20"/>
                <w:szCs w:val="20"/>
                <w:color w:val="auto"/>
              </w:rPr>
            </w:pPr>
            <w:r>
              <w:rPr>
                <w:rFonts w:ascii="Arial" w:cs="Arial" w:eastAsia="Arial" w:hAnsi="Arial"/>
                <w:sz w:val="16"/>
                <w:szCs w:val="16"/>
                <w:color w:val="auto"/>
              </w:rPr>
              <w:t>Total revenue</w:t>
            </w:r>
          </w:p>
        </w:tc>
        <w:tc>
          <w:tcPr>
            <w:tcW w:w="1280" w:type="dxa"/>
            <w:vAlign w:val="bottom"/>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621,392</w:t>
            </w:r>
          </w:p>
        </w:tc>
        <w:tc>
          <w:tcPr>
            <w:tcW w:w="38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402,519</w:t>
            </w:r>
          </w:p>
        </w:tc>
        <w:tc>
          <w:tcPr>
            <w:tcW w:w="44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218,873</w:t>
            </w: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Cost of natural gas sold:</w:t>
            </w:r>
          </w:p>
        </w:tc>
        <w:tc>
          <w:tcPr>
            <w:tcW w:w="128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38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ind w:left="140"/>
              <w:spacing w:after="0"/>
              <w:rPr>
                <w:sz w:val="20"/>
                <w:szCs w:val="20"/>
                <w:color w:val="auto"/>
              </w:rPr>
            </w:pPr>
            <w:r>
              <w:rPr>
                <w:rFonts w:ascii="Arial" w:cs="Arial" w:eastAsia="Arial" w:hAnsi="Arial"/>
                <w:sz w:val="16"/>
                <w:szCs w:val="16"/>
                <w:color w:val="auto"/>
              </w:rPr>
              <w:t>Natural gas - regulated</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383,712</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182,967</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200,745</w:t>
            </w:r>
          </w:p>
        </w:tc>
        <w:tc>
          <w:tcPr>
            <w:tcW w:w="0" w:type="dxa"/>
            <w:vAlign w:val="bottom"/>
          </w:tcPr>
          <w:p>
            <w:pPr>
              <w:spacing w:after="0"/>
              <w:rPr>
                <w:sz w:val="1"/>
                <w:szCs w:val="1"/>
                <w:color w:val="auto"/>
              </w:rPr>
            </w:pPr>
          </w:p>
        </w:tc>
      </w:tr>
      <w:tr>
        <w:trPr>
          <w:trHeight w:val="217"/>
        </w:trPr>
        <w:tc>
          <w:tcPr>
            <w:tcW w:w="52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Other - non-regulated</w:t>
            </w:r>
          </w:p>
        </w:tc>
        <w:tc>
          <w:tcPr>
            <w:tcW w:w="1280" w:type="dxa"/>
            <w:vAlign w:val="bottom"/>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1,015</w:t>
            </w:r>
          </w:p>
        </w:tc>
        <w:tc>
          <w:tcPr>
            <w:tcW w:w="38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10,083</w:t>
            </w:r>
          </w:p>
        </w:tc>
        <w:tc>
          <w:tcPr>
            <w:tcW w:w="44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(9,068)</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cost of natural gas sold</w:t>
            </w:r>
          </w:p>
        </w:tc>
        <w:tc>
          <w:tcPr>
            <w:tcW w:w="1280" w:type="dxa"/>
            <w:vAlign w:val="bottom"/>
            <w:tcBorders>
              <w:bottom w:val="single" w:sz="8" w:color="CEFFE7"/>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384,727</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193,050</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191,677</w:t>
            </w:r>
          </w:p>
        </w:tc>
        <w:tc>
          <w:tcPr>
            <w:tcW w:w="0" w:type="dxa"/>
            <w:vAlign w:val="bottom"/>
          </w:tcPr>
          <w:p>
            <w:pPr>
              <w:spacing w:after="0"/>
              <w:rPr>
                <w:sz w:val="1"/>
                <w:szCs w:val="1"/>
                <w:color w:val="auto"/>
              </w:rPr>
            </w:pPr>
          </w:p>
        </w:tc>
      </w:tr>
      <w:tr>
        <w:trPr>
          <w:trHeight w:val="237"/>
        </w:trPr>
        <w:tc>
          <w:tcPr>
            <w:tcW w:w="522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360" w:type="dxa"/>
            <w:vAlign w:val="bottom"/>
            <w:tcBorders>
              <w:bottom w:val="single" w:sz="8" w:color="auto"/>
            </w:tcBorders>
            <w:shd w:val="clear" w:color="auto" w:fill="CEFFE7"/>
          </w:tcPr>
          <w:p>
            <w:pPr>
              <w:spacing w:after="0"/>
              <w:rPr>
                <w:sz w:val="20"/>
                <w:szCs w:val="20"/>
                <w:color w:val="auto"/>
              </w:rPr>
            </w:pPr>
          </w:p>
        </w:tc>
        <w:tc>
          <w:tcPr>
            <w:tcW w:w="1200" w:type="dxa"/>
            <w:vAlign w:val="bottom"/>
            <w:tcBorders>
              <w:bottom w:val="single" w:sz="8" w:color="auto"/>
            </w:tcBorders>
            <w:shd w:val="clear" w:color="auto" w:fill="CEFFE7"/>
          </w:tcPr>
          <w:p>
            <w:pPr>
              <w:spacing w:after="0"/>
              <w:rPr>
                <w:sz w:val="20"/>
                <w:szCs w:val="20"/>
                <w:color w:val="auto"/>
              </w:rPr>
            </w:pPr>
          </w:p>
        </w:tc>
        <w:tc>
          <w:tcPr>
            <w:tcW w:w="380" w:type="dxa"/>
            <w:vAlign w:val="bottom"/>
            <w:tcBorders>
              <w:bottom w:val="single" w:sz="8" w:color="auto"/>
            </w:tcBorders>
            <w:shd w:val="clear" w:color="auto" w:fill="CEFFE7"/>
          </w:tcPr>
          <w:p>
            <w:pPr>
              <w:spacing w:after="0"/>
              <w:rPr>
                <w:sz w:val="20"/>
                <w:szCs w:val="20"/>
                <w:color w:val="auto"/>
              </w:rPr>
            </w:pPr>
          </w:p>
        </w:tc>
        <w:tc>
          <w:tcPr>
            <w:tcW w:w="1200" w:type="dxa"/>
            <w:vAlign w:val="bottom"/>
            <w:tcBorders>
              <w:bottom w:val="single" w:sz="8" w:color="auto"/>
            </w:tcBorders>
            <w:shd w:val="clear" w:color="auto" w:fill="CEFFE7"/>
          </w:tcPr>
          <w:p>
            <w:pPr>
              <w:spacing w:after="0"/>
              <w:rPr>
                <w:sz w:val="20"/>
                <w:szCs w:val="20"/>
                <w:color w:val="auto"/>
              </w:rPr>
            </w:pPr>
          </w:p>
        </w:tc>
        <w:tc>
          <w:tcPr>
            <w:tcW w:w="440" w:type="dxa"/>
            <w:vAlign w:val="bottom"/>
            <w:tcBorders>
              <w:bottom w:val="single" w:sz="8" w:color="auto"/>
            </w:tcBorders>
            <w:shd w:val="clear" w:color="auto" w:fill="CEFFE7"/>
          </w:tcPr>
          <w:p>
            <w:pPr>
              <w:spacing w:after="0"/>
              <w:rPr>
                <w:sz w:val="20"/>
                <w:szCs w:val="20"/>
                <w:color w:val="auto"/>
              </w:rPr>
            </w:pPr>
          </w:p>
        </w:tc>
        <w:tc>
          <w:tcPr>
            <w:tcW w:w="1160" w:type="dxa"/>
            <w:vAlign w:val="bottom"/>
            <w:tcBorders>
              <w:bottom w:val="single" w:sz="8" w:color="auto"/>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Gas Utility margin (non-GAAP)</w:t>
            </w:r>
          </w:p>
        </w:tc>
        <w:tc>
          <w:tcPr>
            <w:tcW w:w="1280" w:type="dxa"/>
            <w:vAlign w:val="bottom"/>
            <w:tcBorders>
              <w:bottom w:val="single" w:sz="8" w:color="CEFFE7"/>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236,665</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209,469</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27,196</w:t>
            </w:r>
          </w:p>
        </w:tc>
        <w:tc>
          <w:tcPr>
            <w:tcW w:w="0" w:type="dxa"/>
            <w:vAlign w:val="bottom"/>
          </w:tcPr>
          <w:p>
            <w:pPr>
              <w:spacing w:after="0"/>
              <w:rPr>
                <w:sz w:val="1"/>
                <w:szCs w:val="1"/>
                <w:color w:val="auto"/>
              </w:rPr>
            </w:pPr>
          </w:p>
        </w:tc>
      </w:tr>
      <w:tr>
        <w:trPr>
          <w:trHeight w:val="237"/>
        </w:trPr>
        <w:tc>
          <w:tcPr>
            <w:tcW w:w="522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36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c>
          <w:tcPr>
            <w:tcW w:w="38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c>
          <w:tcPr>
            <w:tcW w:w="440" w:type="dxa"/>
            <w:vAlign w:val="bottom"/>
            <w:shd w:val="clear" w:color="auto" w:fill="CEFFE7"/>
          </w:tcPr>
          <w:p>
            <w:pPr>
              <w:spacing w:after="0"/>
              <w:rPr>
                <w:sz w:val="20"/>
                <w:szCs w:val="20"/>
                <w:color w:val="auto"/>
              </w:rPr>
            </w:pPr>
          </w:p>
        </w:tc>
        <w:tc>
          <w:tcPr>
            <w:tcW w:w="116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2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86,441</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82,200</w:t>
            </w:r>
          </w:p>
        </w:tc>
        <w:tc>
          <w:tcPr>
            <w:tcW w:w="4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17"/>
        </w:trPr>
        <w:tc>
          <w:tcPr>
            <w:tcW w:w="522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1280" w:type="dxa"/>
            <w:vAlign w:val="bottom"/>
            <w:shd w:val="clear" w:color="auto" w:fill="CEFFE7"/>
          </w:tcPr>
          <w:p>
            <w:pPr>
              <w:spacing w:after="0"/>
              <w:rPr>
                <w:sz w:val="18"/>
                <w:szCs w:val="18"/>
                <w:color w:val="auto"/>
              </w:rPr>
            </w:pPr>
          </w:p>
        </w:tc>
        <w:tc>
          <w:tcPr>
            <w:tcW w:w="36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26,684</w:t>
            </w:r>
          </w:p>
        </w:tc>
        <w:tc>
          <w:tcPr>
            <w:tcW w:w="38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25,175</w:t>
            </w:r>
          </w:p>
        </w:tc>
        <w:tc>
          <w:tcPr>
            <w:tcW w:w="44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operating expenses</w:t>
            </w:r>
          </w:p>
        </w:tc>
        <w:tc>
          <w:tcPr>
            <w:tcW w:w="1280" w:type="dxa"/>
            <w:vAlign w:val="bottom"/>
            <w:tcBorders>
              <w:bottom w:val="single" w:sz="8" w:color="CEFFE7"/>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113,125</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107,375</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w:t>
            </w:r>
          </w:p>
        </w:tc>
        <w:tc>
          <w:tcPr>
            <w:tcW w:w="0" w:type="dxa"/>
            <w:vAlign w:val="bottom"/>
          </w:tcPr>
          <w:p>
            <w:pPr>
              <w:spacing w:after="0"/>
              <w:rPr>
                <w:sz w:val="1"/>
                <w:szCs w:val="1"/>
                <w:color w:val="auto"/>
              </w:rPr>
            </w:pPr>
          </w:p>
        </w:tc>
      </w:tr>
      <w:tr>
        <w:trPr>
          <w:trHeight w:val="237"/>
        </w:trPr>
        <w:tc>
          <w:tcPr>
            <w:tcW w:w="5220" w:type="dxa"/>
            <w:vAlign w:val="bottom"/>
            <w:shd w:val="clear" w:color="auto" w:fill="CEFFE7"/>
          </w:tcPr>
          <w:p>
            <w:pPr>
              <w:spacing w:after="0"/>
              <w:rPr>
                <w:sz w:val="20"/>
                <w:szCs w:val="20"/>
                <w:color w:val="auto"/>
              </w:rPr>
            </w:pPr>
          </w:p>
        </w:tc>
        <w:tc>
          <w:tcPr>
            <w:tcW w:w="1280" w:type="dxa"/>
            <w:vAlign w:val="bottom"/>
            <w:shd w:val="clear" w:color="auto" w:fill="CEFFE7"/>
          </w:tcPr>
          <w:p>
            <w:pPr>
              <w:spacing w:after="0"/>
              <w:rPr>
                <w:sz w:val="20"/>
                <w:szCs w:val="20"/>
                <w:color w:val="auto"/>
              </w:rPr>
            </w:pPr>
          </w:p>
        </w:tc>
        <w:tc>
          <w:tcPr>
            <w:tcW w:w="360" w:type="dxa"/>
            <w:vAlign w:val="bottom"/>
            <w:tcBorders>
              <w:bottom w:val="single" w:sz="8" w:color="auto"/>
            </w:tcBorders>
            <w:shd w:val="clear" w:color="auto" w:fill="CEFFE7"/>
          </w:tcPr>
          <w:p>
            <w:pPr>
              <w:spacing w:after="0"/>
              <w:rPr>
                <w:sz w:val="20"/>
                <w:szCs w:val="20"/>
                <w:color w:val="auto"/>
              </w:rPr>
            </w:pPr>
          </w:p>
        </w:tc>
        <w:tc>
          <w:tcPr>
            <w:tcW w:w="1200" w:type="dxa"/>
            <w:vAlign w:val="bottom"/>
            <w:tcBorders>
              <w:bottom w:val="single" w:sz="8" w:color="auto"/>
            </w:tcBorders>
            <w:shd w:val="clear" w:color="auto" w:fill="CEFFE7"/>
          </w:tcPr>
          <w:p>
            <w:pPr>
              <w:spacing w:after="0"/>
              <w:rPr>
                <w:sz w:val="20"/>
                <w:szCs w:val="20"/>
                <w:color w:val="auto"/>
              </w:rPr>
            </w:pPr>
          </w:p>
        </w:tc>
        <w:tc>
          <w:tcPr>
            <w:tcW w:w="380" w:type="dxa"/>
            <w:vAlign w:val="bottom"/>
            <w:tcBorders>
              <w:bottom w:val="single" w:sz="8" w:color="auto"/>
            </w:tcBorders>
            <w:shd w:val="clear" w:color="auto" w:fill="CEFFE7"/>
          </w:tcPr>
          <w:p>
            <w:pPr>
              <w:spacing w:after="0"/>
              <w:rPr>
                <w:sz w:val="20"/>
                <w:szCs w:val="20"/>
                <w:color w:val="auto"/>
              </w:rPr>
            </w:pPr>
          </w:p>
        </w:tc>
        <w:tc>
          <w:tcPr>
            <w:tcW w:w="1200" w:type="dxa"/>
            <w:vAlign w:val="bottom"/>
            <w:tcBorders>
              <w:bottom w:val="single" w:sz="8" w:color="auto"/>
            </w:tcBorders>
            <w:shd w:val="clear" w:color="auto" w:fill="CEFFE7"/>
          </w:tcPr>
          <w:p>
            <w:pPr>
              <w:spacing w:after="0"/>
              <w:rPr>
                <w:sz w:val="20"/>
                <w:szCs w:val="20"/>
                <w:color w:val="auto"/>
              </w:rPr>
            </w:pPr>
          </w:p>
        </w:tc>
        <w:tc>
          <w:tcPr>
            <w:tcW w:w="440" w:type="dxa"/>
            <w:vAlign w:val="bottom"/>
            <w:tcBorders>
              <w:bottom w:val="single" w:sz="8" w:color="auto"/>
            </w:tcBorders>
            <w:shd w:val="clear" w:color="auto" w:fill="CEFFE7"/>
          </w:tcPr>
          <w:p>
            <w:pPr>
              <w:spacing w:after="0"/>
              <w:rPr>
                <w:sz w:val="20"/>
                <w:szCs w:val="20"/>
                <w:color w:val="auto"/>
              </w:rPr>
            </w:pPr>
          </w:p>
        </w:tc>
        <w:tc>
          <w:tcPr>
            <w:tcW w:w="1160" w:type="dxa"/>
            <w:vAlign w:val="bottom"/>
            <w:tcBorders>
              <w:bottom w:val="single" w:sz="8" w:color="auto"/>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2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123,540</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102,094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80" w:type="dxa"/>
            <w:vAlign w:val="bottom"/>
            <w:vMerge w:val="restart"/>
          </w:tcPr>
          <w:p>
            <w:pPr>
              <w:jc w:val="right"/>
              <w:ind w:right="699"/>
              <w:spacing w:after="0"/>
              <w:rPr>
                <w:sz w:val="20"/>
                <w:szCs w:val="20"/>
                <w:color w:val="auto"/>
              </w:rPr>
            </w:pPr>
            <w:r>
              <w:rPr>
                <w:rFonts w:ascii="Arial" w:cs="Arial" w:eastAsia="Arial" w:hAnsi="Arial"/>
                <w:sz w:val="16"/>
                <w:szCs w:val="16"/>
                <w:color w:val="auto"/>
              </w:rPr>
              <w:t>34</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9"/>
        </w:trPr>
        <w:tc>
          <w:tcPr>
            <w:tcW w:w="52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2022 Compared to the Three Months Ended March 31, 2021: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Utility margin</w:t>
      </w:r>
      <w:r>
        <w:rPr>
          <w:rFonts w:ascii="Arial" w:cs="Arial" w:eastAsia="Arial" w:hAnsi="Arial"/>
          <w:sz w:val="16"/>
          <w:szCs w:val="16"/>
          <w:color w:val="auto"/>
        </w:rPr>
        <w:t xml:space="preserve"> increased as a result of the following:</w:t>
      </w:r>
    </w:p>
    <w:p>
      <w:pPr>
        <w:spacing w:after="0" w:line="113" w:lineRule="exact"/>
        <w:rPr>
          <w:sz w:val="20"/>
          <w:szCs w:val="20"/>
          <w:color w:val="auto"/>
        </w:rPr>
      </w:pPr>
    </w:p>
    <w:p>
      <w:pPr>
        <w:jc w:val="right"/>
        <w:ind w:right="70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rates and rider recovery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Prior year Black Hills Energy Services Winter Storm Uri costs </w:t>
      </w:r>
      <w:r>
        <w:rPr>
          <w:rFonts w:ascii="Arial" w:cs="Arial" w:eastAsia="Arial" w:hAnsi="Arial"/>
          <w:sz w:val="21"/>
          <w:szCs w:val="2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Mark-to-market on non-utility natural gas commodity contracts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Residential customer growth and increased usage per customer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Winter Storm Uri carrying costs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Weather</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increase in Gas Utility margin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8.2</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3.4</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2.3</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(0.8)</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6"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20955</wp:posOffset>
            </wp:positionV>
            <wp:extent cx="13970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97000"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46355</wp:posOffset>
            </wp:positionV>
            <wp:extent cx="13970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68" w:lineRule="exact"/>
        <w:rPr>
          <w:sz w:val="20"/>
          <w:szCs w:val="20"/>
          <w:color w:val="auto"/>
        </w:rPr>
      </w:pPr>
    </w:p>
    <w:p>
      <w:pPr>
        <w:sectPr>
          <w:pgSz w:w="11900" w:h="16838" w:orient="portrait"/>
          <w:cols w:equalWidth="0" w:num="2">
            <w:col w:w="8340" w:space="720"/>
            <w:col w:w="2180"/>
          </w:cols>
          <w:pgMar w:left="320" w:top="125" w:right="339" w:bottom="1440" w:gutter="0" w:footer="0" w:header="0"/>
          <w:type w:val="continuous"/>
        </w:sectPr>
      </w:pPr>
    </w:p>
    <w:p>
      <w:pPr>
        <w:ind w:left="340" w:right="240" w:hanging="332"/>
        <w:spacing w:after="0" w:line="256" w:lineRule="auto"/>
        <w:tabs>
          <w:tab w:leader="none" w:pos="3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Black Hills Energy Services offers fixed contract pricing for non-regulated gas supply services to our regulated natural gas customers. The increased cost of natural gas sold during Winter Storm Uri was not recoverable through a regulatory mechanism.</w:t>
      </w:r>
    </w:p>
    <w:p>
      <w:pPr>
        <w:ind w:left="340" w:right="80" w:hanging="332"/>
        <w:spacing w:after="0" w:line="284" w:lineRule="auto"/>
        <w:tabs>
          <w:tab w:leader="none" w:pos="3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In certain jurisdictions, we have Commission approval to recover carrying costs on Winter Storm Uri regulatory assets which offset increased interest expense.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Condensed Consolidated Financial Statements for additional information.</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cloud computing licensing costs and increased property taxes due to a higher asset base.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year capital expenditures.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60"/>
        </w:trPr>
        <w:tc>
          <w:tcPr>
            <w:tcW w:w="4100" w:type="dxa"/>
            <w:vAlign w:val="bottom"/>
          </w:tcPr>
          <w:p>
            <w:pPr>
              <w:spacing w:after="0"/>
              <w:rPr>
                <w:sz w:val="24"/>
                <w:szCs w:val="24"/>
                <w:color w:val="auto"/>
              </w:rPr>
            </w:pPr>
          </w:p>
        </w:tc>
        <w:tc>
          <w:tcPr>
            <w:tcW w:w="284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color w:val="auto"/>
              </w:rPr>
              <w:t>Revenue (in thousands)</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Quantities Sold and Transported (Dth)</w:t>
            </w:r>
          </w:p>
        </w:tc>
      </w:tr>
      <w:tr>
        <w:trPr>
          <w:trHeight w:val="209"/>
        </w:trPr>
        <w:tc>
          <w:tcPr>
            <w:tcW w:w="4100" w:type="dxa"/>
            <w:vAlign w:val="bottom"/>
          </w:tcPr>
          <w:p>
            <w:pPr>
              <w:spacing w:after="0"/>
              <w:rPr>
                <w:sz w:val="18"/>
                <w:szCs w:val="18"/>
                <w:color w:val="auto"/>
              </w:rPr>
            </w:pPr>
          </w:p>
        </w:tc>
        <w:tc>
          <w:tcPr>
            <w:tcW w:w="3620" w:type="dxa"/>
            <w:vAlign w:val="bottom"/>
            <w:gridSpan w:val="5"/>
          </w:tcPr>
          <w:p>
            <w:pPr>
              <w:jc w:val="center"/>
              <w:ind w:right="100"/>
              <w:spacing w:after="0"/>
              <w:rPr>
                <w:sz w:val="20"/>
                <w:szCs w:val="20"/>
                <w:color w:val="auto"/>
              </w:rPr>
            </w:pPr>
            <w:r>
              <w:rPr>
                <w:rFonts w:ascii="Arial" w:cs="Arial" w:eastAsia="Arial" w:hAnsi="Arial"/>
                <w:sz w:val="16"/>
                <w:szCs w:val="16"/>
                <w:color w:val="auto"/>
              </w:rPr>
              <w:t>Three Months Ended March 31,</w:t>
            </w:r>
          </w:p>
        </w:tc>
        <w:tc>
          <w:tcPr>
            <w:tcW w:w="3520" w:type="dxa"/>
            <w:vAlign w:val="bottom"/>
            <w:gridSpan w:val="2"/>
          </w:tcPr>
          <w:p>
            <w:pPr>
              <w:jc w:val="right"/>
              <w:ind w:right="539"/>
              <w:spacing w:after="0"/>
              <w:rPr>
                <w:sz w:val="20"/>
                <w:szCs w:val="20"/>
                <w:color w:val="auto"/>
              </w:rPr>
            </w:pPr>
            <w:r>
              <w:rPr>
                <w:rFonts w:ascii="Arial" w:cs="Arial" w:eastAsia="Arial" w:hAnsi="Arial"/>
                <w:sz w:val="16"/>
                <w:szCs w:val="16"/>
                <w:color w:val="auto"/>
              </w:rPr>
              <w:t>Three Months Ended March 31,</w:t>
            </w:r>
          </w:p>
        </w:tc>
      </w:tr>
      <w:tr>
        <w:trPr>
          <w:trHeight w:val="216"/>
        </w:trPr>
        <w:tc>
          <w:tcPr>
            <w:tcW w:w="4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r>
      <w:tr>
        <w:trPr>
          <w:trHeight w:val="143"/>
        </w:trPr>
        <w:tc>
          <w:tcPr>
            <w:tcW w:w="4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16"/>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1080" w:type="dxa"/>
            <w:vAlign w:val="bottom"/>
            <w:shd w:val="clear" w:color="auto" w:fill="CEFFE7"/>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376,044</w:t>
            </w:r>
          </w:p>
        </w:tc>
        <w:tc>
          <w:tcPr>
            <w:tcW w:w="1120" w:type="dxa"/>
            <w:vAlign w:val="bottom"/>
            <w:shd w:val="clear" w:color="auto" w:fill="CEFFE7"/>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234,397</w:t>
            </w:r>
          </w:p>
        </w:tc>
        <w:tc>
          <w:tcPr>
            <w:tcW w:w="120" w:type="dxa"/>
            <w:vAlign w:val="bottom"/>
            <w:shd w:val="clear" w:color="auto" w:fill="CEFFE7"/>
          </w:tcPr>
          <w:p>
            <w:pPr>
              <w:spacing w:after="0"/>
              <w:rPr>
                <w:sz w:val="18"/>
                <w:szCs w:val="18"/>
                <w:color w:val="auto"/>
              </w:rPr>
            </w:pPr>
          </w:p>
        </w:tc>
        <w:tc>
          <w:tcPr>
            <w:tcW w:w="206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31,814,250</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30,568,738</w:t>
            </w:r>
          </w:p>
        </w:tc>
      </w:tr>
      <w:tr>
        <w:trPr>
          <w:trHeight w:val="215"/>
        </w:trPr>
        <w:tc>
          <w:tcPr>
            <w:tcW w:w="410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158,642</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91,089</w:t>
            </w:r>
          </w:p>
        </w:tc>
        <w:tc>
          <w:tcPr>
            <w:tcW w:w="120" w:type="dxa"/>
            <w:vAlign w:val="bottom"/>
          </w:tcPr>
          <w:p>
            <w:pPr>
              <w:spacing w:after="0"/>
              <w:rPr>
                <w:sz w:val="18"/>
                <w:szCs w:val="18"/>
                <w:color w:val="auto"/>
              </w:rPr>
            </w:pPr>
          </w:p>
        </w:tc>
        <w:tc>
          <w:tcPr>
            <w:tcW w:w="2060" w:type="dxa"/>
            <w:vAlign w:val="bottom"/>
          </w:tcPr>
          <w:p>
            <w:pPr>
              <w:jc w:val="right"/>
              <w:ind w:right="299"/>
              <w:spacing w:after="0"/>
              <w:rPr>
                <w:sz w:val="20"/>
                <w:szCs w:val="20"/>
                <w:color w:val="auto"/>
              </w:rPr>
            </w:pPr>
            <w:r>
              <w:rPr>
                <w:rFonts w:ascii="Arial" w:cs="Arial" w:eastAsia="Arial" w:hAnsi="Arial"/>
                <w:sz w:val="16"/>
                <w:szCs w:val="16"/>
                <w:color w:val="auto"/>
              </w:rPr>
              <w:t>14,631,703</w:t>
            </w:r>
          </w:p>
        </w:tc>
        <w:tc>
          <w:tcPr>
            <w:tcW w:w="1460" w:type="dxa"/>
            <w:vAlign w:val="bottom"/>
          </w:tcPr>
          <w:p>
            <w:pPr>
              <w:jc w:val="right"/>
              <w:spacing w:after="0"/>
              <w:rPr>
                <w:sz w:val="20"/>
                <w:szCs w:val="20"/>
                <w:color w:val="auto"/>
              </w:rPr>
            </w:pPr>
            <w:r>
              <w:rPr>
                <w:rFonts w:ascii="Arial" w:cs="Arial" w:eastAsia="Arial" w:hAnsi="Arial"/>
                <w:sz w:val="16"/>
                <w:szCs w:val="16"/>
                <w:color w:val="auto"/>
              </w:rPr>
              <w:t>13,812,321</w:t>
            </w:r>
          </w:p>
        </w:tc>
      </w:tr>
      <w:tr>
        <w:trPr>
          <w:trHeight w:val="217"/>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108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9,238</w:t>
            </w:r>
          </w:p>
        </w:tc>
        <w:tc>
          <w:tcPr>
            <w:tcW w:w="11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4,902</w:t>
            </w:r>
          </w:p>
        </w:tc>
        <w:tc>
          <w:tcPr>
            <w:tcW w:w="120" w:type="dxa"/>
            <w:vAlign w:val="bottom"/>
            <w:shd w:val="clear" w:color="auto" w:fill="CEFFE7"/>
          </w:tcPr>
          <w:p>
            <w:pPr>
              <w:spacing w:after="0"/>
              <w:rPr>
                <w:sz w:val="18"/>
                <w:szCs w:val="18"/>
                <w:color w:val="auto"/>
              </w:rPr>
            </w:pPr>
          </w:p>
        </w:tc>
        <w:tc>
          <w:tcPr>
            <w:tcW w:w="206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1,164,583</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898,289</w:t>
            </w:r>
          </w:p>
        </w:tc>
      </w:tr>
      <w:tr>
        <w:trPr>
          <w:trHeight w:val="215"/>
        </w:trPr>
        <w:tc>
          <w:tcPr>
            <w:tcW w:w="41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2,772</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EFFE7"/>
            </w:tcBorders>
          </w:tcPr>
          <w:p>
            <w:pPr>
              <w:spacing w:after="0"/>
              <w:rPr>
                <w:sz w:val="18"/>
                <w:szCs w:val="18"/>
                <w:color w:val="auto"/>
              </w:rPr>
            </w:pPr>
          </w:p>
        </w:tc>
        <w:tc>
          <w:tcPr>
            <w:tcW w:w="20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1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Total Distribution</w:t>
            </w:r>
          </w:p>
        </w:tc>
        <w:tc>
          <w:tcPr>
            <w:tcW w:w="108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546,696</w:t>
            </w:r>
          </w:p>
        </w:tc>
        <w:tc>
          <w:tcPr>
            <w:tcW w:w="112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329,916</w:t>
            </w:r>
          </w:p>
        </w:tc>
        <w:tc>
          <w:tcPr>
            <w:tcW w:w="120" w:type="dxa"/>
            <w:vAlign w:val="bottom"/>
            <w:shd w:val="clear" w:color="auto" w:fill="CEFFE7"/>
          </w:tcPr>
          <w:p>
            <w:pPr>
              <w:spacing w:after="0"/>
              <w:rPr>
                <w:sz w:val="18"/>
                <w:szCs w:val="18"/>
                <w:color w:val="auto"/>
              </w:rPr>
            </w:pPr>
          </w:p>
        </w:tc>
        <w:tc>
          <w:tcPr>
            <w:tcW w:w="206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47,610,536</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45,279,348</w:t>
            </w:r>
          </w:p>
        </w:tc>
      </w:tr>
      <w:tr>
        <w:trPr>
          <w:trHeight w:val="143"/>
        </w:trPr>
        <w:tc>
          <w:tcPr>
            <w:tcW w:w="4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16"/>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108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49,762</w:t>
            </w:r>
          </w:p>
        </w:tc>
        <w:tc>
          <w:tcPr>
            <w:tcW w:w="11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48,161</w:t>
            </w:r>
          </w:p>
        </w:tc>
        <w:tc>
          <w:tcPr>
            <w:tcW w:w="120" w:type="dxa"/>
            <w:vAlign w:val="bottom"/>
            <w:shd w:val="clear" w:color="auto" w:fill="CEFFE7"/>
          </w:tcPr>
          <w:p>
            <w:pPr>
              <w:spacing w:after="0"/>
              <w:rPr>
                <w:sz w:val="18"/>
                <w:szCs w:val="18"/>
                <w:color w:val="auto"/>
              </w:rPr>
            </w:pPr>
          </w:p>
        </w:tc>
        <w:tc>
          <w:tcPr>
            <w:tcW w:w="206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45,045,203</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45,314,438</w:t>
            </w:r>
          </w:p>
        </w:tc>
      </w:tr>
      <w:tr>
        <w:trPr>
          <w:trHeight w:val="162"/>
        </w:trPr>
        <w:tc>
          <w:tcPr>
            <w:tcW w:w="4100" w:type="dxa"/>
            <w:vAlign w:val="bottom"/>
            <w:tcBorders>
              <w:bottom w:val="single" w:sz="8" w:color="CEFFE7"/>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209"/>
        </w:trPr>
        <w:tc>
          <w:tcPr>
            <w:tcW w:w="4100" w:type="dxa"/>
            <w:vAlign w:val="bottom"/>
            <w:shd w:val="clear" w:color="auto" w:fill="CEFFE7"/>
          </w:tcPr>
          <w:p>
            <w:pPr>
              <w:ind w:left="240"/>
              <w:spacing w:after="0"/>
              <w:rPr>
                <w:sz w:val="20"/>
                <w:szCs w:val="20"/>
                <w:color w:val="auto"/>
              </w:rPr>
            </w:pPr>
            <w:r>
              <w:rPr>
                <w:rFonts w:ascii="Arial" w:cs="Arial" w:eastAsia="Arial" w:hAnsi="Arial"/>
                <w:sz w:val="16"/>
                <w:szCs w:val="16"/>
                <w:color w:val="auto"/>
              </w:rPr>
              <w:t>Total Regulated</w:t>
            </w:r>
          </w:p>
        </w:tc>
        <w:tc>
          <w:tcPr>
            <w:tcW w:w="1080" w:type="dxa"/>
            <w:vAlign w:val="bottom"/>
            <w:tcBorders>
              <w:bottom w:val="single" w:sz="8" w:color="auto"/>
            </w:tcBorders>
            <w:shd w:val="clear" w:color="auto" w:fill="CEFFE7"/>
          </w:tcPr>
          <w:p>
            <w:pPr>
              <w:spacing w:after="0"/>
              <w:rPr>
                <w:sz w:val="18"/>
                <w:szCs w:val="18"/>
                <w:color w:val="auto"/>
              </w:rPr>
            </w:pP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596,458</w:t>
            </w:r>
          </w:p>
        </w:tc>
        <w:tc>
          <w:tcPr>
            <w:tcW w:w="112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378,077</w:t>
            </w:r>
          </w:p>
        </w:tc>
        <w:tc>
          <w:tcPr>
            <w:tcW w:w="120" w:type="dxa"/>
            <w:vAlign w:val="bottom"/>
            <w:shd w:val="clear" w:color="auto" w:fill="CEFFE7"/>
          </w:tcPr>
          <w:p>
            <w:pPr>
              <w:spacing w:after="0"/>
              <w:rPr>
                <w:sz w:val="18"/>
                <w:szCs w:val="18"/>
                <w:color w:val="auto"/>
              </w:rPr>
            </w:pPr>
          </w:p>
        </w:tc>
        <w:tc>
          <w:tcPr>
            <w:tcW w:w="206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92,655,739</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90,593,786</w:t>
            </w:r>
          </w:p>
        </w:tc>
      </w:tr>
      <w:tr>
        <w:trPr>
          <w:trHeight w:val="143"/>
        </w:trPr>
        <w:tc>
          <w:tcPr>
            <w:tcW w:w="4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16"/>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108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24,934</w:t>
            </w:r>
          </w:p>
        </w:tc>
        <w:tc>
          <w:tcPr>
            <w:tcW w:w="112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24,442</w:t>
            </w:r>
          </w:p>
        </w:tc>
        <w:tc>
          <w:tcPr>
            <w:tcW w:w="120" w:type="dxa"/>
            <w:vAlign w:val="bottom"/>
            <w:shd w:val="clear" w:color="auto" w:fill="CEFFE7"/>
          </w:tcPr>
          <w:p>
            <w:pPr>
              <w:spacing w:after="0"/>
              <w:rPr>
                <w:sz w:val="18"/>
                <w:szCs w:val="18"/>
                <w:color w:val="auto"/>
              </w:rPr>
            </w:pPr>
          </w:p>
        </w:tc>
        <w:tc>
          <w:tcPr>
            <w:tcW w:w="206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162"/>
        </w:trPr>
        <w:tc>
          <w:tcPr>
            <w:tcW w:w="4100" w:type="dxa"/>
            <w:vAlign w:val="bottom"/>
            <w:tcBorders>
              <w:bottom w:val="single" w:sz="8" w:color="CEFFE7"/>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r>
      <w:tr>
        <w:trPr>
          <w:trHeight w:val="235"/>
        </w:trPr>
        <w:tc>
          <w:tcPr>
            <w:tcW w:w="41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Total Revenue and Quantities Sold</w:t>
            </w:r>
          </w:p>
        </w:tc>
        <w:tc>
          <w:tcPr>
            <w:tcW w:w="1080" w:type="dxa"/>
            <w:vAlign w:val="bottom"/>
            <w:tcBorders>
              <w:bottom w:val="single" w:sz="8" w:color="auto"/>
            </w:tcBorders>
            <w:shd w:val="clear" w:color="auto" w:fill="CEFFE7"/>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621,392</w:t>
            </w:r>
          </w:p>
        </w:tc>
        <w:tc>
          <w:tcPr>
            <w:tcW w:w="1120" w:type="dxa"/>
            <w:vAlign w:val="bottom"/>
            <w:tcBorders>
              <w:bottom w:val="single" w:sz="8" w:color="auto"/>
            </w:tcBorders>
            <w:shd w:val="clear" w:color="auto" w:fill="CEFFE7"/>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402,519</w:t>
            </w:r>
          </w:p>
        </w:tc>
        <w:tc>
          <w:tcPr>
            <w:tcW w:w="120" w:type="dxa"/>
            <w:vAlign w:val="bottom"/>
            <w:tcBorders>
              <w:bottom w:val="single" w:sz="8" w:color="CEFFE7"/>
            </w:tcBorders>
            <w:shd w:val="clear" w:color="auto" w:fill="CEFFE7"/>
          </w:tcPr>
          <w:p>
            <w:pPr>
              <w:spacing w:after="0"/>
              <w:rPr>
                <w:sz w:val="19"/>
                <w:szCs w:val="19"/>
                <w:color w:val="auto"/>
              </w:rPr>
            </w:pPr>
          </w:p>
        </w:tc>
        <w:tc>
          <w:tcPr>
            <w:tcW w:w="206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92,655,739</w:t>
            </w:r>
          </w:p>
        </w:tc>
        <w:tc>
          <w:tcPr>
            <w:tcW w:w="14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90,593,786</w:t>
            </w: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60" w:type="dxa"/>
            <w:vAlign w:val="bottom"/>
            <w:tcBorders>
              <w:top w:val="single" w:sz="8" w:color="CEFFE7"/>
              <w:bottom w:val="single" w:sz="8" w:color="auto"/>
            </w:tcBorders>
          </w:tcPr>
          <w:p>
            <w:pPr>
              <w:spacing w:after="0" w:line="20" w:lineRule="exact"/>
              <w:rPr>
                <w:sz w:val="1"/>
                <w:szCs w:val="1"/>
                <w:color w:val="auto"/>
              </w:rPr>
            </w:pPr>
          </w:p>
        </w:tc>
        <w:tc>
          <w:tcPr>
            <w:tcW w:w="1460" w:type="dxa"/>
            <w:vAlign w:val="bottom"/>
            <w:tcBorders>
              <w:top w:val="single" w:sz="8" w:color="CEFFE7"/>
              <w:bottom w:val="single" w:sz="8" w:color="auto"/>
            </w:tcBorders>
          </w:tcPr>
          <w:p>
            <w:pPr>
              <w:spacing w:after="0" w:line="20" w:lineRule="exact"/>
              <w:rPr>
                <w:sz w:val="1"/>
                <w:szCs w:val="1"/>
                <w:color w:val="auto"/>
              </w:rPr>
            </w:pPr>
          </w:p>
        </w:tc>
      </w:tr>
      <w:tr>
        <w:trPr>
          <w:trHeight w:val="768"/>
        </w:trPr>
        <w:tc>
          <w:tcPr>
            <w:tcW w:w="4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6"/>
        </w:trPr>
        <w:tc>
          <w:tcPr>
            <w:tcW w:w="4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41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883"/>
        </w:trPr>
        <w:tc>
          <w:tcPr>
            <w:tcW w:w="1360" w:type="dxa"/>
            <w:vAlign w:val="bottom"/>
            <w:tcBorders>
              <w:top w:val="single" w:sz="8" w:color="0000FF"/>
            </w:tcBorders>
          </w:tcPr>
          <w:p>
            <w:pPr>
              <w:spacing w:after="0"/>
              <w:rPr>
                <w:sz w:val="24"/>
                <w:szCs w:val="24"/>
                <w:color w:val="auto"/>
              </w:rPr>
            </w:pPr>
          </w:p>
        </w:tc>
        <w:tc>
          <w:tcPr>
            <w:tcW w:w="2800" w:type="dxa"/>
            <w:vAlign w:val="bottom"/>
          </w:tcPr>
          <w:p>
            <w:pPr>
              <w:spacing w:after="0"/>
              <w:rPr>
                <w:sz w:val="24"/>
                <w:szCs w:val="24"/>
                <w:color w:val="auto"/>
              </w:rPr>
            </w:pPr>
          </w:p>
        </w:tc>
        <w:tc>
          <w:tcPr>
            <w:tcW w:w="282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color w:val="auto"/>
              </w:rPr>
              <w:t>Revenue (in thousands)</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Quantities Sold and Transported (Dth)</w:t>
            </w:r>
          </w:p>
        </w:tc>
      </w:tr>
      <w:tr>
        <w:trPr>
          <w:trHeight w:val="209"/>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00" w:type="dxa"/>
            <w:vAlign w:val="bottom"/>
            <w:gridSpan w:val="5"/>
          </w:tcPr>
          <w:p>
            <w:pPr>
              <w:jc w:val="center"/>
              <w:ind w:right="120"/>
              <w:spacing w:after="0"/>
              <w:rPr>
                <w:sz w:val="20"/>
                <w:szCs w:val="20"/>
                <w:color w:val="auto"/>
              </w:rPr>
            </w:pPr>
            <w:r>
              <w:rPr>
                <w:rFonts w:ascii="Arial" w:cs="Arial" w:eastAsia="Arial" w:hAnsi="Arial"/>
                <w:sz w:val="16"/>
                <w:szCs w:val="16"/>
                <w:color w:val="auto"/>
              </w:rPr>
              <w:t>Three Months Ended March 31,</w:t>
            </w:r>
          </w:p>
        </w:tc>
        <w:tc>
          <w:tcPr>
            <w:tcW w:w="3480" w:type="dxa"/>
            <w:vAlign w:val="bottom"/>
            <w:gridSpan w:val="2"/>
          </w:tcPr>
          <w:p>
            <w:pPr>
              <w:jc w:val="right"/>
              <w:ind w:right="519"/>
              <w:spacing w:after="0"/>
              <w:rPr>
                <w:sz w:val="20"/>
                <w:szCs w:val="20"/>
                <w:color w:val="auto"/>
              </w:rPr>
            </w:pPr>
            <w:r>
              <w:rPr>
                <w:rFonts w:ascii="Arial" w:cs="Arial" w:eastAsia="Arial" w:hAnsi="Arial"/>
                <w:sz w:val="16"/>
                <w:szCs w:val="16"/>
                <w:color w:val="auto"/>
              </w:rPr>
              <w:t>Three Months Ended March 31,</w:t>
            </w:r>
          </w:p>
        </w:tc>
      </w:tr>
      <w:tr>
        <w:trPr>
          <w:trHeight w:val="216"/>
        </w:trPr>
        <w:tc>
          <w:tcPr>
            <w:tcW w:w="1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2022</w:t>
            </w: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r>
      <w:tr>
        <w:trPr>
          <w:trHeight w:val="143"/>
        </w:trPr>
        <w:tc>
          <w:tcPr>
            <w:tcW w:w="1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41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1080" w:type="dxa"/>
            <w:vAlign w:val="bottom"/>
            <w:shd w:val="clear" w:color="auto" w:fill="CEFFE7"/>
          </w:tcPr>
          <w:p>
            <w:pPr>
              <w:jc w:val="right"/>
              <w:ind w:right="8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127,809</w:t>
            </w:r>
          </w:p>
        </w:tc>
        <w:tc>
          <w:tcPr>
            <w:tcW w:w="1100" w:type="dxa"/>
            <w:vAlign w:val="bottom"/>
            <w:shd w:val="clear" w:color="auto" w:fill="CEFFE7"/>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86,994</w:t>
            </w:r>
          </w:p>
        </w:tc>
        <w:tc>
          <w:tcPr>
            <w:tcW w:w="120" w:type="dxa"/>
            <w:vAlign w:val="bottom"/>
            <w:shd w:val="clear" w:color="auto" w:fill="CEFFE7"/>
          </w:tcPr>
          <w:p>
            <w:pPr>
              <w:spacing w:after="0"/>
              <w:rPr>
                <w:sz w:val="18"/>
                <w:szCs w:val="18"/>
                <w:color w:val="auto"/>
              </w:rPr>
            </w:pPr>
          </w:p>
        </w:tc>
        <w:tc>
          <w:tcPr>
            <w:tcW w:w="204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12,927,736</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13,306,734</w:t>
            </w: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120,053</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79,122</w:t>
            </w:r>
          </w:p>
        </w:tc>
        <w:tc>
          <w:tcPr>
            <w:tcW w:w="120" w:type="dxa"/>
            <w:vAlign w:val="bottom"/>
          </w:tcPr>
          <w:p>
            <w:pPr>
              <w:spacing w:after="0"/>
              <w:rPr>
                <w:sz w:val="18"/>
                <w:szCs w:val="18"/>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13,418,684</w:t>
            </w:r>
          </w:p>
        </w:tc>
        <w:tc>
          <w:tcPr>
            <w:tcW w:w="1440" w:type="dxa"/>
            <w:vAlign w:val="bottom"/>
          </w:tcPr>
          <w:p>
            <w:pPr>
              <w:jc w:val="right"/>
              <w:spacing w:after="0"/>
              <w:rPr>
                <w:sz w:val="20"/>
                <w:szCs w:val="20"/>
                <w:color w:val="auto"/>
              </w:rPr>
            </w:pPr>
            <w:r>
              <w:rPr>
                <w:rFonts w:ascii="Arial" w:cs="Arial" w:eastAsia="Arial" w:hAnsi="Arial"/>
                <w:sz w:val="16"/>
                <w:szCs w:val="16"/>
                <w:color w:val="auto"/>
              </w:rPr>
              <w:t>13,366,015</w:t>
            </w:r>
          </w:p>
        </w:tc>
      </w:tr>
      <w:tr>
        <w:trPr>
          <w:trHeight w:val="217"/>
        </w:trPr>
        <w:tc>
          <w:tcPr>
            <w:tcW w:w="41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Iowa Gas</w:t>
            </w:r>
          </w:p>
        </w:tc>
        <w:tc>
          <w:tcPr>
            <w:tcW w:w="108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120,579</w:t>
            </w:r>
          </w:p>
        </w:tc>
        <w:tc>
          <w:tcPr>
            <w:tcW w:w="110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56,754</w:t>
            </w:r>
          </w:p>
        </w:tc>
        <w:tc>
          <w:tcPr>
            <w:tcW w:w="120" w:type="dxa"/>
            <w:vAlign w:val="bottom"/>
            <w:shd w:val="clear" w:color="auto" w:fill="CEFFE7"/>
          </w:tcPr>
          <w:p>
            <w:pPr>
              <w:spacing w:after="0"/>
              <w:rPr>
                <w:sz w:val="18"/>
                <w:szCs w:val="18"/>
                <w:color w:val="auto"/>
              </w:rPr>
            </w:pPr>
          </w:p>
        </w:tc>
        <w:tc>
          <w:tcPr>
            <w:tcW w:w="204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15,376,182</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14,313,973</w:t>
            </w: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Kansas Gas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58,851</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40,063</w:t>
            </w:r>
          </w:p>
        </w:tc>
        <w:tc>
          <w:tcPr>
            <w:tcW w:w="120" w:type="dxa"/>
            <w:vAlign w:val="bottom"/>
          </w:tcPr>
          <w:p>
            <w:pPr>
              <w:spacing w:after="0"/>
              <w:rPr>
                <w:sz w:val="18"/>
                <w:szCs w:val="18"/>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10,989,067</w:t>
            </w:r>
          </w:p>
        </w:tc>
        <w:tc>
          <w:tcPr>
            <w:tcW w:w="1440" w:type="dxa"/>
            <w:vAlign w:val="bottom"/>
          </w:tcPr>
          <w:p>
            <w:pPr>
              <w:jc w:val="right"/>
              <w:spacing w:after="0"/>
              <w:rPr>
                <w:sz w:val="20"/>
                <w:szCs w:val="20"/>
                <w:color w:val="auto"/>
              </w:rPr>
            </w:pPr>
            <w:r>
              <w:rPr>
                <w:rFonts w:ascii="Arial" w:cs="Arial" w:eastAsia="Arial" w:hAnsi="Arial"/>
                <w:sz w:val="16"/>
                <w:szCs w:val="16"/>
                <w:color w:val="auto"/>
              </w:rPr>
              <w:t>10,462,797</w:t>
            </w:r>
          </w:p>
        </w:tc>
      </w:tr>
      <w:tr>
        <w:trPr>
          <w:trHeight w:val="217"/>
        </w:trPr>
        <w:tc>
          <w:tcPr>
            <w:tcW w:w="41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Nebraska Gas</w:t>
            </w:r>
          </w:p>
        </w:tc>
        <w:tc>
          <w:tcPr>
            <w:tcW w:w="1080" w:type="dxa"/>
            <w:vAlign w:val="bottom"/>
            <w:shd w:val="clear" w:color="auto" w:fill="CEFFE7"/>
          </w:tcPr>
          <w:p>
            <w:pPr>
              <w:spacing w:after="0"/>
              <w:rPr>
                <w:sz w:val="18"/>
                <w:szCs w:val="18"/>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134,234</w:t>
            </w:r>
          </w:p>
        </w:tc>
        <w:tc>
          <w:tcPr>
            <w:tcW w:w="1100" w:type="dxa"/>
            <w:vAlign w:val="bottom"/>
            <w:shd w:val="clear" w:color="auto" w:fill="CEFFE7"/>
          </w:tcPr>
          <w:p>
            <w:pPr>
              <w:spacing w:after="0"/>
              <w:rPr>
                <w:sz w:val="18"/>
                <w:szCs w:val="18"/>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93,098</w:t>
            </w:r>
          </w:p>
        </w:tc>
        <w:tc>
          <w:tcPr>
            <w:tcW w:w="120" w:type="dxa"/>
            <w:vAlign w:val="bottom"/>
            <w:shd w:val="clear" w:color="auto" w:fill="CEFFE7"/>
          </w:tcPr>
          <w:p>
            <w:pPr>
              <w:spacing w:after="0"/>
              <w:rPr>
                <w:sz w:val="18"/>
                <w:szCs w:val="18"/>
                <w:color w:val="auto"/>
              </w:rPr>
            </w:pPr>
          </w:p>
        </w:tc>
        <w:tc>
          <w:tcPr>
            <w:tcW w:w="2040" w:type="dxa"/>
            <w:vAlign w:val="bottom"/>
            <w:shd w:val="clear" w:color="auto" w:fill="CEFFE7"/>
          </w:tcPr>
          <w:p>
            <w:pPr>
              <w:jc w:val="right"/>
              <w:ind w:right="299"/>
              <w:spacing w:after="0"/>
              <w:rPr>
                <w:sz w:val="20"/>
                <w:szCs w:val="20"/>
                <w:color w:val="auto"/>
              </w:rPr>
            </w:pPr>
            <w:r>
              <w:rPr>
                <w:rFonts w:ascii="Arial" w:cs="Arial" w:eastAsia="Arial" w:hAnsi="Arial"/>
                <w:sz w:val="16"/>
                <w:szCs w:val="16"/>
                <w:color w:val="auto"/>
              </w:rPr>
              <w:t>27,335,774</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27,284,101</w:t>
            </w:r>
          </w:p>
        </w:tc>
      </w:tr>
      <w:tr>
        <w:trPr>
          <w:trHeight w:val="215"/>
        </w:trPr>
        <w:tc>
          <w:tcPr>
            <w:tcW w:w="41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Wyoming Gas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59,866</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46,488</w:t>
            </w:r>
          </w:p>
        </w:tc>
        <w:tc>
          <w:tcPr>
            <w:tcW w:w="120" w:type="dxa"/>
            <w:vAlign w:val="bottom"/>
            <w:tcBorders>
              <w:bottom w:val="single" w:sz="8" w:color="CEFFE7"/>
            </w:tcBorders>
          </w:tcPr>
          <w:p>
            <w:pPr>
              <w:spacing w:after="0"/>
              <w:rPr>
                <w:sz w:val="18"/>
                <w:szCs w:val="18"/>
                <w:color w:val="auto"/>
              </w:rPr>
            </w:pPr>
          </w:p>
        </w:tc>
        <w:tc>
          <w:tcPr>
            <w:tcW w:w="2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12,608,296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11,860,166</w:t>
            </w:r>
          </w:p>
        </w:tc>
      </w:tr>
      <w:tr>
        <w:trPr>
          <w:trHeight w:val="235"/>
        </w:trPr>
        <w:tc>
          <w:tcPr>
            <w:tcW w:w="416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6"/>
                <w:szCs w:val="16"/>
                <w:color w:val="auto"/>
              </w:rPr>
              <w:t>Total Revenue and Quantities Sold</w:t>
            </w:r>
          </w:p>
        </w:tc>
        <w:tc>
          <w:tcPr>
            <w:tcW w:w="1080" w:type="dxa"/>
            <w:vAlign w:val="bottom"/>
            <w:tcBorders>
              <w:bottom w:val="single" w:sz="8" w:color="auto"/>
            </w:tcBorders>
            <w:shd w:val="clear" w:color="auto" w:fill="CEFFE7"/>
          </w:tcPr>
          <w:p>
            <w:pPr>
              <w:jc w:val="right"/>
              <w:ind w:right="8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621,392</w:t>
            </w:r>
          </w:p>
        </w:tc>
        <w:tc>
          <w:tcPr>
            <w:tcW w:w="1100" w:type="dxa"/>
            <w:vAlign w:val="bottom"/>
            <w:tcBorders>
              <w:bottom w:val="single" w:sz="8" w:color="auto"/>
            </w:tcBorders>
            <w:shd w:val="clear" w:color="auto" w:fill="CEFFE7"/>
          </w:tcPr>
          <w:p>
            <w:pPr>
              <w:jc w:val="right"/>
              <w:ind w:right="8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402,519</w:t>
            </w:r>
          </w:p>
        </w:tc>
        <w:tc>
          <w:tcPr>
            <w:tcW w:w="120" w:type="dxa"/>
            <w:vAlign w:val="bottom"/>
            <w:tcBorders>
              <w:bottom w:val="single" w:sz="8" w:color="CEFFE7"/>
            </w:tcBorders>
            <w:shd w:val="clear" w:color="auto" w:fill="CEFFE7"/>
          </w:tcPr>
          <w:p>
            <w:pPr>
              <w:spacing w:after="0"/>
              <w:rPr>
                <w:sz w:val="20"/>
                <w:szCs w:val="20"/>
                <w:color w:val="auto"/>
              </w:rPr>
            </w:pPr>
          </w:p>
        </w:tc>
        <w:tc>
          <w:tcPr>
            <w:tcW w:w="204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92,655,739</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90,593,786</w:t>
            </w: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800" w:type="dxa"/>
            <w:vAlign w:val="bottom"/>
            <w:tcBorders>
              <w:top w:val="single" w:sz="8" w:color="CEFFE7"/>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040" w:type="dxa"/>
            <w:vAlign w:val="bottom"/>
            <w:tcBorders>
              <w:top w:val="single" w:sz="8" w:color="CEFFE7"/>
              <w:bottom w:val="single" w:sz="8" w:color="auto"/>
            </w:tcBorders>
          </w:tcPr>
          <w:p>
            <w:pPr>
              <w:spacing w:after="0" w:line="20" w:lineRule="exact"/>
              <w:rPr>
                <w:sz w:val="1"/>
                <w:szCs w:val="1"/>
                <w:color w:val="auto"/>
              </w:rPr>
            </w:pPr>
          </w:p>
        </w:tc>
        <w:tc>
          <w:tcPr>
            <w:tcW w:w="1440" w:type="dxa"/>
            <w:vAlign w:val="bottom"/>
            <w:tcBorders>
              <w:top w:val="single" w:sz="8" w:color="CEFFE7"/>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60" w:type="dxa"/>
            <w:vAlign w:val="bottom"/>
            <w:gridSpan w:val="2"/>
          </w:tcPr>
          <w:p>
            <w:pPr>
              <w:ind w:left="620"/>
              <w:spacing w:after="0"/>
              <w:rPr>
                <w:sz w:val="20"/>
                <w:szCs w:val="20"/>
                <w:color w:val="auto"/>
              </w:rPr>
            </w:pPr>
            <w:r>
              <w:rPr>
                <w:rFonts w:ascii="Arial" w:cs="Arial" w:eastAsia="Arial" w:hAnsi="Arial"/>
                <w:sz w:val="16"/>
                <w:szCs w:val="16"/>
                <w:color w:val="auto"/>
              </w:rPr>
              <w:t>Three Months Ended March 31,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rPr>
              <w:t>2022</w:t>
            </w: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7"/>
        </w:trPr>
        <w:tc>
          <w:tcPr>
            <w:tcW w:w="5640" w:type="dxa"/>
            <w:vAlign w:val="bottom"/>
            <w:vMerge w:val="restart"/>
          </w:tcPr>
          <w:p>
            <w:pPr>
              <w:ind w:left="20"/>
              <w:spacing w:after="0"/>
              <w:rPr>
                <w:sz w:val="20"/>
                <w:szCs w:val="20"/>
                <w:color w:val="auto"/>
              </w:rPr>
            </w:pPr>
            <w:r>
              <w:rPr>
                <w:rFonts w:ascii="Arial" w:cs="Arial" w:eastAsia="Arial" w:hAnsi="Arial"/>
                <w:sz w:val="16"/>
                <w:szCs w:val="16"/>
                <w:color w:val="auto"/>
              </w:rPr>
              <w:t>Heating Degree Days:</w:t>
            </w:r>
          </w:p>
        </w:tc>
        <w:tc>
          <w:tcPr>
            <w:tcW w:w="1040" w:type="dxa"/>
            <w:vAlign w:val="bottom"/>
            <w:vMerge w:val="restart"/>
          </w:tcPr>
          <w:p>
            <w:pPr>
              <w:ind w:left="420"/>
              <w:spacing w:after="0"/>
              <w:rPr>
                <w:sz w:val="20"/>
                <w:szCs w:val="20"/>
                <w:color w:val="auto"/>
              </w:rPr>
            </w:pPr>
            <w:r>
              <w:rPr>
                <w:rFonts w:ascii="Arial" w:cs="Arial" w:eastAsia="Arial" w:hAnsi="Arial"/>
                <w:sz w:val="16"/>
                <w:szCs w:val="16"/>
                <w:color w:val="auto"/>
              </w:rPr>
              <w:t>Actual</w:t>
            </w:r>
          </w:p>
        </w:tc>
        <w:tc>
          <w:tcPr>
            <w:tcW w:w="1860" w:type="dxa"/>
            <w:vAlign w:val="bottom"/>
          </w:tcPr>
          <w:p>
            <w:pPr>
              <w:ind w:left="720"/>
              <w:spacing w:after="0" w:line="157" w:lineRule="exact"/>
              <w:rPr>
                <w:sz w:val="20"/>
                <w:szCs w:val="20"/>
                <w:color w:val="auto"/>
              </w:rPr>
            </w:pPr>
            <w:r>
              <w:rPr>
                <w:rFonts w:ascii="Arial" w:cs="Arial" w:eastAsia="Arial" w:hAnsi="Arial"/>
                <w:sz w:val="16"/>
                <w:szCs w:val="16"/>
                <w:color w:val="auto"/>
              </w:rPr>
              <w:t>Variance</w:t>
            </w:r>
          </w:p>
        </w:tc>
        <w:tc>
          <w:tcPr>
            <w:tcW w:w="1100" w:type="dxa"/>
            <w:vAlign w:val="bottom"/>
            <w:vMerge w:val="restart"/>
          </w:tcPr>
          <w:p>
            <w:pPr>
              <w:ind w:left="380"/>
              <w:spacing w:after="0"/>
              <w:rPr>
                <w:sz w:val="20"/>
                <w:szCs w:val="20"/>
                <w:color w:val="auto"/>
              </w:rPr>
            </w:pPr>
            <w:r>
              <w:rPr>
                <w:rFonts w:ascii="Arial" w:cs="Arial" w:eastAsia="Arial" w:hAnsi="Arial"/>
                <w:sz w:val="16"/>
                <w:szCs w:val="16"/>
                <w:color w:val="auto"/>
              </w:rPr>
              <w:t>Actual</w:t>
            </w:r>
          </w:p>
        </w:tc>
        <w:tc>
          <w:tcPr>
            <w:tcW w:w="1600" w:type="dxa"/>
            <w:vAlign w:val="bottom"/>
          </w:tcPr>
          <w:p>
            <w:pPr>
              <w:jc w:val="center"/>
              <w:ind w:left="199"/>
              <w:spacing w:after="0" w:line="157" w:lineRule="exact"/>
              <w:rPr>
                <w:sz w:val="20"/>
                <w:szCs w:val="20"/>
                <w:color w:val="auto"/>
              </w:rPr>
            </w:pPr>
            <w:r>
              <w:rPr>
                <w:rFonts w:ascii="Arial" w:cs="Arial" w:eastAsia="Arial" w:hAnsi="Arial"/>
                <w:sz w:val="16"/>
                <w:szCs w:val="16"/>
                <w:color w:val="auto"/>
              </w:rPr>
              <w:t>Variance</w:t>
            </w:r>
          </w:p>
        </w:tc>
        <w:tc>
          <w:tcPr>
            <w:tcW w:w="0" w:type="dxa"/>
            <w:vAlign w:val="bottom"/>
          </w:tcPr>
          <w:p>
            <w:pPr>
              <w:spacing w:after="0"/>
              <w:rPr>
                <w:sz w:val="1"/>
                <w:szCs w:val="1"/>
                <w:color w:val="auto"/>
              </w:rPr>
            </w:pPr>
          </w:p>
        </w:tc>
      </w:tr>
      <w:tr>
        <w:trPr>
          <w:trHeight w:val="215"/>
        </w:trPr>
        <w:tc>
          <w:tcPr>
            <w:tcW w:w="56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from Normal</w:t>
            </w:r>
          </w:p>
        </w:tc>
        <w:tc>
          <w:tcPr>
            <w:tcW w:w="110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w w:val="99"/>
              </w:rPr>
              <w:t>from Normal</w:t>
            </w:r>
          </w:p>
        </w:tc>
        <w:tc>
          <w:tcPr>
            <w:tcW w:w="0" w:type="dxa"/>
            <w:vAlign w:val="bottom"/>
          </w:tcPr>
          <w:p>
            <w:pPr>
              <w:spacing w:after="0"/>
              <w:rPr>
                <w:sz w:val="1"/>
                <w:szCs w:val="1"/>
                <w:color w:val="auto"/>
              </w:rPr>
            </w:pPr>
          </w:p>
        </w:tc>
      </w:tr>
      <w:tr>
        <w:trPr>
          <w:trHeight w:val="210"/>
        </w:trPr>
        <w:tc>
          <w:tcPr>
            <w:tcW w:w="5640" w:type="dxa"/>
            <w:vAlign w:val="bottom"/>
            <w:shd w:val="clear" w:color="auto" w:fill="CEFFE7"/>
          </w:tcPr>
          <w:p>
            <w:pPr>
              <w:ind w:left="140"/>
              <w:spacing w:after="0" w:line="210"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040" w:type="dxa"/>
            <w:vAlign w:val="bottom"/>
            <w:shd w:val="clear" w:color="auto" w:fill="CEFFE7"/>
          </w:tcPr>
          <w:p>
            <w:pPr>
              <w:ind w:left="440"/>
              <w:spacing w:after="0"/>
              <w:rPr>
                <w:sz w:val="20"/>
                <w:szCs w:val="20"/>
                <w:color w:val="auto"/>
              </w:rPr>
            </w:pPr>
            <w:r>
              <w:rPr>
                <w:rFonts w:ascii="Arial" w:cs="Arial" w:eastAsia="Arial" w:hAnsi="Arial"/>
                <w:sz w:val="16"/>
                <w:szCs w:val="16"/>
                <w:color w:val="auto"/>
              </w:rPr>
              <w:t>2,099</w:t>
            </w:r>
          </w:p>
        </w:tc>
        <w:tc>
          <w:tcPr>
            <w:tcW w:w="18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EFFE7"/>
          </w:tcPr>
          <w:p>
            <w:pPr>
              <w:ind w:left="400"/>
              <w:spacing w:after="0"/>
              <w:rPr>
                <w:sz w:val="20"/>
                <w:szCs w:val="20"/>
                <w:color w:val="auto"/>
              </w:rPr>
            </w:pPr>
            <w:r>
              <w:rPr>
                <w:rFonts w:ascii="Arial" w:cs="Arial" w:eastAsia="Arial" w:hAnsi="Arial"/>
                <w:sz w:val="16"/>
                <w:szCs w:val="16"/>
                <w:color w:val="auto"/>
              </w:rPr>
              <w:t>2,121</w:t>
            </w:r>
          </w:p>
        </w:tc>
        <w:tc>
          <w:tcPr>
            <w:tcW w:w="160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640" w:type="dxa"/>
            <w:vAlign w:val="bottom"/>
          </w:tcPr>
          <w:p>
            <w:pPr>
              <w:ind w:left="140"/>
              <w:spacing w:after="0"/>
              <w:rPr>
                <w:sz w:val="20"/>
                <w:szCs w:val="20"/>
                <w:color w:val="auto"/>
              </w:rPr>
            </w:pPr>
            <w:r>
              <w:rPr>
                <w:rFonts w:ascii="Arial" w:cs="Arial" w:eastAsia="Arial" w:hAnsi="Arial"/>
                <w:sz w:val="16"/>
                <w:szCs w:val="16"/>
                <w:color w:val="auto"/>
              </w:rPr>
              <w:t>Colorado Gas</w:t>
            </w:r>
          </w:p>
        </w:tc>
        <w:tc>
          <w:tcPr>
            <w:tcW w:w="1040" w:type="dxa"/>
            <w:vAlign w:val="bottom"/>
          </w:tcPr>
          <w:p>
            <w:pPr>
              <w:ind w:left="440"/>
              <w:spacing w:after="0"/>
              <w:rPr>
                <w:sz w:val="20"/>
                <w:szCs w:val="20"/>
                <w:color w:val="auto"/>
              </w:rPr>
            </w:pPr>
            <w:r>
              <w:rPr>
                <w:rFonts w:ascii="Arial" w:cs="Arial" w:eastAsia="Arial" w:hAnsi="Arial"/>
                <w:sz w:val="16"/>
                <w:szCs w:val="16"/>
                <w:color w:val="auto"/>
              </w:rPr>
              <w:t>2,946</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1%</w:t>
            </w:r>
          </w:p>
        </w:tc>
        <w:tc>
          <w:tcPr>
            <w:tcW w:w="1100" w:type="dxa"/>
            <w:vAlign w:val="bottom"/>
          </w:tcPr>
          <w:p>
            <w:pPr>
              <w:ind w:left="400"/>
              <w:spacing w:after="0"/>
              <w:rPr>
                <w:sz w:val="20"/>
                <w:szCs w:val="20"/>
                <w:color w:val="auto"/>
              </w:rPr>
            </w:pPr>
            <w:r>
              <w:rPr>
                <w:rFonts w:ascii="Arial" w:cs="Arial" w:eastAsia="Arial" w:hAnsi="Arial"/>
                <w:sz w:val="16"/>
                <w:szCs w:val="16"/>
                <w:color w:val="auto"/>
              </w:rPr>
              <w:t>2,965</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Iowa Gas</w:t>
            </w:r>
          </w:p>
        </w:tc>
        <w:tc>
          <w:tcPr>
            <w:tcW w:w="1040" w:type="dxa"/>
            <w:vAlign w:val="bottom"/>
            <w:shd w:val="clear" w:color="auto" w:fill="CEFFE7"/>
          </w:tcPr>
          <w:p>
            <w:pPr>
              <w:ind w:left="440"/>
              <w:spacing w:after="0"/>
              <w:rPr>
                <w:sz w:val="20"/>
                <w:szCs w:val="20"/>
                <w:color w:val="auto"/>
              </w:rPr>
            </w:pPr>
            <w:r>
              <w:rPr>
                <w:rFonts w:ascii="Arial" w:cs="Arial" w:eastAsia="Arial" w:hAnsi="Arial"/>
                <w:sz w:val="16"/>
                <w:szCs w:val="16"/>
                <w:color w:val="auto"/>
              </w:rPr>
              <w:t>3,579</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6%</w:t>
            </w:r>
          </w:p>
        </w:tc>
        <w:tc>
          <w:tcPr>
            <w:tcW w:w="1100" w:type="dxa"/>
            <w:vAlign w:val="bottom"/>
            <w:shd w:val="clear" w:color="auto" w:fill="CEFFE7"/>
          </w:tcPr>
          <w:p>
            <w:pPr>
              <w:ind w:left="400"/>
              <w:spacing w:after="0"/>
              <w:rPr>
                <w:sz w:val="20"/>
                <w:szCs w:val="20"/>
                <w:color w:val="auto"/>
              </w:rPr>
            </w:pPr>
            <w:r>
              <w:rPr>
                <w:rFonts w:ascii="Arial" w:cs="Arial" w:eastAsia="Arial" w:hAnsi="Arial"/>
                <w:sz w:val="16"/>
                <w:szCs w:val="16"/>
                <w:color w:val="auto"/>
              </w:rPr>
              <w:t>3,422</w:t>
            </w:r>
          </w:p>
        </w:tc>
        <w:tc>
          <w:tcPr>
            <w:tcW w:w="160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6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040" w:type="dxa"/>
            <w:vAlign w:val="bottom"/>
          </w:tcPr>
          <w:p>
            <w:pPr>
              <w:ind w:left="440"/>
              <w:spacing w:after="0"/>
              <w:rPr>
                <w:sz w:val="20"/>
                <w:szCs w:val="20"/>
                <w:color w:val="auto"/>
              </w:rPr>
            </w:pPr>
            <w:r>
              <w:rPr>
                <w:rFonts w:ascii="Arial" w:cs="Arial" w:eastAsia="Arial" w:hAnsi="Arial"/>
                <w:sz w:val="16"/>
                <w:szCs w:val="16"/>
                <w:color w:val="auto"/>
              </w:rPr>
              <w:t>2,584</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5%</w:t>
            </w:r>
          </w:p>
        </w:tc>
        <w:tc>
          <w:tcPr>
            <w:tcW w:w="1100" w:type="dxa"/>
            <w:vAlign w:val="bottom"/>
          </w:tcPr>
          <w:p>
            <w:pPr>
              <w:ind w:left="400"/>
              <w:spacing w:after="0"/>
              <w:rPr>
                <w:sz w:val="20"/>
                <w:szCs w:val="20"/>
                <w:color w:val="auto"/>
              </w:rPr>
            </w:pPr>
            <w:r>
              <w:rPr>
                <w:rFonts w:ascii="Arial" w:cs="Arial" w:eastAsia="Arial" w:hAnsi="Arial"/>
                <w:sz w:val="16"/>
                <w:szCs w:val="16"/>
                <w:color w:val="auto"/>
              </w:rPr>
              <w:t>2,576</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Nebraska Gas</w:t>
            </w:r>
          </w:p>
        </w:tc>
        <w:tc>
          <w:tcPr>
            <w:tcW w:w="1040" w:type="dxa"/>
            <w:vAlign w:val="bottom"/>
            <w:shd w:val="clear" w:color="auto" w:fill="CEFFE7"/>
          </w:tcPr>
          <w:p>
            <w:pPr>
              <w:ind w:left="440"/>
              <w:spacing w:after="0"/>
              <w:rPr>
                <w:sz w:val="20"/>
                <w:szCs w:val="20"/>
                <w:color w:val="auto"/>
              </w:rPr>
            </w:pPr>
            <w:r>
              <w:rPr>
                <w:rFonts w:ascii="Arial" w:cs="Arial" w:eastAsia="Arial" w:hAnsi="Arial"/>
                <w:sz w:val="16"/>
                <w:szCs w:val="16"/>
                <w:color w:val="auto"/>
              </w:rPr>
              <w:t>3,041</w:t>
            </w:r>
          </w:p>
        </w:tc>
        <w:tc>
          <w:tcPr>
            <w:tcW w:w="18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w w:val="99"/>
              </w:rPr>
              <w:t>—%</w:t>
            </w:r>
          </w:p>
        </w:tc>
        <w:tc>
          <w:tcPr>
            <w:tcW w:w="1100" w:type="dxa"/>
            <w:vAlign w:val="bottom"/>
            <w:shd w:val="clear" w:color="auto" w:fill="CEFFE7"/>
          </w:tcPr>
          <w:p>
            <w:pPr>
              <w:ind w:left="400"/>
              <w:spacing w:after="0"/>
              <w:rPr>
                <w:sz w:val="20"/>
                <w:szCs w:val="20"/>
                <w:color w:val="auto"/>
              </w:rPr>
            </w:pPr>
            <w:r>
              <w:rPr>
                <w:rFonts w:ascii="Arial" w:cs="Arial" w:eastAsia="Arial" w:hAnsi="Arial"/>
                <w:sz w:val="16"/>
                <w:szCs w:val="16"/>
                <w:color w:val="auto"/>
              </w:rPr>
              <w:t>3,097</w:t>
            </w:r>
          </w:p>
        </w:tc>
        <w:tc>
          <w:tcPr>
            <w:tcW w:w="160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640" w:type="dxa"/>
            <w:vAlign w:val="bottom"/>
          </w:tcPr>
          <w:p>
            <w:pPr>
              <w:ind w:left="140"/>
              <w:spacing w:after="0"/>
              <w:rPr>
                <w:sz w:val="20"/>
                <w:szCs w:val="20"/>
                <w:color w:val="auto"/>
              </w:rPr>
            </w:pPr>
            <w:r>
              <w:rPr>
                <w:rFonts w:ascii="Arial" w:cs="Arial" w:eastAsia="Arial" w:hAnsi="Arial"/>
                <w:sz w:val="16"/>
                <w:szCs w:val="16"/>
                <w:color w:val="auto"/>
              </w:rPr>
              <w:t>Wyoming Gas</w:t>
            </w:r>
          </w:p>
        </w:tc>
        <w:tc>
          <w:tcPr>
            <w:tcW w:w="1040" w:type="dxa"/>
            <w:vAlign w:val="bottom"/>
          </w:tcPr>
          <w:p>
            <w:pPr>
              <w:ind w:left="440"/>
              <w:spacing w:after="0"/>
              <w:rPr>
                <w:sz w:val="20"/>
                <w:szCs w:val="20"/>
                <w:color w:val="auto"/>
              </w:rPr>
            </w:pPr>
            <w:r>
              <w:rPr>
                <w:rFonts w:ascii="Arial" w:cs="Arial" w:eastAsia="Arial" w:hAnsi="Arial"/>
                <w:sz w:val="16"/>
                <w:szCs w:val="16"/>
                <w:color w:val="auto"/>
              </w:rPr>
              <w:t>3,272</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3%</w:t>
            </w:r>
          </w:p>
        </w:tc>
        <w:tc>
          <w:tcPr>
            <w:tcW w:w="1100" w:type="dxa"/>
            <w:vAlign w:val="bottom"/>
          </w:tcPr>
          <w:p>
            <w:pPr>
              <w:ind w:left="400"/>
              <w:spacing w:after="0"/>
              <w:rPr>
                <w:sz w:val="20"/>
                <w:szCs w:val="20"/>
                <w:color w:val="auto"/>
              </w:rPr>
            </w:pPr>
            <w:r>
              <w:rPr>
                <w:rFonts w:ascii="Arial" w:cs="Arial" w:eastAsia="Arial" w:hAnsi="Arial"/>
                <w:sz w:val="16"/>
                <w:szCs w:val="16"/>
                <w:color w:val="auto"/>
              </w:rPr>
              <w:t>3,425</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5640" w:type="dxa"/>
            <w:vAlign w:val="bottom"/>
            <w:shd w:val="clear" w:color="auto" w:fill="CEFFE7"/>
          </w:tcPr>
          <w:p>
            <w:pPr>
              <w:ind w:left="140"/>
              <w:spacing w:after="0" w:line="217" w:lineRule="exact"/>
              <w:rPr>
                <w:sz w:val="20"/>
                <w:szCs w:val="20"/>
                <w:color w:val="auto"/>
              </w:rPr>
            </w:pPr>
            <w:r>
              <w:rPr>
                <w:rFonts w:ascii="Arial" w:cs="Arial" w:eastAsia="Arial" w:hAnsi="Arial"/>
                <w:sz w:val="16"/>
                <w:szCs w:val="16"/>
                <w:color w:val="auto"/>
              </w:rPr>
              <w:t xml:space="preserve">Combined Gas </w:t>
            </w:r>
            <w:r>
              <w:rPr>
                <w:rFonts w:ascii="Arial" w:cs="Arial" w:eastAsia="Arial" w:hAnsi="Arial"/>
                <w:sz w:val="21"/>
                <w:szCs w:val="21"/>
                <w:color w:val="auto"/>
                <w:vertAlign w:val="superscript"/>
              </w:rPr>
              <w:t>(b)</w:t>
            </w:r>
          </w:p>
        </w:tc>
        <w:tc>
          <w:tcPr>
            <w:tcW w:w="1040" w:type="dxa"/>
            <w:vAlign w:val="bottom"/>
            <w:shd w:val="clear" w:color="auto" w:fill="CEFFE7"/>
          </w:tcPr>
          <w:p>
            <w:pPr>
              <w:ind w:left="440"/>
              <w:spacing w:after="0"/>
              <w:rPr>
                <w:sz w:val="20"/>
                <w:szCs w:val="20"/>
                <w:color w:val="auto"/>
              </w:rPr>
            </w:pPr>
            <w:r>
              <w:rPr>
                <w:rFonts w:ascii="Arial" w:cs="Arial" w:eastAsia="Arial" w:hAnsi="Arial"/>
                <w:sz w:val="16"/>
                <w:szCs w:val="16"/>
                <w:color w:val="auto"/>
              </w:rPr>
              <w:t>3,165</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2%</w:t>
            </w:r>
          </w:p>
        </w:tc>
        <w:tc>
          <w:tcPr>
            <w:tcW w:w="1100" w:type="dxa"/>
            <w:vAlign w:val="bottom"/>
            <w:shd w:val="clear" w:color="auto" w:fill="CEFFE7"/>
          </w:tcPr>
          <w:p>
            <w:pPr>
              <w:ind w:left="400"/>
              <w:spacing w:after="0"/>
              <w:rPr>
                <w:sz w:val="20"/>
                <w:szCs w:val="20"/>
                <w:color w:val="auto"/>
              </w:rPr>
            </w:pPr>
            <w:r>
              <w:rPr>
                <w:rFonts w:ascii="Arial" w:cs="Arial" w:eastAsia="Arial" w:hAnsi="Arial"/>
                <w:sz w:val="16"/>
                <w:szCs w:val="16"/>
                <w:color w:val="auto"/>
              </w:rPr>
              <w:t>3,186</w:t>
            </w:r>
          </w:p>
        </w:tc>
        <w:tc>
          <w:tcPr>
            <w:tcW w:w="160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4" w:lineRule="exact"/>
        <w:rPr>
          <w:rFonts w:ascii="Arial" w:cs="Arial" w:eastAsia="Arial" w:hAnsi="Arial"/>
          <w:sz w:val="14"/>
          <w:szCs w:val="14"/>
          <w:color w:val="auto"/>
        </w:rPr>
      </w:pPr>
    </w:p>
    <w:p>
      <w:pPr>
        <w:ind w:left="340" w:right="520" w:hanging="332"/>
        <w:spacing w:after="0" w:line="284" w:lineRule="auto"/>
        <w:tabs>
          <w:tab w:leader="none" w:pos="349"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were as follows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0" w:type="dxa"/>
            <w:vAlign w:val="bottom"/>
            <w:gridSpan w:val="3"/>
          </w:tcPr>
          <w:p>
            <w:pPr>
              <w:jc w:val="center"/>
              <w:ind w:left="19"/>
              <w:spacing w:after="0"/>
              <w:rPr>
                <w:sz w:val="20"/>
                <w:szCs w:val="20"/>
                <w:color w:val="auto"/>
              </w:rPr>
            </w:pPr>
            <w:r>
              <w:rPr>
                <w:rFonts w:ascii="Arial" w:cs="Arial" w:eastAsia="Arial" w:hAnsi="Arial"/>
                <w:sz w:val="16"/>
                <w:szCs w:val="16"/>
                <w:color w:val="auto"/>
              </w:rPr>
              <w:t>Three Months Ended March 31,</w:t>
            </w:r>
          </w:p>
        </w:tc>
        <w:tc>
          <w:tcPr>
            <w:tcW w:w="1240" w:type="dxa"/>
            <w:vAlign w:val="bottom"/>
          </w:tcPr>
          <w:p>
            <w:pPr>
              <w:spacing w:after="0"/>
              <w:rPr>
                <w:sz w:val="18"/>
                <w:szCs w:val="18"/>
                <w:color w:val="auto"/>
              </w:rPr>
            </w:pPr>
          </w:p>
        </w:tc>
      </w:tr>
      <w:tr>
        <w:trPr>
          <w:trHeight w:val="217"/>
        </w:trPr>
        <w:tc>
          <w:tcPr>
            <w:tcW w:w="6260" w:type="dxa"/>
            <w:vAlign w:val="bottom"/>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2022</w:t>
            </w: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Variance</w:t>
            </w:r>
          </w:p>
        </w:tc>
      </w:tr>
      <w:tr>
        <w:trPr>
          <w:trHeight w:val="251"/>
        </w:trPr>
        <w:tc>
          <w:tcPr>
            <w:tcW w:w="6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1"/>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(loss)</w:t>
            </w:r>
          </w:p>
        </w:tc>
        <w:tc>
          <w:tcPr>
            <w:tcW w:w="1140" w:type="dxa"/>
            <w:vAlign w:val="bottom"/>
            <w:tcBorders>
              <w:bottom w:val="single" w:sz="8" w:color="auto"/>
            </w:tcBorders>
            <w:shd w:val="clear" w:color="auto" w:fill="CEFFE7"/>
          </w:tcPr>
          <w:p>
            <w:pPr>
              <w:jc w:val="right"/>
              <w:ind w:right="9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(933) $</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(3,122)</w:t>
            </w:r>
          </w:p>
        </w:tc>
        <w:tc>
          <w:tcPr>
            <w:tcW w:w="4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2,189</w:t>
            </w:r>
          </w:p>
        </w:tc>
      </w:tr>
      <w:tr>
        <w:trPr>
          <w:trHeight w:val="20"/>
        </w:trPr>
        <w:tc>
          <w:tcPr>
            <w:tcW w:w="6260" w:type="dxa"/>
            <w:vAlign w:val="bottom"/>
            <w:tcBorders>
              <w:top w:val="single" w:sz="8" w:color="CEFFE7"/>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1240" w:type="dxa"/>
            <w:vAlign w:val="bottom"/>
            <w:tcBorders>
              <w:top w:val="single" w:sz="8" w:color="CEFFE7"/>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2022 Compared to the Three Months Ended March 31, 2021:</w:t>
      </w:r>
    </w:p>
    <w:p>
      <w:pPr>
        <w:spacing w:after="0" w:line="262"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decrease in Operating (loss) was primarily due to an allocation of a 2020 employee cost true-up in the first quarter of 2021, which was offset in our business segments.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4"/>
        </w:trPr>
        <w:tc>
          <w:tcPr>
            <w:tcW w:w="62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796"/>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Consolidated Interest Expense, Other Income and Income Tax Expense</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64"/>
        </w:trPr>
        <w:tc>
          <w:tcPr>
            <w:tcW w:w="1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gridSpan w:val="4"/>
          </w:tcPr>
          <w:p>
            <w:pPr>
              <w:jc w:val="center"/>
              <w:ind w:left="139"/>
              <w:spacing w:after="0"/>
              <w:rPr>
                <w:sz w:val="20"/>
                <w:szCs w:val="20"/>
                <w:color w:val="auto"/>
              </w:rPr>
            </w:pPr>
            <w:r>
              <w:rPr>
                <w:rFonts w:ascii="Arial" w:cs="Arial" w:eastAsia="Arial" w:hAnsi="Arial"/>
                <w:sz w:val="16"/>
                <w:szCs w:val="16"/>
                <w:color w:val="auto"/>
              </w:rPr>
              <w:t>Three Months Ended March 31,</w:t>
            </w:r>
          </w:p>
        </w:tc>
        <w:tc>
          <w:tcPr>
            <w:tcW w:w="124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Variance</w:t>
            </w:r>
          </w:p>
        </w:tc>
      </w:tr>
      <w:tr>
        <w:trPr>
          <w:trHeight w:val="210"/>
        </w:trPr>
        <w:tc>
          <w:tcPr>
            <w:tcW w:w="1360" w:type="dxa"/>
            <w:vAlign w:val="bottom"/>
            <w:tcBorders>
              <w:bottom w:val="single" w:sz="8" w:color="CEFFE7"/>
            </w:tcBorders>
          </w:tcPr>
          <w:p>
            <w:pPr>
              <w:spacing w:after="0"/>
              <w:rPr>
                <w:sz w:val="18"/>
                <w:szCs w:val="18"/>
                <w:color w:val="auto"/>
              </w:rPr>
            </w:pPr>
          </w:p>
        </w:tc>
        <w:tc>
          <w:tcPr>
            <w:tcW w:w="4900" w:type="dxa"/>
            <w:vAlign w:val="bottom"/>
            <w:tcBorders>
              <w:bottom w:val="single" w:sz="8" w:color="CEFFE7"/>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(in thousands)</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0"/>
        </w:trPr>
        <w:tc>
          <w:tcPr>
            <w:tcW w:w="62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020" w:type="dxa"/>
            <w:vAlign w:val="bottom"/>
            <w:shd w:val="clear" w:color="auto" w:fill="CEFFE7"/>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(38,545)</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(37,600)</w:t>
            </w:r>
          </w:p>
        </w:tc>
        <w:tc>
          <w:tcPr>
            <w:tcW w:w="4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(945)</w:t>
            </w:r>
          </w:p>
        </w:tc>
      </w:tr>
      <w:tr>
        <w:trPr>
          <w:trHeight w:val="215"/>
        </w:trPr>
        <w:tc>
          <w:tcPr>
            <w:tcW w:w="6260" w:type="dxa"/>
            <w:vAlign w:val="bottom"/>
            <w:gridSpan w:val="2"/>
          </w:tcPr>
          <w:p>
            <w:pPr>
              <w:ind w:left="20"/>
              <w:spacing w:after="0"/>
              <w:rPr>
                <w:sz w:val="20"/>
                <w:szCs w:val="20"/>
                <w:color w:val="auto"/>
              </w:rPr>
            </w:pPr>
            <w:r>
              <w:rPr>
                <w:rFonts w:ascii="Arial" w:cs="Arial" w:eastAsia="Arial" w:hAnsi="Arial"/>
                <w:sz w:val="16"/>
                <w:szCs w:val="16"/>
                <w:color w:val="auto"/>
              </w:rPr>
              <w:t>Other income, net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266</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7"/>
        </w:trPr>
        <w:tc>
          <w:tcPr>
            <w:tcW w:w="62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shd w:val="clear" w:color="auto" w:fill="CEFFE7"/>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(14,488)</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(494)</w:t>
            </w:r>
          </w:p>
        </w:tc>
        <w:tc>
          <w:tcPr>
            <w:tcW w:w="42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(13,994)</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2022 Compared to the Three Months Ended March 31, 2021:</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 net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Interest expense, net was due to higher debt balances primarily driven by the August 2021 senior unsecured notes.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net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was comparable to the same period in the prior year.</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246"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 xml:space="preserve">For the three months ended March 31, 2022, the effective tax rate was 10.7% compared to 0.5% for the same period in 2021. See </w:t>
      </w:r>
      <w:r>
        <w:rPr>
          <w:rFonts w:ascii="Arial" w:cs="Arial" w:eastAsia="Arial" w:hAnsi="Arial"/>
          <w:sz w:val="16"/>
          <w:szCs w:val="16"/>
          <w:u w:val="single" w:color="auto"/>
          <w:color w:val="0000FF"/>
        </w:rPr>
        <w:t>Note 11</w:t>
      </w:r>
      <w:r>
        <w:rPr>
          <w:rFonts w:ascii="Arial" w:cs="Arial" w:eastAsia="Arial" w:hAnsi="Arial"/>
          <w:sz w:val="16"/>
          <w:szCs w:val="16"/>
          <w:color w:val="auto"/>
        </w:rPr>
        <w:t xml:space="preserve"> of the Notes to Condensed Consolidated Financial Statements for discussion of effective tax rate variances.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6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2021 Annual Report on Form 10-K except as described below.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three months ended March 31,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provided by (used in):</w:t>
            </w:r>
          </w:p>
        </w:tc>
        <w:tc>
          <w:tcPr>
            <w:tcW w:w="2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r>
      <w:tr>
        <w:trPr>
          <w:trHeight w:val="210"/>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activities</w:t>
            </w:r>
          </w:p>
        </w:tc>
        <w:tc>
          <w:tcPr>
            <w:tcW w:w="29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264,121</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rPr>
              <w:t>(386,086)</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650,207</w:t>
            </w:r>
          </w:p>
        </w:tc>
      </w:tr>
      <w:tr>
        <w:trPr>
          <w:trHeight w:val="215"/>
        </w:trPr>
        <w:tc>
          <w:tcPr>
            <w:tcW w:w="460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2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(137,844)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199"/>
              <w:spacing w:after="0"/>
              <w:rPr>
                <w:sz w:val="20"/>
                <w:szCs w:val="20"/>
                <w:color w:val="auto"/>
              </w:rPr>
            </w:pPr>
            <w:r>
              <w:rPr>
                <w:rFonts w:ascii="Arial" w:cs="Arial" w:eastAsia="Arial" w:hAnsi="Arial"/>
                <w:sz w:val="16"/>
                <w:szCs w:val="16"/>
                <w:color w:val="auto"/>
              </w:rPr>
              <w:t>(146,224)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8,380</w:t>
            </w:r>
          </w:p>
        </w:tc>
      </w:tr>
      <w:tr>
        <w:trPr>
          <w:trHeight w:val="217"/>
        </w:trPr>
        <w:tc>
          <w:tcPr>
            <w:tcW w:w="4600" w:type="dxa"/>
            <w:vAlign w:val="bottom"/>
            <w:shd w:val="clear" w:color="auto" w:fill="CEFFE7"/>
          </w:tcPr>
          <w:p>
            <w:pPr>
              <w:ind w:left="20"/>
              <w:spacing w:after="0"/>
              <w:rPr>
                <w:sz w:val="20"/>
                <w:szCs w:val="20"/>
                <w:color w:val="auto"/>
              </w:rPr>
            </w:pPr>
            <w:r>
              <w:rPr>
                <w:rFonts w:ascii="Arial" w:cs="Arial" w:eastAsia="Arial" w:hAnsi="Arial"/>
                <w:sz w:val="16"/>
                <w:szCs w:val="16"/>
                <w:color w:val="auto"/>
              </w:rPr>
              <w:t>Financing activities</w:t>
            </w:r>
          </w:p>
        </w:tc>
        <w:tc>
          <w:tcPr>
            <w:tcW w:w="29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(118,740)</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539,496</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(658,236)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March 31, 2022 Compared to the Three Months Ended March 31, 2021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48"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Net cash provided by (used in) operating activities was $650 million higher than the same period in 2021. The variance to the prior year was primarily attributable to:</w:t>
      </w:r>
    </w:p>
    <w:p>
      <w:pPr>
        <w:spacing w:after="0" w:line="168" w:lineRule="exact"/>
        <w:rPr>
          <w:sz w:val="20"/>
          <w:szCs w:val="20"/>
          <w:color w:val="auto"/>
        </w:rPr>
      </w:pPr>
    </w:p>
    <w:p>
      <w:pPr>
        <w:ind w:left="660" w:right="100" w:hanging="328"/>
        <w:spacing w:after="0" w:line="27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Cash earnings (net income plus non-cash adjustments) were $37 million higher for the three months ended March 31, 2022 compared to the same period in the prior year primarily due to increased Electric and Gas Utility margins driven by new rates and rider recovery and prior year impacts from Winter Storm Uri.</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$611 million higher, primarily attributable to:</w:t>
      </w:r>
    </w:p>
    <w:p>
      <w:pPr>
        <w:spacing w:after="0" w:line="248" w:lineRule="exact"/>
        <w:rPr>
          <w:rFonts w:ascii="Arial" w:cs="Arial" w:eastAsia="Arial" w:hAnsi="Arial"/>
          <w:sz w:val="16"/>
          <w:szCs w:val="16"/>
          <w:color w:val="auto"/>
        </w:rPr>
      </w:pPr>
    </w:p>
    <w:p>
      <w:pPr>
        <w:ind w:left="1140" w:right="20" w:hanging="322"/>
        <w:spacing w:after="0" w:line="275" w:lineRule="auto"/>
        <w:tabs>
          <w:tab w:leader="none" w:pos="113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Cash inflows increased by $637 million as a result of changes in our regulatory assets and liabilities primarily driven by prior year incremental fuel, purchased power and natural gas costs due to Winter Storm Uri, current year recovery of a portion of Winter Storm Uri incremental and carrying costs from customers, and higher recoveries of gas and fuel cost adjustments driven by higher commodity prices;</w:t>
      </w:r>
    </w:p>
    <w:p>
      <w:pPr>
        <w:spacing w:after="0" w:line="204" w:lineRule="exact"/>
        <w:rPr>
          <w:rFonts w:ascii="Arial" w:cs="Arial" w:eastAsia="Arial" w:hAnsi="Arial"/>
          <w:sz w:val="16"/>
          <w:szCs w:val="16"/>
          <w:color w:val="auto"/>
        </w:rPr>
      </w:pPr>
    </w:p>
    <w:p>
      <w:pPr>
        <w:ind w:left="1140" w:right="420" w:hanging="322"/>
        <w:spacing w:after="0" w:line="286" w:lineRule="auto"/>
        <w:tabs>
          <w:tab w:leader="none" w:pos="113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Cash inflows decreased by $41 million as a result of changes in accounts receivable and other current assets primarily driven by higher pass-through revenues reflecting higher commodity prices partially offset by lower natural gas in storage inventories; and</w:t>
      </w:r>
    </w:p>
    <w:p>
      <w:pPr>
        <w:spacing w:after="0" w:line="182" w:lineRule="exact"/>
        <w:rPr>
          <w:rFonts w:ascii="Arial" w:cs="Arial" w:eastAsia="Arial" w:hAnsi="Arial"/>
          <w:sz w:val="16"/>
          <w:szCs w:val="16"/>
          <w:color w:val="auto"/>
        </w:rPr>
      </w:pPr>
    </w:p>
    <w:p>
      <w:pPr>
        <w:ind w:left="1140" w:right="400" w:hanging="322"/>
        <w:spacing w:after="0" w:line="304" w:lineRule="auto"/>
        <w:tabs>
          <w:tab w:leader="none" w:pos="113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Cash outflows decreased by $15 million as a result of decreases in accounts payable and accrued liabilities primarily driven by payment timing of natural gas and power purchases and other working capital requirements.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Cash inflows increased by $2.0 million for other operating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$8 million lower than the same period in 2021. The variance to the prior year was primarily attributable to:</w:t>
      </w:r>
    </w:p>
    <w:p>
      <w:pPr>
        <w:spacing w:after="0" w:line="248" w:lineRule="exact"/>
        <w:rPr>
          <w:sz w:val="20"/>
          <w:szCs w:val="20"/>
          <w:color w:val="auto"/>
        </w:rPr>
      </w:pPr>
    </w:p>
    <w:p>
      <w:pPr>
        <w:ind w:left="660" w:right="260" w:hanging="328"/>
        <w:spacing w:after="0" w:line="304"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Capital expenditures of $137 million for the three months ended March 31, 2022 compared to $146 million for the same period in the prior year. Lower current year expenditures were driven by lower programmatic safety, reliability and integrity spending at our Gas and Electric Utilities; and</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Cash outflows increased by $1.1 million for other 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$658 million higher than the same period in 2021. The variance to the prior year was primarily attributable to:</w:t>
      </w:r>
    </w:p>
    <w:p>
      <w:pPr>
        <w:spacing w:after="0" w:line="248" w:lineRule="exact"/>
        <w:rPr>
          <w:sz w:val="20"/>
          <w:szCs w:val="20"/>
          <w:color w:val="auto"/>
        </w:rPr>
      </w:pPr>
    </w:p>
    <w:p>
      <w:pPr>
        <w:ind w:left="660" w:right="220" w:hanging="328"/>
        <w:spacing w:after="0" w:line="304"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inflows decreased $659 million due to short-term and long-term repayments in excess of borrowings. This decrease was primarily driven by $600 million of net borrowings from our term loan in the prior year;</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inflows increased $3.8 million due to higher issuances of common stock;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outflows increased $3.0 million due to increased dividends paid on common stock.</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CP Program had the following borrowings, outstanding letters of credit and available capacity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color w:val="auto"/>
              </w:rPr>
              <w:t>Current</w:t>
            </w:r>
          </w:p>
        </w:tc>
        <w:tc>
          <w:tcPr>
            <w:tcW w:w="220" w:type="dxa"/>
            <w:vAlign w:val="bottom"/>
          </w:tcPr>
          <w:p>
            <w:pPr>
              <w:spacing w:after="0"/>
              <w:rPr>
                <w:sz w:val="20"/>
                <w:szCs w:val="20"/>
                <w:color w:val="auto"/>
              </w:rPr>
            </w:pPr>
          </w:p>
        </w:tc>
        <w:tc>
          <w:tcPr>
            <w:tcW w:w="2160" w:type="dxa"/>
            <w:vAlign w:val="bottom"/>
          </w:tcPr>
          <w:p>
            <w:pPr>
              <w:jc w:val="center"/>
              <w:ind w:right="99"/>
              <w:spacing w:after="0"/>
              <w:rPr>
                <w:sz w:val="20"/>
                <w:szCs w:val="20"/>
                <w:color w:val="auto"/>
              </w:rPr>
            </w:pPr>
            <w:r>
              <w:rPr>
                <w:rFonts w:ascii="Arial" w:cs="Arial" w:eastAsia="Arial" w:hAnsi="Arial"/>
                <w:sz w:val="16"/>
                <w:szCs w:val="16"/>
                <w:color w:val="auto"/>
              </w:rPr>
              <w:t>Short-term borrowings at</w:t>
            </w:r>
          </w:p>
        </w:tc>
        <w:tc>
          <w:tcPr>
            <w:tcW w:w="200" w:type="dxa"/>
            <w:vAlign w:val="bottom"/>
          </w:tcPr>
          <w:p>
            <w:pPr>
              <w:spacing w:after="0"/>
              <w:rPr>
                <w:sz w:val="20"/>
                <w:szCs w:val="20"/>
                <w:color w:val="auto"/>
              </w:rPr>
            </w:pPr>
          </w:p>
        </w:tc>
        <w:tc>
          <w:tcPr>
            <w:tcW w:w="1760" w:type="dxa"/>
            <w:vAlign w:val="bottom"/>
          </w:tcPr>
          <w:p>
            <w:pPr>
              <w:jc w:val="center"/>
              <w:ind w:right="59"/>
              <w:spacing w:after="0"/>
              <w:rPr>
                <w:sz w:val="20"/>
                <w:szCs w:val="20"/>
                <w:color w:val="auto"/>
              </w:rPr>
            </w:pPr>
            <w:r>
              <w:rPr>
                <w:rFonts w:ascii="Arial" w:cs="Arial" w:eastAsia="Arial" w:hAnsi="Arial"/>
                <w:sz w:val="16"/>
                <w:szCs w:val="16"/>
                <w:color w:val="auto"/>
                <w:w w:val="97"/>
              </w:rPr>
              <w:t xml:space="preserve">Letters of Credit </w:t>
            </w:r>
            <w:r>
              <w:rPr>
                <w:rFonts w:ascii="Arial" w:cs="Arial" w:eastAsia="Arial" w:hAnsi="Arial"/>
                <w:sz w:val="21"/>
                <w:szCs w:val="21"/>
                <w:color w:val="auto"/>
                <w:w w:val="97"/>
                <w:vertAlign w:val="superscript"/>
              </w:rPr>
              <w:t>(a)</w:t>
            </w:r>
            <w:r>
              <w:rPr>
                <w:rFonts w:ascii="Arial" w:cs="Arial" w:eastAsia="Arial" w:hAnsi="Arial"/>
                <w:sz w:val="16"/>
                <w:szCs w:val="16"/>
                <w:color w:val="auto"/>
                <w:w w:val="97"/>
              </w:rPr>
              <w:t xml:space="preserve"> at</w:t>
            </w:r>
          </w:p>
        </w:tc>
        <w:tc>
          <w:tcPr>
            <w:tcW w:w="240" w:type="dxa"/>
            <w:vAlign w:val="bottom"/>
          </w:tcPr>
          <w:p>
            <w:pPr>
              <w:spacing w:after="0"/>
              <w:rPr>
                <w:sz w:val="20"/>
                <w:szCs w:val="20"/>
                <w:color w:val="auto"/>
              </w:rPr>
            </w:pPr>
          </w:p>
        </w:tc>
        <w:tc>
          <w:tcPr>
            <w:tcW w:w="1940" w:type="dxa"/>
            <w:vAlign w:val="bottom"/>
          </w:tcPr>
          <w:p>
            <w:pPr>
              <w:jc w:val="center"/>
              <w:ind w:right="119"/>
              <w:spacing w:after="0"/>
              <w:rPr>
                <w:sz w:val="20"/>
                <w:szCs w:val="20"/>
                <w:color w:val="auto"/>
              </w:rPr>
            </w:pPr>
            <w:r>
              <w:rPr>
                <w:rFonts w:ascii="Arial" w:cs="Arial" w:eastAsia="Arial" w:hAnsi="Arial"/>
                <w:sz w:val="16"/>
                <w:szCs w:val="16"/>
                <w:color w:val="auto"/>
              </w:rPr>
              <w:t>Available Capacity at</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Capacity</w:t>
            </w: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March 31, 2022</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March 31, 2022</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rPr>
              <w:t>March 31, 2022</w:t>
            </w:r>
          </w:p>
        </w:tc>
        <w:tc>
          <w:tcPr>
            <w:tcW w:w="0" w:type="dxa"/>
            <w:vAlign w:val="bottom"/>
          </w:tcPr>
          <w:p>
            <w:pPr>
              <w:spacing w:after="0"/>
              <w:rPr>
                <w:sz w:val="1"/>
                <w:szCs w:val="1"/>
                <w:color w:val="auto"/>
              </w:rPr>
            </w:pPr>
          </w:p>
        </w:tc>
      </w:tr>
      <w:tr>
        <w:trPr>
          <w:trHeight w:val="156"/>
        </w:trPr>
        <w:tc>
          <w:tcPr>
            <w:tcW w:w="2240" w:type="dxa"/>
            <w:vAlign w:val="bottom"/>
            <w:shd w:val="clear" w:color="auto" w:fill="CEFFE7"/>
          </w:tcPr>
          <w:p>
            <w:pPr>
              <w:ind w:left="20"/>
              <w:spacing w:after="0" w:line="157" w:lineRule="exact"/>
              <w:rPr>
                <w:sz w:val="20"/>
                <w:szCs w:val="20"/>
                <w:color w:val="auto"/>
              </w:rPr>
            </w:pPr>
            <w:r>
              <w:rPr>
                <w:rFonts w:ascii="Arial" w:cs="Arial" w:eastAsia="Arial" w:hAnsi="Arial"/>
                <w:sz w:val="16"/>
                <w:szCs w:val="16"/>
                <w:color w:val="auto"/>
              </w:rPr>
              <w:t>Revolving Credit Facility and</w:t>
            </w:r>
          </w:p>
        </w:tc>
        <w:tc>
          <w:tcPr>
            <w:tcW w:w="1240" w:type="dxa"/>
            <w:vAlign w:val="bottom"/>
            <w:vMerge w:val="restart"/>
            <w:shd w:val="clear" w:color="auto" w:fill="CEFFE7"/>
          </w:tcPr>
          <w:p>
            <w:pPr>
              <w:jc w:val="center"/>
              <w:spacing w:after="0"/>
              <w:rPr>
                <w:sz w:val="20"/>
                <w:szCs w:val="20"/>
                <w:color w:val="auto"/>
              </w:rPr>
            </w:pPr>
            <w:r>
              <w:rPr>
                <w:rFonts w:ascii="Arial" w:cs="Arial" w:eastAsia="Arial" w:hAnsi="Arial"/>
                <w:sz w:val="16"/>
                <w:szCs w:val="16"/>
                <w:color w:val="auto"/>
              </w:rPr>
              <w:t>July 19, 2026</w:t>
            </w:r>
          </w:p>
        </w:tc>
        <w:tc>
          <w:tcPr>
            <w:tcW w:w="2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750</w:t>
            </w:r>
          </w:p>
        </w:tc>
        <w:tc>
          <w:tcPr>
            <w:tcW w:w="2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1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341</w:t>
            </w:r>
          </w:p>
        </w:tc>
        <w:tc>
          <w:tcPr>
            <w:tcW w:w="2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17</w:t>
            </w:r>
          </w:p>
        </w:tc>
        <w:tc>
          <w:tcPr>
            <w:tcW w:w="2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6"/>
        </w:trPr>
        <w:tc>
          <w:tcPr>
            <w:tcW w:w="2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1240" w:type="dxa"/>
            <w:vAlign w:val="bottom"/>
            <w:vMerge w:val="continue"/>
            <w:shd w:val="clear" w:color="auto" w:fill="CEFFE7"/>
          </w:tcPr>
          <w:p>
            <w:pPr>
              <w:spacing w:after="0"/>
              <w:rPr>
                <w:sz w:val="18"/>
                <w:szCs w:val="18"/>
                <w:color w:val="auto"/>
              </w:rPr>
            </w:pPr>
          </w:p>
        </w:tc>
        <w:tc>
          <w:tcPr>
            <w:tcW w:w="260" w:type="dxa"/>
            <w:vAlign w:val="bottom"/>
            <w:vMerge w:val="continue"/>
            <w:shd w:val="clear" w:color="auto" w:fill="CEFFE7"/>
          </w:tcPr>
          <w:p>
            <w:pPr>
              <w:spacing w:after="0"/>
              <w:rPr>
                <w:sz w:val="18"/>
                <w:szCs w:val="18"/>
                <w:color w:val="auto"/>
              </w:rPr>
            </w:pPr>
          </w:p>
        </w:tc>
        <w:tc>
          <w:tcPr>
            <w:tcW w:w="980" w:type="dxa"/>
            <w:vAlign w:val="bottom"/>
            <w:vMerge w:val="continue"/>
            <w:shd w:val="clear" w:color="auto" w:fill="CEFFE7"/>
          </w:tcPr>
          <w:p>
            <w:pPr>
              <w:spacing w:after="0"/>
              <w:rPr>
                <w:sz w:val="18"/>
                <w:szCs w:val="18"/>
                <w:color w:val="auto"/>
              </w:rPr>
            </w:pPr>
          </w:p>
        </w:tc>
        <w:tc>
          <w:tcPr>
            <w:tcW w:w="220" w:type="dxa"/>
            <w:vAlign w:val="bottom"/>
            <w:vMerge w:val="continue"/>
            <w:shd w:val="clear" w:color="auto" w:fill="CEFFE7"/>
          </w:tcPr>
          <w:p>
            <w:pPr>
              <w:spacing w:after="0"/>
              <w:rPr>
                <w:sz w:val="18"/>
                <w:szCs w:val="18"/>
                <w:color w:val="auto"/>
              </w:rPr>
            </w:pPr>
          </w:p>
        </w:tc>
        <w:tc>
          <w:tcPr>
            <w:tcW w:w="2160" w:type="dxa"/>
            <w:vAlign w:val="bottom"/>
            <w:vMerge w:val="continue"/>
            <w:shd w:val="clear" w:color="auto" w:fill="CEFFE7"/>
          </w:tcPr>
          <w:p>
            <w:pPr>
              <w:spacing w:after="0"/>
              <w:rPr>
                <w:sz w:val="18"/>
                <w:szCs w:val="18"/>
                <w:color w:val="auto"/>
              </w:rPr>
            </w:pPr>
          </w:p>
        </w:tc>
        <w:tc>
          <w:tcPr>
            <w:tcW w:w="200" w:type="dxa"/>
            <w:vAlign w:val="bottom"/>
            <w:vMerge w:val="continue"/>
            <w:shd w:val="clear" w:color="auto" w:fill="CEFFE7"/>
          </w:tcPr>
          <w:p>
            <w:pPr>
              <w:spacing w:after="0"/>
              <w:rPr>
                <w:sz w:val="18"/>
                <w:szCs w:val="18"/>
                <w:color w:val="auto"/>
              </w:rPr>
            </w:pPr>
          </w:p>
        </w:tc>
        <w:tc>
          <w:tcPr>
            <w:tcW w:w="1760" w:type="dxa"/>
            <w:vAlign w:val="bottom"/>
            <w:vMerge w:val="continue"/>
            <w:shd w:val="clear" w:color="auto" w:fill="CEFFE7"/>
          </w:tcPr>
          <w:p>
            <w:pPr>
              <w:spacing w:after="0"/>
              <w:rPr>
                <w:sz w:val="18"/>
                <w:szCs w:val="18"/>
                <w:color w:val="auto"/>
              </w:rPr>
            </w:pPr>
          </w:p>
        </w:tc>
        <w:tc>
          <w:tcPr>
            <w:tcW w:w="240" w:type="dxa"/>
            <w:vAlign w:val="bottom"/>
            <w:vMerge w:val="continue"/>
            <w:shd w:val="clear" w:color="auto" w:fill="CEFFE7"/>
          </w:tcPr>
          <w:p>
            <w:pPr>
              <w:spacing w:after="0"/>
              <w:rPr>
                <w:sz w:val="18"/>
                <w:szCs w:val="18"/>
                <w:color w:val="auto"/>
              </w:rPr>
            </w:pPr>
          </w:p>
        </w:tc>
        <w:tc>
          <w:tcPr>
            <w:tcW w:w="1940" w:type="dxa"/>
            <w:vAlign w:val="bottom"/>
            <w:vMerge w:val="continue"/>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240" w:type="dxa"/>
            <w:vAlign w:val="bottom"/>
          </w:tcPr>
          <w:p>
            <w:pPr>
              <w:spacing w:after="0"/>
              <w:rPr>
                <w:sz w:val="20"/>
                <w:szCs w:val="20"/>
                <w:color w:val="auto"/>
              </w:rPr>
            </w:pPr>
            <w:r>
              <w:rPr>
                <w:rFonts w:ascii="Arial" w:cs="Arial" w:eastAsia="Arial" w:hAnsi="Arial"/>
                <w:sz w:val="16"/>
                <w:szCs w:val="16"/>
                <w:color w:val="auto"/>
              </w:rPr>
              <w:t>__________</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100" w:firstLine="8"/>
        <w:spacing w:after="0" w:line="284" w:lineRule="auto"/>
        <w:tabs>
          <w:tab w:leader="none" w:pos="336"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Letters of credit are off-balance sheet commitments that reduce the borrowing capacity available on our corporate Revolving Credit Facility. For more information on these letters of credit, see </w:t>
      </w:r>
      <w:r>
        <w:rPr>
          <w:rFonts w:ascii="Arial" w:cs="Arial" w:eastAsia="Arial" w:hAnsi="Arial"/>
          <w:sz w:val="14"/>
          <w:szCs w:val="14"/>
          <w:u w:val="single" w:color="auto"/>
          <w:color w:val="0000FF"/>
        </w:rPr>
        <w:t>Note 5</w:t>
      </w:r>
      <w:r>
        <w:rPr>
          <w:rFonts w:ascii="Arial" w:cs="Arial" w:eastAsia="Arial" w:hAnsi="Arial"/>
          <w:sz w:val="14"/>
          <w:szCs w:val="14"/>
          <w:color w:val="auto"/>
        </w:rPr>
        <w:t xml:space="preserve"> of the Notes to Condensed Consolidated Financial Statements.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weighted average interest rate on short-term borrowings at March 31, 2022 was 0.79%. Short-term borrowing activity for the three months ended March 31, 2022 was: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(dollars in millions)</w:t>
            </w:r>
          </w:p>
        </w:tc>
      </w:tr>
      <w:tr>
        <w:trPr>
          <w:trHeight w:val="211"/>
        </w:trPr>
        <w:tc>
          <w:tcPr>
            <w:tcW w:w="6960" w:type="dxa"/>
            <w:vAlign w:val="bottom"/>
            <w:shd w:val="clear" w:color="auto" w:fill="CEFFE7"/>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2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429</w:t>
            </w: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19"/>
              <w:spacing w:after="0"/>
              <w:rPr>
                <w:sz w:val="20"/>
                <w:szCs w:val="20"/>
                <w:color w:val="auto"/>
              </w:rPr>
            </w:pPr>
            <w:r>
              <w:rPr>
                <w:rFonts w:ascii="Arial" w:cs="Arial" w:eastAsia="Arial" w:hAnsi="Arial"/>
                <w:sz w:val="16"/>
                <w:szCs w:val="16"/>
                <w:color w:val="auto"/>
              </w:rPr>
              <w:t>361</w:t>
            </w:r>
          </w:p>
        </w:tc>
      </w:tr>
      <w:tr>
        <w:trPr>
          <w:trHeight w:val="217"/>
        </w:trPr>
        <w:tc>
          <w:tcPr>
            <w:tcW w:w="69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interest rates</w:t>
            </w:r>
          </w:p>
        </w:tc>
        <w:tc>
          <w:tcPr>
            <w:tcW w:w="2260" w:type="dxa"/>
            <w:vAlign w:val="bottom"/>
            <w:shd w:val="clear" w:color="auto" w:fill="CEFFE7"/>
          </w:tcPr>
          <w:p>
            <w:pPr>
              <w:spacing w:after="0"/>
              <w:rPr>
                <w:sz w:val="18"/>
                <w:szCs w:val="18"/>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0.44 %</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6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March 31, 2022. 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of the Notes to Condensed Consolidated Financial Statements for more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2022, we issued a total of 55,707 shares of common stock under the ATM for $3.8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In the remaining months of 2022, we plan to fund our capital plan and strategic objectives by using cash generated from operating activities, our Revolving Credit Facility and CP Program and issuing $100 million to $120 million of common stock under the ATM.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48"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After assessing the current operating performance, liquidity and credit ratings of the Company, management believes that the Company will have access to the capital markets at prevailing market rates for companies with comparable credit ratings.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March 31, 2022:</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5540" w:type="dxa"/>
            <w:vAlign w:val="bottom"/>
            <w:tcBorders>
              <w:bottom w:val="single" w:sz="8" w:color="auto"/>
            </w:tcBorders>
          </w:tcPr>
          <w:p>
            <w:pPr>
              <w:jc w:val="center"/>
              <w:ind w:left="2359"/>
              <w:spacing w:after="0"/>
              <w:rPr>
                <w:sz w:val="20"/>
                <w:szCs w:val="20"/>
                <w:color w:val="auto"/>
              </w:rPr>
            </w:pPr>
            <w:r>
              <w:rPr>
                <w:rFonts w:ascii="Arial" w:cs="Arial" w:eastAsia="Arial" w:hAnsi="Arial"/>
                <w:sz w:val="16"/>
                <w:szCs w:val="16"/>
                <w:b w:val="1"/>
                <w:bCs w:val="1"/>
                <w:color w:val="auto"/>
              </w:rPr>
              <w:t>Senior Unsecured Rating</w:t>
            </w:r>
          </w:p>
        </w:tc>
        <w:tc>
          <w:tcPr>
            <w:tcW w:w="15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Outlook</w:t>
            </w:r>
          </w:p>
        </w:tc>
      </w:tr>
      <w:tr>
        <w:trPr>
          <w:trHeight w:val="209"/>
        </w:trPr>
        <w:tc>
          <w:tcPr>
            <w:tcW w:w="4180" w:type="dxa"/>
            <w:vAlign w:val="bottom"/>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5540" w:type="dxa"/>
            <w:vAlign w:val="bottom"/>
          </w:tcPr>
          <w:p>
            <w:pPr>
              <w:jc w:val="center"/>
              <w:ind w:left="2359"/>
              <w:spacing w:after="0"/>
              <w:rPr>
                <w:sz w:val="20"/>
                <w:szCs w:val="20"/>
                <w:color w:val="auto"/>
              </w:rPr>
            </w:pPr>
            <w:r>
              <w:rPr>
                <w:rFonts w:ascii="Arial" w:cs="Arial" w:eastAsia="Arial" w:hAnsi="Arial"/>
                <w:sz w:val="16"/>
                <w:szCs w:val="16"/>
                <w:color w:val="auto"/>
              </w:rPr>
              <w:t>Baa2</w:t>
            </w:r>
          </w:p>
        </w:tc>
        <w:tc>
          <w:tcPr>
            <w:tcW w:w="1520" w:type="dxa"/>
            <w:vAlign w:val="bottom"/>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82"/>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55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October 20, 2021, S&amp;P reported BBB+ rating and maintained a Stable outlook.</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December 20, 2021, Moody’s reported Baa2 rating and maintained a Stable outlook.</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September 17, 2021, Fitch reported BBB+ rating and maintained a Stable outlook.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March 31, 2022:</w:t>
            </w:r>
          </w:p>
        </w:tc>
        <w:tc>
          <w:tcPr>
            <w:tcW w:w="3580" w:type="dxa"/>
            <w:vAlign w:val="bottom"/>
          </w:tcPr>
          <w:p>
            <w:pPr>
              <w:spacing w:after="0"/>
              <w:rPr>
                <w:sz w:val="18"/>
                <w:szCs w:val="18"/>
                <w:color w:val="auto"/>
              </w:rPr>
            </w:pPr>
          </w:p>
        </w:tc>
      </w:tr>
      <w:tr>
        <w:trPr>
          <w:trHeight w:val="475"/>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358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b w:val="1"/>
                <w:bCs w:val="1"/>
                <w:color w:val="auto"/>
              </w:rPr>
              <w:t>Senior Secured Rating</w:t>
            </w:r>
          </w:p>
        </w:tc>
      </w:tr>
      <w:tr>
        <w:trPr>
          <w:trHeight w:val="209"/>
        </w:trPr>
        <w:tc>
          <w:tcPr>
            <w:tcW w:w="7660" w:type="dxa"/>
            <w:vAlign w:val="bottom"/>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3580" w:type="dxa"/>
            <w:vAlign w:val="bottom"/>
            <w:shd w:val="clear" w:color="auto" w:fill="CEFFE7"/>
          </w:tcPr>
          <w:p>
            <w:pPr>
              <w:jc w:val="center"/>
              <w:ind w:left="199"/>
              <w:spacing w:after="0"/>
              <w:rPr>
                <w:sz w:val="20"/>
                <w:szCs w:val="20"/>
                <w:color w:val="auto"/>
              </w:rPr>
            </w:pPr>
            <w:r>
              <w:rPr>
                <w:rFonts w:ascii="Arial" w:cs="Arial" w:eastAsia="Arial" w:hAnsi="Arial"/>
                <w:sz w:val="16"/>
                <w:szCs w:val="16"/>
                <w:color w:val="auto"/>
                <w:w w:val="93"/>
              </w:rPr>
              <w:t>A</w:t>
            </w:r>
          </w:p>
        </w:tc>
      </w:tr>
      <w:tr>
        <w:trPr>
          <w:trHeight w:val="285"/>
        </w:trPr>
        <w:tc>
          <w:tcPr>
            <w:tcW w:w="7660" w:type="dxa"/>
            <w:vAlign w:val="bottom"/>
          </w:tcPr>
          <w:p>
            <w:pPr>
              <w:ind w:left="20"/>
              <w:spacing w:after="0"/>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3580" w:type="dxa"/>
            <w:vAlign w:val="bottom"/>
          </w:tcPr>
          <w:p>
            <w:pPr>
              <w:jc w:val="center"/>
              <w:ind w:left="199"/>
              <w:spacing w:after="0"/>
              <w:rPr>
                <w:sz w:val="20"/>
                <w:szCs w:val="20"/>
                <w:color w:val="auto"/>
              </w:rPr>
            </w:pPr>
            <w:r>
              <w:rPr>
                <w:rFonts w:ascii="Arial" w:cs="Arial" w:eastAsia="Arial" w:hAnsi="Arial"/>
                <w:sz w:val="16"/>
                <w:szCs w:val="16"/>
                <w:color w:val="auto"/>
                <w:w w:val="93"/>
              </w:rPr>
              <w:t>A</w:t>
            </w:r>
          </w:p>
        </w:tc>
      </w:tr>
      <w:tr>
        <w:trPr>
          <w:trHeight w:val="219"/>
        </w:trPr>
        <w:tc>
          <w:tcPr>
            <w:tcW w:w="7660" w:type="dxa"/>
            <w:vAlign w:val="bottom"/>
          </w:tcPr>
          <w:p>
            <w:pPr>
              <w:spacing w:after="0"/>
              <w:rPr>
                <w:sz w:val="20"/>
                <w:szCs w:val="20"/>
                <w:color w:val="auto"/>
              </w:rPr>
            </w:pPr>
            <w:r>
              <w:rPr>
                <w:rFonts w:ascii="Arial" w:cs="Arial" w:eastAsia="Arial" w:hAnsi="Arial"/>
                <w:sz w:val="16"/>
                <w:szCs w:val="16"/>
                <w:color w:val="auto"/>
              </w:rPr>
              <w:t>__________</w:t>
            </w:r>
          </w:p>
        </w:tc>
        <w:tc>
          <w:tcPr>
            <w:tcW w:w="3580" w:type="dxa"/>
            <w:vAlign w:val="bottom"/>
          </w:tcPr>
          <w:p>
            <w:pPr>
              <w:spacing w:after="0"/>
              <w:rPr>
                <w:sz w:val="19"/>
                <w:szCs w:val="19"/>
                <w:color w:val="auto"/>
              </w:rPr>
            </w:pPr>
          </w:p>
        </w:tc>
      </w:tr>
    </w:tbl>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July 1, 2021, S&amp;P reported A rating.</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September 17, 2021, Fitch reported A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2460" w:type="dxa"/>
            <w:vAlign w:val="bottom"/>
            <w:gridSpan w:val="2"/>
          </w:tcPr>
          <w:p>
            <w:pPr>
              <w:spacing w:after="0"/>
              <w:rPr>
                <w:sz w:val="20"/>
                <w:szCs w:val="20"/>
                <w:color w:val="auto"/>
              </w:rPr>
            </w:pPr>
            <w:r>
              <w:rPr>
                <w:rFonts w:ascii="Arial" w:cs="Arial" w:eastAsia="Arial" w:hAnsi="Arial"/>
                <w:sz w:val="16"/>
                <w:szCs w:val="16"/>
                <w:b w:val="1"/>
                <w:bCs w:val="1"/>
                <w:color w:val="auto"/>
              </w:rPr>
              <w:t>Capital Requirements</w:t>
            </w: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60" w:type="dxa"/>
            <w:vAlign w:val="bottom"/>
            <w:gridSpan w:val="2"/>
          </w:tcPr>
          <w:p>
            <w:pPr>
              <w:spacing w:after="0"/>
              <w:rPr>
                <w:sz w:val="20"/>
                <w:szCs w:val="20"/>
                <w:color w:val="auto"/>
              </w:rPr>
            </w:pPr>
            <w:r>
              <w:rPr>
                <w:rFonts w:ascii="Arial" w:cs="Arial" w:eastAsia="Arial" w:hAnsi="Arial"/>
                <w:sz w:val="16"/>
                <w:szCs w:val="16"/>
                <w:b w:val="1"/>
                <w:bCs w:val="1"/>
                <w:color w:val="auto"/>
              </w:rPr>
              <w:t>Capital Expenditures</w:t>
            </w: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rPr>
              <w:t>Actual</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Forecasted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460" w:type="dxa"/>
            <w:vAlign w:val="bottom"/>
            <w:gridSpan w:val="2"/>
            <w:vMerge w:val="restart"/>
          </w:tcPr>
          <w:p>
            <w:pPr>
              <w:ind w:left="20"/>
              <w:spacing w:after="0"/>
              <w:rPr>
                <w:sz w:val="20"/>
                <w:szCs w:val="20"/>
                <w:color w:val="auto"/>
              </w:rPr>
            </w:pPr>
            <w:r>
              <w:rPr>
                <w:rFonts w:ascii="Arial" w:cs="Arial" w:eastAsia="Arial" w:hAnsi="Arial"/>
                <w:sz w:val="16"/>
                <w:szCs w:val="16"/>
                <w:color w:val="auto"/>
              </w:rPr>
              <w:t>Capital Expenditures by Segment</w:t>
            </w:r>
          </w:p>
        </w:tc>
        <w:tc>
          <w:tcPr>
            <w:tcW w:w="21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color w:val="auto"/>
              </w:rPr>
              <w:t>Three Months Ended March</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color w:val="auto"/>
              </w:rPr>
              <w:t xml:space="preserve">2022 </w:t>
            </w:r>
            <w:r>
              <w:rPr>
                <w:rFonts w:ascii="Arial" w:cs="Arial" w:eastAsia="Arial" w:hAnsi="Arial"/>
                <w:sz w:val="21"/>
                <w:szCs w:val="21"/>
                <w:color w:val="auto"/>
                <w:vertAlign w:val="superscript"/>
              </w:rPr>
              <w:t>(b)</w:t>
            </w: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2023</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379"/>
              <w:spacing w:after="0"/>
              <w:rPr>
                <w:sz w:val="20"/>
                <w:szCs w:val="20"/>
                <w:color w:val="auto"/>
              </w:rPr>
            </w:pPr>
            <w:r>
              <w:rPr>
                <w:rFonts w:ascii="Arial" w:cs="Arial" w:eastAsia="Arial" w:hAnsi="Arial"/>
                <w:sz w:val="16"/>
                <w:szCs w:val="16"/>
                <w:color w:val="auto"/>
              </w:rPr>
              <w:t>2024</w:t>
            </w: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59"/>
              <w:spacing w:after="0"/>
              <w:rPr>
                <w:sz w:val="20"/>
                <w:szCs w:val="20"/>
                <w:color w:val="auto"/>
              </w:rPr>
            </w:pPr>
            <w:r>
              <w:rPr>
                <w:rFonts w:ascii="Arial" w:cs="Arial" w:eastAsia="Arial" w:hAnsi="Arial"/>
                <w:sz w:val="16"/>
                <w:szCs w:val="16"/>
                <w:color w:val="auto"/>
              </w:rPr>
              <w:t>2025</w:t>
            </w: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399"/>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16"/>
        </w:trPr>
        <w:tc>
          <w:tcPr>
            <w:tcW w:w="24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center"/>
              <w:ind w:right="500"/>
              <w:spacing w:after="0" w:line="216" w:lineRule="exact"/>
              <w:rPr>
                <w:sz w:val="20"/>
                <w:szCs w:val="20"/>
                <w:color w:val="auto"/>
              </w:rPr>
            </w:pPr>
            <w:r>
              <w:rPr>
                <w:rFonts w:ascii="Arial" w:cs="Arial" w:eastAsia="Arial" w:hAnsi="Arial"/>
                <w:sz w:val="16"/>
                <w:szCs w:val="16"/>
                <w:color w:val="auto"/>
                <w:w w:val="95"/>
              </w:rPr>
              <w:t xml:space="preserve">31, 2022 </w:t>
            </w:r>
            <w:r>
              <w:rPr>
                <w:rFonts w:ascii="Arial" w:cs="Arial" w:eastAsia="Arial" w:hAnsi="Arial"/>
                <w:sz w:val="21"/>
                <w:szCs w:val="21"/>
                <w:color w:val="auto"/>
                <w:w w:val="95"/>
                <w:vertAlign w:val="superscript"/>
              </w:rPr>
              <w:t>(a)</w:t>
            </w: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i w:val="1"/>
                <w:iCs w:val="1"/>
                <w:color w:val="auto"/>
              </w:rPr>
              <w:t>(in millions)</w:t>
            </w:r>
          </w:p>
        </w:tc>
        <w:tc>
          <w:tcPr>
            <w:tcW w:w="380" w:type="dxa"/>
            <w:vAlign w:val="bottom"/>
            <w:tcBorders>
              <w:top w:val="single" w:sz="8" w:color="auto"/>
            </w:tcBorders>
            <w:shd w:val="clear" w:color="auto" w:fill="CEFFE7"/>
          </w:tcPr>
          <w:p>
            <w:pPr>
              <w:spacing w:after="0"/>
              <w:rPr>
                <w:sz w:val="17"/>
                <w:szCs w:val="17"/>
                <w:color w:val="auto"/>
              </w:rPr>
            </w:pPr>
          </w:p>
        </w:tc>
        <w:tc>
          <w:tcPr>
            <w:tcW w:w="1760" w:type="dxa"/>
            <w:vAlign w:val="bottom"/>
            <w:tcBorders>
              <w:top w:val="single" w:sz="8" w:color="auto"/>
            </w:tcBorders>
            <w:shd w:val="clear" w:color="auto" w:fill="CEFFE7"/>
          </w:tcPr>
          <w:p>
            <w:pPr>
              <w:spacing w:after="0"/>
              <w:rPr>
                <w:sz w:val="17"/>
                <w:szCs w:val="17"/>
                <w:color w:val="auto"/>
              </w:rPr>
            </w:pPr>
          </w:p>
        </w:tc>
        <w:tc>
          <w:tcPr>
            <w:tcW w:w="100" w:type="dxa"/>
            <w:vAlign w:val="bottom"/>
            <w:tcBorders>
              <w:top w:val="single" w:sz="8" w:color="CEFFE7"/>
            </w:tcBorders>
            <w:shd w:val="clear" w:color="auto" w:fill="CEFFE7"/>
          </w:tcPr>
          <w:p>
            <w:pPr>
              <w:spacing w:after="0"/>
              <w:rPr>
                <w:sz w:val="17"/>
                <w:szCs w:val="17"/>
                <w:color w:val="auto"/>
              </w:rPr>
            </w:pPr>
          </w:p>
        </w:tc>
        <w:tc>
          <w:tcPr>
            <w:tcW w:w="240" w:type="dxa"/>
            <w:vAlign w:val="bottom"/>
            <w:tcBorders>
              <w:top w:val="single" w:sz="8" w:color="auto"/>
            </w:tcBorders>
            <w:shd w:val="clear" w:color="auto" w:fill="CEFFE7"/>
          </w:tcPr>
          <w:p>
            <w:pPr>
              <w:spacing w:after="0"/>
              <w:rPr>
                <w:sz w:val="17"/>
                <w:szCs w:val="17"/>
                <w:color w:val="auto"/>
              </w:rPr>
            </w:pPr>
          </w:p>
        </w:tc>
        <w:tc>
          <w:tcPr>
            <w:tcW w:w="104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200" w:type="dxa"/>
            <w:vAlign w:val="bottom"/>
            <w:tcBorders>
              <w:top w:val="single" w:sz="8" w:color="auto"/>
            </w:tcBorders>
            <w:shd w:val="clear" w:color="auto" w:fill="CEFFE7"/>
          </w:tcPr>
          <w:p>
            <w:pPr>
              <w:spacing w:after="0"/>
              <w:rPr>
                <w:sz w:val="17"/>
                <w:szCs w:val="17"/>
                <w:color w:val="auto"/>
              </w:rPr>
            </w:pPr>
          </w:p>
        </w:tc>
        <w:tc>
          <w:tcPr>
            <w:tcW w:w="112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1020" w:type="dxa"/>
            <w:vAlign w:val="bottom"/>
            <w:tcBorders>
              <w:top w:val="single" w:sz="8" w:color="auto"/>
            </w:tcBorders>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Electric Utilities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239</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7"/>
        </w:trPr>
        <w:tc>
          <w:tcPr>
            <w:tcW w:w="24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380" w:type="dxa"/>
            <w:vAlign w:val="bottom"/>
            <w:shd w:val="clear" w:color="auto" w:fill="CEFFE7"/>
          </w:tcPr>
          <w:p>
            <w:pPr>
              <w:spacing w:after="0"/>
              <w:rPr>
                <w:sz w:val="18"/>
                <w:szCs w:val="18"/>
                <w:color w:val="auto"/>
              </w:rPr>
            </w:pP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363</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383</w:t>
            </w:r>
          </w:p>
        </w:tc>
        <w:tc>
          <w:tcPr>
            <w:tcW w:w="20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349</w:t>
            </w:r>
          </w:p>
        </w:tc>
        <w:tc>
          <w:tcPr>
            <w:tcW w:w="32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Corporate and Other</w:t>
            </w:r>
          </w:p>
        </w:tc>
        <w:tc>
          <w:tcPr>
            <w:tcW w:w="3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2460" w:type="dxa"/>
            <w:vAlign w:val="bottom"/>
            <w:gridSpan w:val="2"/>
            <w:shd w:val="clear" w:color="auto" w:fill="CEFFE7"/>
          </w:tcPr>
          <w:p>
            <w:pPr>
              <w:ind w:left="20"/>
              <w:spacing w:after="0" w:line="217"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380" w:type="dxa"/>
            <w:vAlign w:val="bottom"/>
            <w:shd w:val="clear" w:color="auto" w:fill="CEFFE7"/>
          </w:tcPr>
          <w:p>
            <w:pPr>
              <w:spacing w:after="0"/>
              <w:rPr>
                <w:sz w:val="18"/>
                <w:szCs w:val="18"/>
                <w:color w:val="auto"/>
              </w:rPr>
            </w:pPr>
          </w:p>
        </w:tc>
        <w:tc>
          <w:tcPr>
            <w:tcW w:w="186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8"/>
                <w:szCs w:val="18"/>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w:t>
            </w:r>
          </w:p>
        </w:tc>
        <w:tc>
          <w:tcPr>
            <w:tcW w:w="320" w:type="dxa"/>
            <w:vAlign w:val="bottom"/>
            <w:shd w:val="clear" w:color="auto" w:fill="CEFFE7"/>
          </w:tcPr>
          <w:p>
            <w:pPr>
              <w:spacing w:after="0"/>
              <w:rPr>
                <w:sz w:val="18"/>
                <w:szCs w:val="18"/>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340" w:right="200" w:hanging="332"/>
        <w:spacing w:after="0" w:line="256" w:lineRule="auto"/>
        <w:tabs>
          <w:tab w:leader="none" w:pos="352"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r>
        <w:rPr>
          <w:rFonts w:ascii="Arial" w:cs="Arial" w:eastAsia="Arial" w:hAnsi="Arial"/>
          <w:sz w:val="14"/>
          <w:szCs w:val="14"/>
          <w:u w:val="single" w:color="auto"/>
          <w:color w:val="0000FF"/>
        </w:rPr>
        <w:t>Condensed Consolidated Statements of Cash Flows</w:t>
      </w:r>
      <w:r>
        <w:rPr>
          <w:rFonts w:ascii="Arial" w:cs="Arial" w:eastAsia="Arial" w:hAnsi="Arial"/>
          <w:sz w:val="14"/>
          <w:szCs w:val="14"/>
          <w:color w:val="auto"/>
        </w:rPr>
        <w:t xml:space="preserve"> in the Condensed Consolidated Financial Statements.</w:t>
      </w: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actual capital expenditures for the three months ended March 31, 2022.</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48"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Dividends paid on our common stock totaled $39 million for the three months ended March 31, 2022, or $0.595 per share per quarter. On April 25, 2022, our board of directors declared a quarterly dividend of $0.595 per share payable June 1, 2022, equivalent to an annual dividend of $2.38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 for recent updates to our purchase obligations.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There have been no material changes in our critical accounting estimates from those reported in our 2021 Annual Report on Form 10-K. We are closely monitoring the impacts of recent macroeconomic trends and Winter Storm Uri on our critical accounting estimates including, but not limited to, collectibility of customer receivables, cost recoverability through regulatory assets, impairment risk of goodwill and long-lived assets, valuation of pension assets and liabilities and contingent liabilities. For more information on our critical accounting estimates, see Part II, Item 7 of our 2021 Annual Report on Form 10-K.</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Accounting Pronouncements</w:t>
      </w:r>
    </w:p>
    <w:p>
      <w:pPr>
        <w:spacing w:after="0" w:line="2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 xml:space="preserve">Other than the pronouncements reported in our 2021 Annual Report on Form 10-K and those discussed 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Condensed Consolidated Financial Statements,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7"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Annual Report on Form 10-K.</w:t>
      </w:r>
    </w:p>
    <w:p>
      <w:pPr>
        <w:spacing w:after="0" w:line="200" w:lineRule="exact"/>
        <w:rPr>
          <w:sz w:val="20"/>
          <w:szCs w:val="20"/>
          <w:color w:val="auto"/>
        </w:rPr>
      </w:pP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March 31, 2022. Based on their evaluation, they have concluded that our disclosure controls and procedures were effective at March 31, 2022.</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During the quarter ended March 31, 2022, there have been no changes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7"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 xml:space="preserve">For information regarding legal proceedings, see Note 3 in Item 8 of our 2021 Annual Report on Form 10-K and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2021 Annual Report on Form 10-K.</w:t>
      </w: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March 31,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Approximate Dollar Value)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020" w:type="dxa"/>
            <w:vAlign w:val="bottom"/>
            <w:vMerge w:val="restart"/>
          </w:tcPr>
          <w:p>
            <w:pPr>
              <w:jc w:val="right"/>
              <w:ind w:right="79"/>
              <w:spacing w:after="0"/>
              <w:rPr>
                <w:sz w:val="20"/>
                <w:szCs w:val="20"/>
                <w:color w:val="auto"/>
              </w:rPr>
            </w:pPr>
            <w:r>
              <w:rPr>
                <w:rFonts w:ascii="Arial" w:cs="Arial" w:eastAsia="Arial" w:hAnsi="Arial"/>
                <w:sz w:val="16"/>
                <w:szCs w:val="16"/>
                <w:color w:val="auto"/>
              </w:rPr>
              <w:t>Total Number of Shares</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Average Price Paid</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w w:val="99"/>
              </w:rPr>
              <w:t>of Shares That May Yet</w:t>
            </w:r>
          </w:p>
        </w:tc>
        <w:tc>
          <w:tcPr>
            <w:tcW w:w="0" w:type="dxa"/>
            <w:vAlign w:val="bottom"/>
          </w:tcPr>
          <w:p>
            <w:pPr>
              <w:spacing w:after="0"/>
              <w:rPr>
                <w:sz w:val="1"/>
                <w:szCs w:val="1"/>
                <w:color w:val="auto"/>
              </w:rPr>
            </w:pPr>
          </w:p>
        </w:tc>
      </w:tr>
      <w:tr>
        <w:trPr>
          <w:trHeight w:val="162"/>
        </w:trPr>
        <w:tc>
          <w:tcPr>
            <w:tcW w:w="376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020" w:type="dxa"/>
            <w:vAlign w:val="bottom"/>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Publicly Announced Plans</w:t>
            </w:r>
          </w:p>
        </w:tc>
        <w:tc>
          <w:tcPr>
            <w:tcW w:w="1940" w:type="dxa"/>
            <w:vAlign w:val="bottom"/>
          </w:tcPr>
          <w:p>
            <w:pPr>
              <w:jc w:val="right"/>
              <w:spacing w:after="0" w:line="162" w:lineRule="exact"/>
              <w:rPr>
                <w:sz w:val="20"/>
                <w:szCs w:val="20"/>
                <w:color w:val="auto"/>
              </w:rPr>
            </w:pPr>
            <w:r>
              <w:rPr>
                <w:rFonts w:ascii="Arial" w:cs="Arial" w:eastAsia="Arial" w:hAnsi="Arial"/>
                <w:sz w:val="16"/>
                <w:szCs w:val="16"/>
                <w:color w:val="auto"/>
              </w:rPr>
              <w:t>Be Purchased Under the</w:t>
            </w:r>
          </w:p>
        </w:tc>
        <w:tc>
          <w:tcPr>
            <w:tcW w:w="0" w:type="dxa"/>
            <w:vAlign w:val="bottom"/>
          </w:tcPr>
          <w:p>
            <w:pPr>
              <w:spacing w:after="0"/>
              <w:rPr>
                <w:sz w:val="1"/>
                <w:szCs w:val="1"/>
                <w:color w:val="auto"/>
              </w:rPr>
            </w:pPr>
          </w:p>
        </w:tc>
      </w:tr>
      <w:tr>
        <w:trPr>
          <w:trHeight w:val="216"/>
        </w:trPr>
        <w:tc>
          <w:tcPr>
            <w:tcW w:w="376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tcPr>
          <w:p>
            <w:pPr>
              <w:jc w:val="right"/>
              <w:ind w:right="459"/>
              <w:spacing w:after="0" w:line="216"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Plans or Programs</w:t>
            </w:r>
          </w:p>
        </w:tc>
        <w:tc>
          <w:tcPr>
            <w:tcW w:w="0" w:type="dxa"/>
            <w:vAlign w:val="bottom"/>
          </w:tcPr>
          <w:p>
            <w:pPr>
              <w:spacing w:after="0"/>
              <w:rPr>
                <w:sz w:val="1"/>
                <w:szCs w:val="1"/>
                <w:color w:val="auto"/>
              </w:rPr>
            </w:pPr>
          </w:p>
        </w:tc>
      </w:tr>
      <w:tr>
        <w:trPr>
          <w:trHeight w:val="210"/>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January 1, 2021 - January 31, 2022</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70.57</w:t>
            </w:r>
          </w:p>
        </w:tc>
        <w:tc>
          <w:tcPr>
            <w:tcW w:w="1940" w:type="dxa"/>
            <w:vAlign w:val="bottom"/>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60" w:type="dxa"/>
            <w:vAlign w:val="bottom"/>
          </w:tcPr>
          <w:p>
            <w:pPr>
              <w:ind w:left="20"/>
              <w:spacing w:after="0"/>
              <w:rPr>
                <w:sz w:val="20"/>
                <w:szCs w:val="20"/>
                <w:color w:val="auto"/>
              </w:rPr>
            </w:pPr>
            <w:r>
              <w:rPr>
                <w:rFonts w:ascii="Arial" w:cs="Arial" w:eastAsia="Arial" w:hAnsi="Arial"/>
                <w:sz w:val="16"/>
                <w:szCs w:val="16"/>
                <w:color w:val="auto"/>
              </w:rPr>
              <w:t>February 1, 2022 - February 28, 2022</w:t>
            </w:r>
          </w:p>
        </w:tc>
        <w:tc>
          <w:tcPr>
            <w:tcW w:w="2020" w:type="dxa"/>
            <w:vAlign w:val="bottom"/>
          </w:tcPr>
          <w:p>
            <w:pPr>
              <w:jc w:val="right"/>
              <w:spacing w:after="0"/>
              <w:rPr>
                <w:sz w:val="20"/>
                <w:szCs w:val="20"/>
                <w:color w:val="auto"/>
              </w:rPr>
            </w:pPr>
            <w:r>
              <w:rPr>
                <w:rFonts w:ascii="Arial" w:cs="Arial" w:eastAsia="Arial" w:hAnsi="Arial"/>
                <w:sz w:val="16"/>
                <w:szCs w:val="16"/>
                <w:color w:val="auto"/>
              </w:rPr>
              <w:t>12,916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66.73</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March 1, 2022 - March 31, 2022</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68.49</w:t>
            </w:r>
          </w:p>
        </w:tc>
        <w:tc>
          <w:tcPr>
            <w:tcW w:w="1940" w:type="dxa"/>
            <w:vAlign w:val="bottom"/>
            <w:tcBorders>
              <w:bottom w:val="single" w:sz="8" w:color="auto"/>
            </w:tcBorders>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760" w:type="dxa"/>
            <w:vAlign w:val="bottom"/>
          </w:tcPr>
          <w:p>
            <w:pPr>
              <w:ind w:left="17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13,030</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66.76</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340" w:right="860" w:hanging="332"/>
        <w:spacing w:after="0" w:line="284" w:lineRule="auto"/>
        <w:tabs>
          <w:tab w:leader="none" w:pos="352" w:val="left"/>
        </w:tabs>
        <w:numPr>
          <w:ilvl w:val="0"/>
          <w:numId w:val="41"/>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Omnibus Incentive Plan for payment of taxes associated with the vesting of various equity compensation plans.</w:t>
      </w:r>
    </w:p>
    <w:p>
      <w:pPr>
        <w:spacing w:after="0" w:line="200" w:lineRule="exact"/>
        <w:rPr>
          <w:sz w:val="20"/>
          <w:szCs w:val="20"/>
          <w:color w:val="auto"/>
        </w:rPr>
      </w:pP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7"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Exhibit Number</w:t>
            </w:r>
          </w:p>
        </w:tc>
        <w:tc>
          <w:tcPr>
            <w:tcW w:w="8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Description</w:t>
            </w:r>
          </w:p>
        </w:tc>
      </w:tr>
      <w:tr>
        <w:trPr>
          <w:trHeight w:val="142"/>
        </w:trPr>
        <w:tc>
          <w:tcPr>
            <w:tcW w:w="1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31.1*</w:t>
            </w:r>
          </w:p>
        </w:tc>
        <w:tc>
          <w:tcPr>
            <w:tcW w:w="990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380" w:type="dxa"/>
            <w:vAlign w:val="bottom"/>
            <w:tcBorders>
              <w:top w:val="single" w:sz="8" w:color="0000FF"/>
            </w:tcBorders>
            <w:gridSpan w:val="5"/>
            <w:shd w:val="clear" w:color="auto" w:fill="CEFFE7"/>
          </w:tcPr>
          <w:p>
            <w:pPr>
              <w:spacing w:after="0" w:line="142" w:lineRule="exact"/>
              <w:rPr>
                <w:sz w:val="20"/>
                <w:szCs w:val="20"/>
                <w:color w:val="auto"/>
              </w:rPr>
            </w:pPr>
            <w:r>
              <w:rPr>
                <w:rFonts w:ascii="Arial" w:cs="Arial" w:eastAsia="Arial" w:hAnsi="Arial"/>
                <w:sz w:val="16"/>
                <w:szCs w:val="16"/>
                <w:color w:val="0000FF"/>
              </w:rPr>
              <w:t>Section 302 of the Sarbanes - Oxley Act of 2002.</w:t>
            </w:r>
          </w:p>
        </w:tc>
        <w:tc>
          <w:tcPr>
            <w:tcW w:w="28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860" w:type="dxa"/>
            <w:vAlign w:val="bottom"/>
            <w:tcBorders>
              <w:top w:val="single" w:sz="8" w:color="0000FF"/>
            </w:tcBorders>
            <w:shd w:val="clear" w:color="auto" w:fill="CEFFE7"/>
          </w:tcPr>
          <w:p>
            <w:pPr>
              <w:spacing w:after="0" w:line="20" w:lineRule="exact"/>
              <w:rPr>
                <w:sz w:val="1"/>
                <w:szCs w:val="1"/>
                <w:color w:val="auto"/>
              </w:rPr>
            </w:pPr>
          </w:p>
        </w:tc>
        <w:tc>
          <w:tcPr>
            <w:tcW w:w="26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56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990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r>
      <w:tr>
        <w:trPr>
          <w:trHeight w:val="142"/>
        </w:trPr>
        <w:tc>
          <w:tcPr>
            <w:tcW w:w="1340" w:type="dxa"/>
            <w:vAlign w:val="bottom"/>
          </w:tcPr>
          <w:p>
            <w:pPr>
              <w:spacing w:after="0"/>
              <w:rPr>
                <w:sz w:val="12"/>
                <w:szCs w:val="12"/>
                <w:color w:val="auto"/>
              </w:rPr>
            </w:pPr>
          </w:p>
        </w:tc>
        <w:tc>
          <w:tcPr>
            <w:tcW w:w="932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Section 302 of the Sarbanes - Oxley Act of 2002.</w:t>
            </w:r>
          </w:p>
        </w:tc>
        <w:tc>
          <w:tcPr>
            <w:tcW w:w="3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32.1*</w:t>
            </w:r>
          </w:p>
        </w:tc>
        <w:tc>
          <w:tcPr>
            <w:tcW w:w="990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 - Oxley</w:t>
            </w:r>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860" w:type="dxa"/>
            <w:vAlign w:val="bottom"/>
            <w:tcBorders>
              <w:top w:val="single" w:sz="8" w:color="0000FF"/>
              <w:bottom w:val="single" w:sz="8" w:color="0000FF"/>
            </w:tcBorders>
            <w:shd w:val="clear" w:color="auto" w:fill="CEFFE7"/>
          </w:tcPr>
          <w:p>
            <w:pPr>
              <w:spacing w:after="0" w:line="142" w:lineRule="exact"/>
              <w:rPr>
                <w:sz w:val="20"/>
                <w:szCs w:val="20"/>
                <w:color w:val="auto"/>
              </w:rPr>
            </w:pPr>
            <w:r>
              <w:rPr>
                <w:rFonts w:ascii="Arial" w:cs="Arial" w:eastAsia="Arial" w:hAnsi="Arial"/>
                <w:sz w:val="16"/>
                <w:szCs w:val="16"/>
                <w:color w:val="0000FF"/>
                <w:w w:val="98"/>
              </w:rPr>
              <w:t>Act of 2002.</w:t>
            </w:r>
          </w:p>
        </w:tc>
        <w:tc>
          <w:tcPr>
            <w:tcW w:w="8840" w:type="dxa"/>
            <w:vAlign w:val="bottom"/>
            <w:tcBorders>
              <w:top w:val="single" w:sz="8" w:color="0000FF"/>
              <w:bottom w:val="single" w:sz="8" w:color="CEFFE7"/>
            </w:tcBorders>
            <w:gridSpan w:val="6"/>
            <w:shd w:val="clear" w:color="auto" w:fill="CEFFE7"/>
          </w:tcPr>
          <w:p>
            <w:pPr>
              <w:spacing w:after="0"/>
              <w:rPr>
                <w:sz w:val="14"/>
                <w:szCs w:val="14"/>
                <w:color w:val="auto"/>
              </w:rPr>
            </w:pPr>
          </w:p>
        </w:tc>
        <w:tc>
          <w:tcPr>
            <w:tcW w:w="20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32.2*</w:t>
            </w:r>
          </w:p>
        </w:tc>
        <w:tc>
          <w:tcPr>
            <w:tcW w:w="990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 - Oxley</w:t>
            </w:r>
          </w:p>
        </w:tc>
      </w:tr>
      <w:tr>
        <w:trPr>
          <w:trHeight w:val="142"/>
        </w:trPr>
        <w:tc>
          <w:tcPr>
            <w:tcW w:w="1340" w:type="dxa"/>
            <w:vAlign w:val="bottom"/>
          </w:tcPr>
          <w:p>
            <w:pPr>
              <w:spacing w:after="0"/>
              <w:rPr>
                <w:sz w:val="12"/>
                <w:szCs w:val="12"/>
                <w:color w:val="auto"/>
              </w:rPr>
            </w:pPr>
          </w:p>
        </w:tc>
        <w:tc>
          <w:tcPr>
            <w:tcW w:w="966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Act of 2002.</w:t>
            </w:r>
          </w:p>
        </w:tc>
        <w:tc>
          <w:tcPr>
            <w:tcW w:w="240" w:type="dxa"/>
            <w:vAlign w:val="bottom"/>
            <w:gridSpan w:val="2"/>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95*</w:t>
            </w:r>
          </w:p>
        </w:tc>
        <w:tc>
          <w:tcPr>
            <w:tcW w:w="9900" w:type="dxa"/>
            <w:vAlign w:val="bottom"/>
            <w:gridSpan w:val="8"/>
            <w:shd w:val="clear" w:color="auto" w:fill="CEFFE7"/>
          </w:tcPr>
          <w:p>
            <w:pPr>
              <w:spacing w:after="0" w:line="175" w:lineRule="exact"/>
              <w:rPr>
                <w:sz w:val="20"/>
                <w:szCs w:val="20"/>
                <w:color w:val="auto"/>
              </w:rPr>
            </w:pPr>
            <w:r>
              <w:rPr>
                <w:rFonts w:ascii="Arial" w:cs="Arial" w:eastAsia="Arial" w:hAnsi="Arial"/>
                <w:sz w:val="16"/>
                <w:szCs w:val="16"/>
                <w:color w:val="0000FF"/>
              </w:rPr>
              <w:t>Mine Safety and Health Administration Safety Data.</w:t>
            </w: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860" w:type="dxa"/>
            <w:vAlign w:val="bottom"/>
            <w:tcBorders>
              <w:top w:val="single" w:sz="8" w:color="0000FF"/>
            </w:tcBorders>
            <w:shd w:val="clear" w:color="auto" w:fill="CEFFE7"/>
          </w:tcPr>
          <w:p>
            <w:pPr>
              <w:spacing w:after="0" w:line="20" w:lineRule="exact"/>
              <w:rPr>
                <w:sz w:val="1"/>
                <w:szCs w:val="1"/>
                <w:color w:val="auto"/>
              </w:rPr>
            </w:pPr>
          </w:p>
        </w:tc>
        <w:tc>
          <w:tcPr>
            <w:tcW w:w="264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56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r>
      <w:tr>
        <w:trPr>
          <w:trHeight w:val="162"/>
        </w:trPr>
        <w:tc>
          <w:tcPr>
            <w:tcW w:w="1340" w:type="dxa"/>
            <w:vAlign w:val="bottom"/>
          </w:tcPr>
          <w:p>
            <w:pPr>
              <w:ind w:left="20"/>
              <w:spacing w:after="0" w:line="162" w:lineRule="exact"/>
              <w:rPr>
                <w:sz w:val="20"/>
                <w:szCs w:val="20"/>
                <w:color w:val="auto"/>
              </w:rPr>
            </w:pPr>
            <w:r>
              <w:rPr>
                <w:rFonts w:ascii="Arial" w:cs="Arial" w:eastAsia="Arial" w:hAnsi="Arial"/>
                <w:sz w:val="16"/>
                <w:szCs w:val="16"/>
                <w:color w:val="auto"/>
              </w:rPr>
              <w:t>101.INS*</w:t>
            </w:r>
          </w:p>
        </w:tc>
        <w:tc>
          <w:tcPr>
            <w:tcW w:w="9900" w:type="dxa"/>
            <w:vAlign w:val="bottom"/>
            <w:gridSpan w:val="8"/>
          </w:tcPr>
          <w:p>
            <w:pPr>
              <w:spacing w:after="0" w:line="162"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340" w:type="dxa"/>
            <w:vAlign w:val="bottom"/>
          </w:tcPr>
          <w:p>
            <w:pPr>
              <w:spacing w:after="0"/>
              <w:rPr>
                <w:sz w:val="18"/>
                <w:szCs w:val="18"/>
                <w:color w:val="auto"/>
              </w:rPr>
            </w:pPr>
          </w:p>
        </w:tc>
        <w:tc>
          <w:tcPr>
            <w:tcW w:w="9900" w:type="dxa"/>
            <w:vAlign w:val="bottom"/>
            <w:gridSpan w:val="8"/>
          </w:tcPr>
          <w:p>
            <w:pPr>
              <w:spacing w:after="0"/>
              <w:rPr>
                <w:sz w:val="20"/>
                <w:szCs w:val="20"/>
                <w:color w:val="auto"/>
              </w:rPr>
            </w:pPr>
            <w:r>
              <w:rPr>
                <w:rFonts w:ascii="Arial" w:cs="Arial" w:eastAsia="Arial" w:hAnsi="Arial"/>
                <w:sz w:val="16"/>
                <w:szCs w:val="16"/>
                <w:color w:val="auto"/>
              </w:rPr>
              <w:t>within the Inline XBRL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101.SCH*</w:t>
            </w:r>
          </w:p>
        </w:tc>
        <w:tc>
          <w:tcPr>
            <w:tcW w:w="9900" w:type="dxa"/>
            <w:vAlign w:val="bottom"/>
            <w:gridSpan w:val="8"/>
            <w:shd w:val="clear" w:color="auto" w:fill="CEFFE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101.CAL*</w:t>
            </w:r>
          </w:p>
        </w:tc>
        <w:tc>
          <w:tcPr>
            <w:tcW w:w="990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101.DEF*</w:t>
            </w:r>
          </w:p>
        </w:tc>
        <w:tc>
          <w:tcPr>
            <w:tcW w:w="9900" w:type="dxa"/>
            <w:vAlign w:val="bottom"/>
            <w:gridSpan w:val="8"/>
            <w:shd w:val="clear" w:color="auto" w:fill="CEFFE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101.LAB*</w:t>
            </w:r>
          </w:p>
        </w:tc>
        <w:tc>
          <w:tcPr>
            <w:tcW w:w="990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7"/>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101.PRE*</w:t>
            </w:r>
          </w:p>
        </w:tc>
        <w:tc>
          <w:tcPr>
            <w:tcW w:w="9900" w:type="dxa"/>
            <w:vAlign w:val="bottom"/>
            <w:gridSpan w:val="8"/>
            <w:shd w:val="clear" w:color="auto" w:fill="CEFFE7"/>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5"/>
        </w:trPr>
        <w:tc>
          <w:tcPr>
            <w:tcW w:w="1340" w:type="dxa"/>
            <w:vAlign w:val="bottom"/>
          </w:tcPr>
          <w:p>
            <w:pPr>
              <w:ind w:left="20"/>
              <w:spacing w:after="0"/>
              <w:rPr>
                <w:sz w:val="20"/>
                <w:szCs w:val="20"/>
                <w:color w:val="auto"/>
              </w:rPr>
            </w:pPr>
            <w:r>
              <w:rPr>
                <w:rFonts w:ascii="Arial" w:cs="Arial" w:eastAsia="Arial" w:hAnsi="Arial"/>
                <w:sz w:val="16"/>
                <w:szCs w:val="16"/>
                <w:color w:val="auto"/>
              </w:rPr>
              <w:t>104*</w:t>
            </w:r>
          </w:p>
        </w:tc>
        <w:tc>
          <w:tcPr>
            <w:tcW w:w="9900" w:type="dxa"/>
            <w:vAlign w:val="bottom"/>
            <w:gridSpan w:val="8"/>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877"/>
        </w:trPr>
        <w:tc>
          <w:tcPr>
            <w:tcW w:w="1340" w:type="dxa"/>
            <w:vAlign w:val="bottom"/>
          </w:tcPr>
          <w:p>
            <w:pPr>
              <w:spacing w:after="0"/>
              <w:rPr>
                <w:sz w:val="24"/>
                <w:szCs w:val="24"/>
                <w:color w:val="auto"/>
              </w:rPr>
            </w:pPr>
          </w:p>
        </w:tc>
        <w:tc>
          <w:tcPr>
            <w:tcW w:w="9320" w:type="dxa"/>
            <w:vAlign w:val="bottom"/>
            <w:gridSpan w:val="4"/>
          </w:tcPr>
          <w:p>
            <w:pPr>
              <w:ind w:left="4200"/>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7"/>
        </w:trPr>
        <w:tc>
          <w:tcPr>
            <w:tcW w:w="1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91"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BLACK HILLS CORPORATION</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20955</wp:posOffset>
            </wp:positionV>
            <wp:extent cx="3703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20955</wp:posOffset>
            </wp:positionV>
            <wp:extent cx="3703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Richard W. Kinzley, Senior Vice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40" w:type="dxa"/>
            <w:vAlign w:val="bottom"/>
          </w:tcPr>
          <w:p>
            <w:pPr>
              <w:spacing w:after="0"/>
              <w:rPr>
                <w:sz w:val="20"/>
                <w:szCs w:val="20"/>
                <w:color w:val="auto"/>
              </w:rPr>
            </w:pPr>
            <w:r>
              <w:rPr>
                <w:rFonts w:ascii="Arial" w:cs="Arial" w:eastAsia="Arial" w:hAnsi="Arial"/>
                <w:sz w:val="16"/>
                <w:szCs w:val="16"/>
                <w:color w:val="auto"/>
              </w:rPr>
              <w:t>Dated:</w:t>
            </w:r>
          </w:p>
        </w:tc>
        <w:tc>
          <w:tcPr>
            <w:tcW w:w="1140" w:type="dxa"/>
            <w:vAlign w:val="bottom"/>
          </w:tcPr>
          <w:p>
            <w:pPr>
              <w:ind w:left="240"/>
              <w:spacing w:after="0"/>
              <w:rPr>
                <w:sz w:val="20"/>
                <w:szCs w:val="20"/>
                <w:color w:val="auto"/>
              </w:rPr>
            </w:pPr>
            <w:r>
              <w:rPr>
                <w:rFonts w:ascii="Arial" w:cs="Arial" w:eastAsia="Arial" w:hAnsi="Arial"/>
                <w:sz w:val="16"/>
                <w:szCs w:val="16"/>
                <w:color w:val="auto"/>
                <w:w w:val="99"/>
              </w:rPr>
              <w:t>May 5,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000"/>
          </w:cols>
          <w:pgMar w:left="320" w:top="125" w:right="57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383" w:lineRule="exact"/>
        <w:rPr>
          <w:sz w:val="20"/>
          <w:szCs w:val="20"/>
          <w:color w:val="auto"/>
        </w:rPr>
      </w:pPr>
    </w:p>
    <w:p>
      <w:pPr>
        <w:ind w:left="800" w:hanging="774"/>
        <w:spacing w:after="0"/>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34"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6"/>
          <w:szCs w:val="16"/>
          <w:color w:val="auto"/>
        </w:rPr>
      </w:pPr>
    </w:p>
    <w:p>
      <w:pPr>
        <w:ind w:left="800" w:right="80" w:hanging="774"/>
        <w:spacing w:after="0" w:line="251"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jc w:val="both"/>
        <w:ind w:left="800" w:right="80" w:hanging="774"/>
        <w:spacing w:after="0" w:line="234"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6"/>
          <w:szCs w:val="16"/>
          <w:color w:val="auto"/>
        </w:rPr>
      </w:pPr>
    </w:p>
    <w:p>
      <w:pPr>
        <w:ind w:left="1600" w:right="160" w:hanging="791"/>
        <w:spacing w:after="0" w:line="234" w:lineRule="auto"/>
        <w:tabs>
          <w:tab w:leader="none" w:pos="16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1600" w:right="220" w:hanging="791"/>
        <w:spacing w:after="0" w:line="234" w:lineRule="auto"/>
        <w:tabs>
          <w:tab w:leader="none" w:pos="16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6"/>
          <w:szCs w:val="16"/>
          <w:color w:val="auto"/>
        </w:rPr>
      </w:pPr>
    </w:p>
    <w:p>
      <w:pPr>
        <w:ind w:left="1600" w:right="180" w:hanging="791"/>
        <w:spacing w:after="0" w:line="234" w:lineRule="auto"/>
        <w:tabs>
          <w:tab w:leader="none" w:pos="16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6"/>
          <w:szCs w:val="16"/>
          <w:color w:val="auto"/>
        </w:rPr>
      </w:pPr>
    </w:p>
    <w:p>
      <w:pPr>
        <w:ind w:left="1600" w:right="60" w:hanging="791"/>
        <w:spacing w:after="0" w:line="234" w:lineRule="auto"/>
        <w:tabs>
          <w:tab w:leader="none" w:pos="16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3" w:lineRule="exact"/>
        <w:rPr>
          <w:rFonts w:ascii="Arial" w:cs="Arial" w:eastAsia="Arial" w:hAnsi="Arial"/>
          <w:sz w:val="16"/>
          <w:szCs w:val="16"/>
          <w:color w:val="auto"/>
        </w:rPr>
      </w:pPr>
    </w:p>
    <w:p>
      <w:pPr>
        <w:ind w:left="800" w:right="100" w:hanging="774"/>
        <w:spacing w:after="0" w:line="251"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6"/>
          <w:szCs w:val="16"/>
          <w:color w:val="auto"/>
        </w:rPr>
      </w:pPr>
    </w:p>
    <w:p>
      <w:pPr>
        <w:ind w:left="1600" w:right="340" w:hanging="791"/>
        <w:spacing w:after="0" w:line="251" w:lineRule="auto"/>
        <w:tabs>
          <w:tab w:leader="none" w:pos="16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600" w:right="560" w:hanging="791"/>
        <w:spacing w:after="0" w:line="251" w:lineRule="auto"/>
        <w:tabs>
          <w:tab w:leader="none" w:pos="16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Date:</w:t>
            </w:r>
          </w:p>
        </w:tc>
        <w:tc>
          <w:tcPr>
            <w:tcW w:w="1100" w:type="dxa"/>
            <w:vAlign w:val="bottom"/>
          </w:tcPr>
          <w:p>
            <w:pPr>
              <w:ind w:left="200"/>
              <w:spacing w:after="0"/>
              <w:rPr>
                <w:sz w:val="20"/>
                <w:szCs w:val="20"/>
                <w:color w:val="auto"/>
              </w:rPr>
            </w:pPr>
            <w:r>
              <w:rPr>
                <w:rFonts w:ascii="Arial" w:cs="Arial" w:eastAsia="Arial" w:hAnsi="Arial"/>
                <w:sz w:val="16"/>
                <w:szCs w:val="16"/>
                <w:color w:val="auto"/>
                <w:w w:val="99"/>
              </w:rPr>
              <w:t>May 5, 2022</w:t>
            </w:r>
          </w:p>
        </w:tc>
      </w:tr>
    </w:tbl>
    <w:p>
      <w:pPr>
        <w:spacing w:after="0" w:line="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20955</wp:posOffset>
            </wp:positionV>
            <wp:extent cx="29317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383" w:lineRule="exact"/>
        <w:rPr>
          <w:sz w:val="20"/>
          <w:szCs w:val="20"/>
          <w:color w:val="auto"/>
        </w:rPr>
      </w:pPr>
    </w:p>
    <w:p>
      <w:pPr>
        <w:ind w:left="800" w:hanging="774"/>
        <w:spacing w:after="0"/>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34"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6"/>
          <w:szCs w:val="16"/>
          <w:color w:val="auto"/>
        </w:rPr>
      </w:pPr>
    </w:p>
    <w:p>
      <w:pPr>
        <w:ind w:left="800" w:right="80" w:hanging="774"/>
        <w:spacing w:after="0" w:line="251"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6"/>
          <w:szCs w:val="16"/>
          <w:color w:val="auto"/>
        </w:rPr>
      </w:pPr>
    </w:p>
    <w:p>
      <w:pPr>
        <w:jc w:val="both"/>
        <w:ind w:left="800" w:right="80" w:hanging="774"/>
        <w:spacing w:after="0" w:line="234"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6"/>
          <w:szCs w:val="16"/>
          <w:color w:val="auto"/>
        </w:rPr>
      </w:pPr>
    </w:p>
    <w:p>
      <w:pPr>
        <w:ind w:left="1600" w:right="160" w:hanging="791"/>
        <w:spacing w:after="0" w:line="234"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6"/>
          <w:szCs w:val="16"/>
          <w:color w:val="auto"/>
        </w:rPr>
      </w:pPr>
    </w:p>
    <w:p>
      <w:pPr>
        <w:ind w:left="1600" w:right="220" w:hanging="791"/>
        <w:spacing w:after="0" w:line="234"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6"/>
          <w:szCs w:val="16"/>
          <w:color w:val="auto"/>
        </w:rPr>
      </w:pPr>
    </w:p>
    <w:p>
      <w:pPr>
        <w:ind w:left="1600" w:right="180" w:hanging="791"/>
        <w:spacing w:after="0" w:line="234"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6"/>
          <w:szCs w:val="16"/>
          <w:color w:val="auto"/>
        </w:rPr>
      </w:pPr>
    </w:p>
    <w:p>
      <w:pPr>
        <w:ind w:left="1600" w:right="60" w:hanging="791"/>
        <w:spacing w:after="0" w:line="234"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3" w:lineRule="exact"/>
        <w:rPr>
          <w:rFonts w:ascii="Arial" w:cs="Arial" w:eastAsia="Arial" w:hAnsi="Arial"/>
          <w:sz w:val="16"/>
          <w:szCs w:val="16"/>
          <w:color w:val="auto"/>
        </w:rPr>
      </w:pPr>
    </w:p>
    <w:p>
      <w:pPr>
        <w:ind w:left="800" w:right="100" w:hanging="774"/>
        <w:spacing w:after="0" w:line="251"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55" w:lineRule="exact"/>
        <w:rPr>
          <w:rFonts w:ascii="Arial" w:cs="Arial" w:eastAsia="Arial" w:hAnsi="Arial"/>
          <w:sz w:val="16"/>
          <w:szCs w:val="16"/>
          <w:color w:val="auto"/>
        </w:rPr>
      </w:pPr>
    </w:p>
    <w:p>
      <w:pPr>
        <w:ind w:left="1600" w:right="340" w:hanging="791"/>
        <w:spacing w:after="0" w:line="251"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600" w:right="560" w:hanging="791"/>
        <w:spacing w:after="0" w:line="251" w:lineRule="auto"/>
        <w:tabs>
          <w:tab w:leader="none" w:pos="16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1080" w:type="dxa"/>
            <w:vAlign w:val="bottom"/>
          </w:tcPr>
          <w:p>
            <w:pPr>
              <w:ind w:left="180"/>
              <w:spacing w:after="0"/>
              <w:rPr>
                <w:sz w:val="20"/>
                <w:szCs w:val="20"/>
                <w:color w:val="auto"/>
              </w:rPr>
            </w:pPr>
            <w:r>
              <w:rPr>
                <w:rFonts w:ascii="Arial" w:cs="Arial" w:eastAsia="Arial" w:hAnsi="Arial"/>
                <w:sz w:val="16"/>
                <w:szCs w:val="16"/>
                <w:color w:val="auto"/>
                <w:w w:val="99"/>
              </w:rPr>
              <w:t>May 5, 2022</w:t>
            </w:r>
          </w:p>
        </w:tc>
      </w:tr>
    </w:tbl>
    <w:p>
      <w:pPr>
        <w:spacing w:after="0" w:line="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20955</wp:posOffset>
            </wp:positionV>
            <wp:extent cx="29317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2022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78" w:lineRule="exact"/>
        <w:rPr>
          <w:sz w:val="20"/>
          <w:szCs w:val="20"/>
          <w:color w:val="auto"/>
        </w:rPr>
      </w:pPr>
    </w:p>
    <w:p>
      <w:pPr>
        <w:ind w:left="1600" w:hanging="791"/>
        <w:spacing w:after="0"/>
        <w:tabs>
          <w:tab w:leader="none" w:pos="1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51" w:lineRule="auto"/>
        <w:tabs>
          <w:tab w:leader="none" w:pos="1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1080" w:type="dxa"/>
            <w:vAlign w:val="bottom"/>
          </w:tcPr>
          <w:p>
            <w:pPr>
              <w:ind w:left="180"/>
              <w:spacing w:after="0"/>
              <w:rPr>
                <w:sz w:val="20"/>
                <w:szCs w:val="20"/>
                <w:color w:val="auto"/>
              </w:rPr>
            </w:pPr>
            <w:r>
              <w:rPr>
                <w:rFonts w:ascii="Arial" w:cs="Arial" w:eastAsia="Arial" w:hAnsi="Arial"/>
                <w:sz w:val="16"/>
                <w:szCs w:val="16"/>
                <w:color w:val="auto"/>
                <w:w w:val="99"/>
              </w:rPr>
              <w:t>May 5, 2022</w:t>
            </w:r>
          </w:p>
        </w:tc>
      </w:tr>
    </w:tbl>
    <w:p>
      <w:pPr>
        <w:spacing w:after="0" w:line="27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20955</wp:posOffset>
            </wp:positionV>
            <wp:extent cx="29317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32.2</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jc w:val="both"/>
        <w:ind w:right="460"/>
        <w:spacing w:after="0" w:line="275"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March 31, 2022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178" w:lineRule="exact"/>
        <w:rPr>
          <w:sz w:val="20"/>
          <w:szCs w:val="20"/>
          <w:color w:val="auto"/>
        </w:rPr>
      </w:pPr>
    </w:p>
    <w:p>
      <w:pPr>
        <w:ind w:left="1600" w:hanging="791"/>
        <w:spacing w:after="0"/>
        <w:tabs>
          <w:tab w:leader="none" w:pos="1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51" w:lineRule="auto"/>
        <w:tabs>
          <w:tab w:leader="none" w:pos="1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Date:</w:t>
            </w:r>
          </w:p>
        </w:tc>
        <w:tc>
          <w:tcPr>
            <w:tcW w:w="1100" w:type="dxa"/>
            <w:vAlign w:val="bottom"/>
          </w:tcPr>
          <w:p>
            <w:pPr>
              <w:ind w:left="200"/>
              <w:spacing w:after="0"/>
              <w:rPr>
                <w:sz w:val="20"/>
                <w:szCs w:val="20"/>
                <w:color w:val="auto"/>
              </w:rPr>
            </w:pPr>
            <w:r>
              <w:rPr>
                <w:rFonts w:ascii="Arial" w:cs="Arial" w:eastAsia="Arial" w:hAnsi="Arial"/>
                <w:sz w:val="16"/>
                <w:szCs w:val="16"/>
                <w:color w:val="auto"/>
                <w:w w:val="99"/>
              </w:rPr>
              <w:t>May 5, 2022</w:t>
            </w:r>
          </w:p>
        </w:tc>
      </w:tr>
    </w:tbl>
    <w:p>
      <w:pPr>
        <w:spacing w:after="0" w:line="2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20955</wp:posOffset>
            </wp:positionV>
            <wp:extent cx="29317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95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9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1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March 31, 2022. In evaluating this information, consideration should be given to factors such as: (i) the number of citations and orders will vary depending on the size of the coal mine, (ii) the number of citations issued will vary from inspector to inspector and mine to mine, and</w:t>
      </w:r>
    </w:p>
    <w:p>
      <w:pPr>
        <w:spacing w:after="0" w:line="3" w:lineRule="exact"/>
        <w:rPr>
          <w:sz w:val="20"/>
          <w:szCs w:val="20"/>
          <w:color w:val="auto"/>
        </w:rPr>
      </w:pPr>
    </w:p>
    <w:p>
      <w:pPr>
        <w:ind w:right="160" w:firstLine="8"/>
        <w:spacing w:after="0" w:line="270" w:lineRule="auto"/>
        <w:tabs>
          <w:tab w:leader="none" w:pos="261" w:val="left"/>
        </w:tabs>
        <w:numPr>
          <w:ilvl w:val="0"/>
          <w:numId w:val="46"/>
        </w:numPr>
        <w:rPr>
          <w:rFonts w:ascii="Arial" w:cs="Arial" w:eastAsia="Arial" w:hAnsi="Arial"/>
          <w:sz w:val="16"/>
          <w:szCs w:val="16"/>
          <w:color w:val="auto"/>
        </w:rPr>
      </w:pPr>
      <w:r>
        <w:rPr>
          <w:rFonts w:ascii="Arial" w:cs="Arial" w:eastAsia="Arial" w:hAnsi="Arial"/>
          <w:sz w:val="16"/>
          <w:szCs w:val="16"/>
          <w:color w:val="auto"/>
        </w:rPr>
        <w:t>citations and orders can be contested and appealed, and in that process, are often reduced in severity and amount, and are sometimes dismissed. The information presented includes:</w:t>
      </w:r>
    </w:p>
    <w:p>
      <w:pPr>
        <w:spacing w:after="0" w:line="208" w:lineRule="exact"/>
        <w:rPr>
          <w:rFonts w:ascii="Arial" w:cs="Arial" w:eastAsia="Arial" w:hAnsi="Arial"/>
          <w:sz w:val="16"/>
          <w:szCs w:val="16"/>
          <w:color w:val="auto"/>
        </w:rPr>
      </w:pPr>
    </w:p>
    <w:p>
      <w:pPr>
        <w:ind w:left="660" w:right="100" w:hanging="328"/>
        <w:spacing w:after="0" w:line="286" w:lineRule="auto"/>
        <w:tabs>
          <w:tab w:leader="none" w:pos="649"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w:t>
      </w:r>
    </w:p>
    <w:p>
      <w:pPr>
        <w:spacing w:after="0" w:line="261" w:lineRule="exact"/>
        <w:rPr>
          <w:rFonts w:ascii="Arial" w:cs="Arial" w:eastAsia="Arial" w:hAnsi="Arial"/>
          <w:sz w:val="16"/>
          <w:szCs w:val="16"/>
          <w:color w:val="auto"/>
        </w:rPr>
      </w:pPr>
    </w:p>
    <w:p>
      <w:pPr>
        <w:ind w:left="660" w:right="360" w:hanging="328"/>
        <w:spacing w:after="0" w:line="286" w:lineRule="auto"/>
        <w:tabs>
          <w:tab w:leader="none" w:pos="649"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Total number of imminent danger orders issued under section 107(a) of the Mine Act; 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Total dollar value of proposed assessments from MSHA under the Mine Act.</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table below sets forth the total number of citations and/or orders issued by MSHA to WRDC under the indicated provisions of the Mine Act, together with the total dollar value of proposed MSHA assessments received during the three months ended March 31, 2022 and legal actions pending before the Federal Mine Safety and Health Review Commission, together with the Administrative Law Judges thereof, for WRDC, our only mining complex. All citations were abated within 24 hours of issue.</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Mine Act Section</w:t>
            </w:r>
          </w:p>
        </w:tc>
        <w:tc>
          <w:tcPr>
            <w:tcW w:w="6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4"/>
              </w:rPr>
              <w:t>Legal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11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104 S&amp;S</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0"/>
                <w:szCs w:val="10"/>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Mine Act</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Section</w:t>
            </w:r>
          </w:p>
        </w:tc>
        <w:tc>
          <w:tcPr>
            <w:tcW w:w="32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8"/>
              </w:rPr>
              <w:t>Total Dollar Value Total Number Received Notice of</w:t>
            </w: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Actions</w:t>
            </w: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Citations issued</w:t>
            </w:r>
          </w:p>
        </w:tc>
        <w:tc>
          <w:tcPr>
            <w:tcW w:w="660" w:type="dxa"/>
            <w:vAlign w:val="bottom"/>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w:t>
            </w:r>
          </w:p>
        </w:tc>
        <w:tc>
          <w:tcPr>
            <w:tcW w:w="960" w:type="dxa"/>
            <w:vAlign w:val="bottom"/>
            <w:vMerge w:val="continue"/>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107(a)</w:t>
            </w:r>
          </w:p>
        </w:tc>
        <w:tc>
          <w:tcPr>
            <w:tcW w:w="3220" w:type="dxa"/>
            <w:vAlign w:val="bottom"/>
            <w:gridSpan w:val="4"/>
            <w:vMerge w:val="continue"/>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Pending as</w:t>
            </w:r>
          </w:p>
        </w:tc>
        <w:tc>
          <w:tcPr>
            <w:tcW w:w="7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Actions</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MSHA</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during three</w:t>
            </w:r>
          </w:p>
        </w:tc>
        <w:tc>
          <w:tcPr>
            <w:tcW w:w="6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104(d)</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Section 110(b)</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Imminent</w:t>
            </w:r>
          </w:p>
        </w:tc>
        <w:tc>
          <w:tcPr>
            <w:tcW w:w="18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of Proposed</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Mining</w:t>
            </w:r>
          </w:p>
        </w:tc>
        <w:tc>
          <w:tcPr>
            <w:tcW w:w="11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Potential to Have</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Last Day</w:t>
            </w: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Initiated</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months ended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Citations and</w:t>
            </w:r>
          </w:p>
        </w:tc>
        <w:tc>
          <w:tcPr>
            <w:tcW w:w="960" w:type="dxa"/>
            <w:vAlign w:val="bottom"/>
          </w:tcPr>
          <w:p>
            <w:pPr>
              <w:jc w:val="right"/>
              <w:ind w:right="377"/>
              <w:spacing w:after="0"/>
              <w:rPr>
                <w:sz w:val="20"/>
                <w:szCs w:val="20"/>
                <w:color w:val="auto"/>
              </w:rPr>
            </w:pPr>
            <w:r>
              <w:rPr>
                <w:rFonts w:ascii="Arial" w:cs="Arial" w:eastAsia="Arial" w:hAnsi="Arial"/>
                <w:sz w:val="13"/>
                <w:szCs w:val="13"/>
                <w:b w:val="1"/>
                <w:bCs w:val="1"/>
                <w:color w:val="auto"/>
              </w:rPr>
              <w:t>(2)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Danger</w:t>
            </w:r>
          </w:p>
        </w:tc>
        <w:tc>
          <w:tcPr>
            <w:tcW w:w="18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9"/>
              </w:rPr>
              <w:t>MSHA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Related</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Pattern Under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During</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35"/>
        </w:trPr>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Identification</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March 31, 2022</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Violations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80" w:type="dxa"/>
            <w:vAlign w:val="bottom"/>
          </w:tcPr>
          <w:p>
            <w:pPr>
              <w:spacing w:after="0"/>
              <w:rPr>
                <w:sz w:val="11"/>
                <w:szCs w:val="11"/>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7"/>
              </w:rPr>
              <w:t>Assessments</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Section 104(e)</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Period (#) (a)</w:t>
            </w:r>
          </w:p>
        </w:tc>
        <w:tc>
          <w:tcPr>
            <w:tcW w:w="7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Period (#)</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76"/>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(yes/no)</w:t>
            </w:r>
          </w:p>
        </w:tc>
        <w:tc>
          <w:tcPr>
            <w:tcW w:w="8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140" w:type="dxa"/>
            <w:vAlign w:val="bottom"/>
          </w:tcPr>
          <w:p>
            <w:pPr>
              <w:ind w:left="20"/>
              <w:spacing w:after="0" w:line="128" w:lineRule="exact"/>
              <w:rPr>
                <w:sz w:val="20"/>
                <w:szCs w:val="20"/>
                <w:color w:val="auto"/>
              </w:rPr>
            </w:pPr>
            <w:r>
              <w:rPr>
                <w:rFonts w:ascii="Arial" w:cs="Arial" w:eastAsia="Arial" w:hAnsi="Arial"/>
                <w:sz w:val="13"/>
                <w:szCs w:val="13"/>
                <w:color w:val="auto"/>
              </w:rPr>
              <w:t>Wyodak Coal Mine</w:t>
            </w:r>
          </w:p>
        </w:tc>
        <w:tc>
          <w:tcPr>
            <w:tcW w:w="1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140" w:type="dxa"/>
            <w:vAlign w:val="bottom"/>
          </w:tcPr>
          <w:p>
            <w:pPr>
              <w:ind w:left="20"/>
              <w:spacing w:after="0"/>
              <w:rPr>
                <w:sz w:val="20"/>
                <w:szCs w:val="20"/>
                <w:color w:val="auto"/>
              </w:rPr>
            </w:pPr>
            <w:r>
              <w:rPr>
                <w:rFonts w:ascii="Arial" w:cs="Arial" w:eastAsia="Arial" w:hAnsi="Arial"/>
                <w:sz w:val="13"/>
                <w:szCs w:val="13"/>
                <w:color w:val="auto"/>
              </w:rPr>
              <w:t>- 4800083</w:t>
            </w:r>
          </w:p>
        </w:tc>
        <w:tc>
          <w:tcPr>
            <w:tcW w:w="112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6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tcPr>
          <w:p>
            <w:pPr>
              <w:jc w:val="center"/>
              <w:spacing w:after="0"/>
              <w:rPr>
                <w:sz w:val="20"/>
                <w:szCs w:val="20"/>
                <w:color w:val="auto"/>
              </w:rPr>
            </w:pPr>
            <w:r>
              <w:rPr>
                <w:rFonts w:ascii="Arial" w:cs="Arial" w:eastAsia="Arial" w:hAnsi="Arial"/>
                <w:sz w:val="13"/>
                <w:szCs w:val="13"/>
                <w:color w:val="auto"/>
              </w:rPr>
              <w:t>—</w:t>
            </w:r>
          </w:p>
        </w:tc>
        <w:tc>
          <w:tcPr>
            <w:tcW w:w="76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tcPr>
          <w:p>
            <w:pPr>
              <w:ind w:left="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2,391</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80" w:type="dxa"/>
            <w:vAlign w:val="bottom"/>
          </w:tcPr>
          <w:p>
            <w:pPr>
              <w:jc w:val="center"/>
              <w:spacing w:after="0"/>
              <w:rPr>
                <w:sz w:val="20"/>
                <w:szCs w:val="20"/>
                <w:color w:val="auto"/>
              </w:rPr>
            </w:pPr>
            <w:r>
              <w:rPr>
                <w:rFonts w:ascii="Arial" w:cs="Arial" w:eastAsia="Arial" w:hAnsi="Arial"/>
                <w:sz w:val="13"/>
                <w:szCs w:val="13"/>
                <w:color w:val="auto"/>
                <w:w w:val="96"/>
              </w:rPr>
              <w:t>No</w:t>
            </w:r>
          </w:p>
        </w:tc>
        <w:tc>
          <w:tcPr>
            <w:tcW w:w="880" w:type="dxa"/>
            <w:vAlign w:val="bottom"/>
          </w:tcPr>
          <w:p>
            <w:pPr>
              <w:ind w:left="640"/>
              <w:spacing w:after="0"/>
              <w:rPr>
                <w:sz w:val="20"/>
                <w:szCs w:val="20"/>
                <w:color w:val="auto"/>
              </w:rPr>
            </w:pPr>
            <w:r>
              <w:rPr>
                <w:rFonts w:ascii="Arial" w:cs="Arial" w:eastAsia="Arial" w:hAnsi="Arial"/>
                <w:sz w:val="13"/>
                <w:szCs w:val="13"/>
                <w:color w:val="auto"/>
              </w:rPr>
              <w:t>—</w:t>
            </w:r>
          </w:p>
        </w:tc>
        <w:tc>
          <w:tcPr>
            <w:tcW w:w="78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2" w:lineRule="exact"/>
        <w:rPr>
          <w:sz w:val="20"/>
          <w:szCs w:val="20"/>
          <w:color w:val="auto"/>
        </w:rPr>
      </w:pPr>
    </w:p>
    <w:p>
      <w:pPr>
        <w:ind w:left="340" w:right="340" w:hanging="332"/>
        <w:spacing w:after="0" w:line="273" w:lineRule="auto"/>
        <w:tabs>
          <w:tab w:leader="none" w:pos="349"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decimal"/>
      <w:start w:val="5"/>
    </w:lvl>
  </w:abstractNum>
  <w:abstractNum w:abstractNumId="8">
    <w:nsid w:val="2CA88611"/>
    <w:multiLevelType w:val="hybridMultilevel"/>
    <w:lvl w:ilvl="0">
      <w:lvlJc w:val="left"/>
      <w:lvlText w:val="(%1)"/>
      <w:numFmt w:val="decimal"/>
      <w:start w:val="6"/>
    </w:lvl>
  </w:abstractNum>
  <w:abstractNum w:abstractNumId="9">
    <w:nsid w:val="836C40E"/>
    <w:multiLevelType w:val="hybridMultilevel"/>
    <w:lvl w:ilvl="0">
      <w:lvlJc w:val="left"/>
      <w:lvlText w:val="(%1)"/>
      <w:numFmt w:val="decimal"/>
      <w:start w:val="7"/>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decimal"/>
      <w:start w:val="8"/>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decimal"/>
      <w:start w:val="9"/>
    </w:lvl>
  </w:abstractNum>
  <w:abstractNum w:abstractNumId="17">
    <w:nsid w:val="22221A70"/>
    <w:multiLevelType w:val="hybridMultilevel"/>
    <w:lvl w:ilvl="0">
      <w:lvlJc w:val="left"/>
      <w:lvlText w:val="(%1)"/>
      <w:numFmt w:val="decimal"/>
      <w:start w:val="10"/>
    </w:lvl>
  </w:abstractNum>
  <w:abstractNum w:abstractNumId="18">
    <w:nsid w:val="4516DDE9"/>
    <w:multiLevelType w:val="hybridMultilevel"/>
    <w:lvl w:ilvl="0">
      <w:lvlJc w:val="left"/>
      <w:lvlText w:val="(%1)"/>
      <w:numFmt w:val="decimal"/>
      <w:start w:val="11"/>
    </w:lvl>
  </w:abstractNum>
  <w:abstractNum w:abstractNumId="19">
    <w:nsid w:val="3006C83E"/>
    <w:multiLevelType w:val="hybridMultilevel"/>
    <w:lvl w:ilvl="0">
      <w:lvlJc w:val="left"/>
      <w:lvlText w:val="(%1)"/>
      <w:numFmt w:val="decimal"/>
      <w:start w:val="12"/>
    </w:lvl>
  </w:abstractNum>
  <w:abstractNum w:abstractNumId="20">
    <w:nsid w:val="614FD4A1"/>
    <w:multiLevelType w:val="hybridMultilevel"/>
    <w:lvl w:ilvl="0">
      <w:lvlJc w:val="left"/>
      <w:lvlText w:val="(%1)"/>
      <w:numFmt w:val="decimal"/>
      <w:start w:val="13"/>
    </w:lvl>
  </w:abstractNum>
  <w:abstractNum w:abstractNumId="21">
    <w:nsid w:val="419AC241"/>
    <w:multiLevelType w:val="hybridMultilevel"/>
    <w:lvl w:ilvl="0">
      <w:lvlJc w:val="left"/>
      <w:lvlText w:val="(%1)"/>
      <w:numFmt w:val="decimal"/>
      <w:start w:val="14"/>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1"/>
    </w:lvl>
  </w:abstractNum>
  <w:abstractNum w:abstractNumId="29">
    <w:nsid w:val="2463B9EA"/>
    <w:multiLevelType w:val="hybridMultilevel"/>
    <w:lvl w:ilvl="0">
      <w:lvlJc w:val="left"/>
      <w:lvlText w:val="(%1)"/>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lvl w:ilvl="1">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lowerRoman"/>
      <w:start w:val="3"/>
    </w:lvl>
    <w:lvl w:ilvl="1">
      <w:lvlJc w:val="left"/>
      <w:lvlText w:val="•"/>
      <w:numFmt w:val="bullet"/>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2022-05-05T13:33:54Z</dcterms:created>
  <dcterms:modified xsi:type="dcterms:W3CDTF">2022-05-05T13:33:54Z</dcterms:modified>
</cp:coreProperties>
</file>