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97" w:lineRule="exact"/>
        <w:rPr>
          <w:sz w:val="24"/>
          <w:szCs w:val="24"/>
          <w:color w:val="auto"/>
        </w:rPr>
      </w:pPr>
    </w:p>
    <w:p>
      <w:pPr>
        <w:ind w:left="1740" w:right="3120" w:hanging="399"/>
        <w:spacing w:after="0" w:line="222" w:lineRule="auto"/>
        <w:tabs>
          <w:tab w:leader="none" w:pos="1740" w:val="left"/>
        </w:tabs>
        <w:numPr>
          <w:ilvl w:val="0"/>
          <w:numId w:val="1"/>
        </w:numPr>
        <w:rPr>
          <w:rFonts w:ascii="Arial" w:cs="Arial" w:eastAsia="Arial" w:hAnsi="Arial"/>
          <w:sz w:val="29"/>
          <w:szCs w:val="29"/>
          <w:color w:val="auto"/>
        </w:rPr>
      </w:pPr>
      <w:r>
        <w:rPr>
          <w:rFonts w:ascii="Arial" w:cs="Arial" w:eastAsia="Arial" w:hAnsi="Arial"/>
          <w:sz w:val="18"/>
          <w:szCs w:val="18"/>
          <w:color w:val="auto"/>
        </w:rPr>
        <w:t>QUARTERLY REPORT PURSUANT TO SECTION 13 OR 15(d) OF THE SECURITIES EXCHANGE ACT OF 1934</w:t>
      </w:r>
    </w:p>
    <w:p>
      <w:pPr>
        <w:spacing w:after="0" w:line="40"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For the quarterly period ended September 30, 2017</w:t>
      </w:r>
    </w:p>
    <w:p>
      <w:pPr>
        <w:spacing w:after="0" w:line="8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OR</w:t>
      </w:r>
    </w:p>
    <w:p>
      <w:pPr>
        <w:spacing w:after="0" w:line="190" w:lineRule="exact"/>
        <w:rPr>
          <w:sz w:val="24"/>
          <w:szCs w:val="24"/>
          <w:color w:val="auto"/>
        </w:rPr>
      </w:pPr>
    </w:p>
    <w:p>
      <w:pPr>
        <w:ind w:left="1740" w:right="3100" w:hanging="399"/>
        <w:spacing w:after="0" w:line="222" w:lineRule="auto"/>
        <w:tabs>
          <w:tab w:leader="none" w:pos="1740" w:val="left"/>
        </w:tabs>
        <w:numPr>
          <w:ilvl w:val="0"/>
          <w:numId w:val="2"/>
        </w:numPr>
        <w:rPr>
          <w:rFonts w:ascii="Arial" w:cs="Arial" w:eastAsia="Arial" w:hAnsi="Arial"/>
          <w:sz w:val="29"/>
          <w:szCs w:val="29"/>
          <w:color w:val="auto"/>
        </w:rPr>
      </w:pPr>
      <w:r>
        <w:rPr>
          <w:rFonts w:ascii="Arial" w:cs="Arial" w:eastAsia="Arial" w:hAnsi="Arial"/>
          <w:sz w:val="18"/>
          <w:szCs w:val="18"/>
          <w:color w:val="auto"/>
        </w:rPr>
        <w:t>TRANSITION REPORT PURSUANT TO SECTION 13 OR 15(d) OF THE SECURITIES EXCHANGE ACT OF 1934</w:t>
      </w:r>
    </w:p>
    <w:p>
      <w:pPr>
        <w:spacing w:after="0" w:line="40" w:lineRule="exact"/>
        <w:rPr>
          <w:rFonts w:ascii="Arial" w:cs="Arial" w:eastAsia="Arial" w:hAnsi="Arial"/>
          <w:sz w:val="29"/>
          <w:szCs w:val="29"/>
          <w:color w:val="auto"/>
        </w:rPr>
      </w:pPr>
    </w:p>
    <w:p>
      <w:pPr>
        <w:ind w:left="1740" w:right="5420"/>
        <w:spacing w:after="0" w:line="459" w:lineRule="auto"/>
        <w:rPr>
          <w:rFonts w:ascii="Arial" w:cs="Arial" w:eastAsia="Arial" w:hAnsi="Arial"/>
          <w:sz w:val="29"/>
          <w:szCs w:val="29"/>
          <w:color w:val="auto"/>
        </w:rPr>
      </w:pPr>
      <w:r>
        <w:rPr>
          <w:rFonts w:ascii="Arial" w:cs="Arial" w:eastAsia="Arial" w:hAnsi="Arial"/>
          <w:sz w:val="18"/>
          <w:szCs w:val="18"/>
          <w:color w:val="auto"/>
        </w:rPr>
        <w:t>For the transition period from __________ to __________. Commission File Number 001-31303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67" w:lineRule="exact"/>
        <w:rPr>
          <w:sz w:val="24"/>
          <w:szCs w:val="24"/>
          <w:color w:val="auto"/>
        </w:rPr>
      </w:pPr>
    </w:p>
    <w:p>
      <w:pPr>
        <w:ind w:left="40"/>
        <w:spacing w:after="0"/>
        <w:tabs>
          <w:tab w:leader="none" w:pos="8520" w:val="left"/>
        </w:tabs>
        <w:rPr>
          <w:sz w:val="20"/>
          <w:szCs w:val="20"/>
          <w:color w:val="auto"/>
        </w:rPr>
      </w:pPr>
      <w:r>
        <w:rPr>
          <w:rFonts w:ascii="Arial" w:cs="Arial" w:eastAsia="Arial" w:hAnsi="Arial"/>
          <w:sz w:val="18"/>
          <w:szCs w:val="18"/>
          <w:color w:val="auto"/>
        </w:rPr>
        <w:t>Incorporated in South Dakota</w:t>
      </w:r>
      <w:r>
        <w:rPr>
          <w:sz w:val="20"/>
          <w:szCs w:val="20"/>
          <w:color w:val="auto"/>
        </w:rPr>
        <w:tab/>
      </w:r>
      <w:r>
        <w:rPr>
          <w:rFonts w:ascii="Arial" w:cs="Arial" w:eastAsia="Arial" w:hAnsi="Arial"/>
          <w:sz w:val="16"/>
          <w:szCs w:val="16"/>
          <w:color w:val="auto"/>
        </w:rPr>
        <w:t>IRS Identification Number 46-0458824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625 Ninth Street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Rapid City, South Dakota 57701</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(605) 721-1700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3" w:lineRule="exact"/>
        <w:rPr>
          <w:sz w:val="24"/>
          <w:szCs w:val="24"/>
          <w:color w:val="auto"/>
        </w:rPr>
      </w:pPr>
    </w:p>
    <w:p>
      <w:pPr>
        <w:ind w:right="420"/>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2" w:lineRule="exact"/>
        <w:rPr>
          <w:sz w:val="24"/>
          <w:szCs w:val="24"/>
          <w:color w:val="auto"/>
        </w:rPr>
      </w:pPr>
    </w:p>
    <w:p>
      <w:pPr>
        <w:ind w:left="4420"/>
        <w:spacing w:after="0"/>
        <w:tabs>
          <w:tab w:leader="none" w:pos="66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39" w:lineRule="exact"/>
        <w:rPr>
          <w:sz w:val="24"/>
          <w:szCs w:val="24"/>
          <w:color w:val="auto"/>
        </w:rPr>
      </w:pPr>
    </w:p>
    <w:p>
      <w:pPr>
        <w:ind w:right="80"/>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ind w:left="4420"/>
        <w:spacing w:after="0"/>
        <w:tabs>
          <w:tab w:leader="none" w:pos="66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52"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8" w:right="239" w:bottom="1440" w:gutter="0" w:footer="0" w:header="0"/>
        </w:sectPr>
      </w:pPr>
    </w:p>
    <w:p>
      <w:pPr>
        <w:spacing w:after="0" w:line="127" w:lineRule="exact"/>
        <w:rPr>
          <w:sz w:val="24"/>
          <w:szCs w:val="24"/>
          <w:color w:val="auto"/>
        </w:rPr>
      </w:pPr>
    </w:p>
    <w:p>
      <w:pPr>
        <w:ind w:left="29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4940" w:space="720"/>
            <w:col w:w="5760"/>
          </w:cols>
          <w:pgMar w:left="240" w:top="688" w:right="239" w:bottom="1440" w:gutter="0" w:footer="0" w:header="0"/>
          <w:type w:val="continuous"/>
        </w:sectPr>
      </w:pPr>
    </w:p>
    <w:p>
      <w:pPr>
        <w:spacing w:after="0" w:line="116" w:lineRule="exact"/>
        <w:rPr>
          <w:sz w:val="24"/>
          <w:szCs w:val="24"/>
          <w:color w:val="auto"/>
        </w:rPr>
      </w:pPr>
    </w:p>
    <w:p>
      <w:pPr>
        <w:ind w:left="2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ectPr>
          <w:pgSz w:w="11900" w:h="16838" w:orient="portrait"/>
          <w:cols w:equalWidth="0" w:num="2">
            <w:col w:w="4680" w:space="720"/>
            <w:col w:w="6020"/>
          </w:cols>
          <w:pgMar w:left="240" w:top="688" w:right="239" w:bottom="1440" w:gutter="0" w:footer="0" w:header="0"/>
          <w:type w:val="continuous"/>
        </w:sectPr>
      </w:pPr>
    </w:p>
    <w:p>
      <w:pPr>
        <w:spacing w:after="0" w:line="116" w:lineRule="exact"/>
        <w:rPr>
          <w:sz w:val="24"/>
          <w:szCs w:val="24"/>
          <w:color w:val="auto"/>
        </w:rPr>
      </w:pPr>
    </w:p>
    <w:p>
      <w:pPr>
        <w:ind w:left="6000"/>
        <w:spacing w:after="0"/>
        <w:rPr>
          <w:sz w:val="20"/>
          <w:szCs w:val="20"/>
          <w:color w:val="auto"/>
        </w:rPr>
      </w:pPr>
      <w:r>
        <w:rPr>
          <w:rFonts w:ascii="Arial" w:cs="Arial" w:eastAsia="Arial" w:hAnsi="Arial"/>
          <w:sz w:val="16"/>
          <w:szCs w:val="16"/>
          <w:color w:val="auto"/>
        </w:rPr>
        <w:t>Smaller reporting company o</w:t>
      </w:r>
    </w:p>
    <w:p>
      <w:pPr>
        <w:spacing w:after="0" w:line="316" w:lineRule="exact"/>
        <w:rPr>
          <w:sz w:val="24"/>
          <w:szCs w:val="24"/>
          <w:color w:val="auto"/>
        </w:rPr>
      </w:pPr>
    </w:p>
    <w:p>
      <w:pPr>
        <w:ind w:left="600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688" w:right="239" w:bottom="1440" w:gutter="0" w:footer="0" w:header="0"/>
          <w:type w:val="continuous"/>
        </w:sectPr>
      </w:pPr>
    </w:p>
    <w:p>
      <w:pPr>
        <w:spacing w:after="0" w:line="2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4380"/>
        <w:spacing w:after="0"/>
        <w:tabs>
          <w:tab w:leader="none" w:pos="63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420"/>
          </w:cols>
          <w:pgMar w:left="240" w:top="688" w:right="239" w:bottom="1440" w:gutter="0" w:footer="0" w:header="0"/>
          <w:type w:val="continuous"/>
        </w:sectPr>
      </w:pPr>
    </w:p>
    <w:p>
      <w:pPr>
        <w:spacing w:after="0" w:line="171" w:lineRule="exact"/>
        <w:rPr>
          <w:sz w:val="24"/>
          <w:szCs w:val="24"/>
          <w:color w:val="auto"/>
        </w:rPr>
      </w:pPr>
    </w:p>
    <w:p>
      <w:pPr>
        <w:jc w:val="center"/>
        <w:ind w:left="600"/>
        <w:spacing w:after="0"/>
        <w:rPr>
          <w:sz w:val="20"/>
          <w:szCs w:val="20"/>
          <w:color w:val="auto"/>
        </w:rPr>
      </w:pPr>
      <w:r>
        <w:rPr>
          <w:rFonts w:ascii="Arial" w:cs="Arial" w:eastAsia="Arial" w:hAnsi="Arial"/>
          <w:sz w:val="15"/>
          <w:szCs w:val="15"/>
          <w:color w:val="auto"/>
        </w:rPr>
        <w:t>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Outstanding at October 31, 2017</w:t>
      </w:r>
    </w:p>
    <w:p>
      <w:pPr>
        <w:spacing w:after="0" w:line="86" w:lineRule="exact"/>
        <w:rPr>
          <w:sz w:val="24"/>
          <w:szCs w:val="24"/>
          <w:color w:val="auto"/>
        </w:rPr>
      </w:pPr>
    </w:p>
    <w:p>
      <w:pPr>
        <w:sectPr>
          <w:pgSz w:w="11900" w:h="16838" w:orient="portrait"/>
          <w:cols w:equalWidth="0" w:num="2">
            <w:col w:w="5700" w:space="720"/>
            <w:col w:w="5000"/>
          </w:cols>
          <w:pgMar w:left="240" w:top="688" w:right="239" w:bottom="1440" w:gutter="0" w:footer="0" w:header="0"/>
          <w:type w:val="continuous"/>
        </w:sectPr>
      </w:pPr>
    </w:p>
    <w:p>
      <w:pPr>
        <w:ind w:left="200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53,484,560 shares</w:t>
      </w:r>
    </w:p>
    <w:p>
      <w:pPr>
        <w:sectPr>
          <w:pgSz w:w="11900" w:h="16838" w:orient="portrait"/>
          <w:cols w:equalWidth="0" w:num="2">
            <w:col w:w="5960" w:space="720"/>
            <w:col w:w="4740"/>
          </w:cols>
          <w:pgMar w:left="240" w:top="68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00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0"/>
        </w:trPr>
        <w:tc>
          <w:tcPr>
            <w:tcW w:w="900" w:type="dxa"/>
            <w:vAlign w:val="bottom"/>
          </w:tcPr>
          <w:p>
            <w:pPr>
              <w:spacing w:after="0"/>
              <w:rPr>
                <w:sz w:val="23"/>
                <w:szCs w:val="23"/>
                <w:color w:val="auto"/>
              </w:rPr>
            </w:pPr>
          </w:p>
        </w:tc>
        <w:tc>
          <w:tcPr>
            <w:tcW w:w="9000" w:type="dxa"/>
            <w:vAlign w:val="bottom"/>
          </w:tcPr>
          <w:p>
            <w:pPr>
              <w:spacing w:after="0"/>
              <w:rPr>
                <w:sz w:val="23"/>
                <w:szCs w:val="23"/>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900" w:type="dxa"/>
            <w:vAlign w:val="bottom"/>
          </w:tcPr>
          <w:p>
            <w:pPr>
              <w:spacing w:after="0"/>
              <w:rPr>
                <w:sz w:val="2"/>
                <w:szCs w:val="2"/>
                <w:color w:val="auto"/>
              </w:rPr>
            </w:pPr>
          </w:p>
        </w:tc>
        <w:tc>
          <w:tcPr>
            <w:tcW w:w="90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900" w:type="dxa"/>
            <w:vAlign w:val="bottom"/>
          </w:tcPr>
          <w:p>
            <w:pPr>
              <w:spacing w:after="0"/>
              <w:rPr>
                <w:sz w:val="17"/>
                <w:szCs w:val="17"/>
                <w:color w:val="auto"/>
              </w:rPr>
            </w:pPr>
          </w:p>
        </w:tc>
        <w:tc>
          <w:tcPr>
            <w:tcW w:w="9000" w:type="dxa"/>
            <w:vAlign w:val="bottom"/>
          </w:tcPr>
          <w:p>
            <w:pPr>
              <w:ind w:left="240"/>
              <w:spacing w:after="0" w:line="196" w:lineRule="exact"/>
              <w:rPr>
                <w:sz w:val="20"/>
                <w:szCs w:val="20"/>
                <w:color w:val="auto"/>
              </w:rPr>
            </w:pPr>
            <w:r>
              <w:rPr>
                <w:rFonts w:ascii="Arial" w:cs="Arial" w:eastAsia="Arial" w:hAnsi="Arial"/>
                <w:sz w:val="18"/>
                <w:szCs w:val="18"/>
                <w:color w:val="auto"/>
              </w:rPr>
              <w:t>Glossary of Terms and Abbreviations</w:t>
            </w:r>
          </w:p>
        </w:tc>
        <w:tc>
          <w:tcPr>
            <w:tcW w:w="780" w:type="dxa"/>
            <w:vAlign w:val="bottom"/>
            <w:gridSpan w:val="3"/>
          </w:tcPr>
          <w:p>
            <w:pPr>
              <w:jc w:val="center"/>
              <w:ind w:left="61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PART I.</w:t>
            </w:r>
          </w:p>
        </w:tc>
        <w:tc>
          <w:tcPr>
            <w:tcW w:w="9000" w:type="dxa"/>
            <w:vAlign w:val="bottom"/>
          </w:tcPr>
          <w:p>
            <w:pPr>
              <w:ind w:left="240"/>
              <w:spacing w:after="0"/>
              <w:rPr>
                <w:sz w:val="20"/>
                <w:szCs w:val="20"/>
                <w:color w:val="auto"/>
              </w:rPr>
            </w:pPr>
            <w:r>
              <w:rPr>
                <w:rFonts w:ascii="Arial" w:cs="Arial" w:eastAsia="Arial" w:hAnsi="Arial"/>
                <w:sz w:val="18"/>
                <w:szCs w:val="18"/>
                <w:color w:val="auto"/>
              </w:rPr>
              <w:t>FINANCIAL INFORMATION</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00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Statements of Income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Three and Nine Months Ended September 30, 2017 and 2016</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Statements of Comprehensive Income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Three and Nine Months Ended September 30, 2017 and 2016</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Balance Sheets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September 30, 2017, December 31, 2016 and September 30, 2016</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Statements of Cash Flows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Nine Months Ended September 30, 2017 and 2016</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64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Notes to Condensed Consolidated Financial Statements - unaudited</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11</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000" w:type="dxa"/>
            <w:vAlign w:val="bottom"/>
          </w:tcPr>
          <w:p>
            <w:pPr>
              <w:ind w:left="2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000" w:type="dxa"/>
            <w:vAlign w:val="bottom"/>
          </w:tcPr>
          <w:p>
            <w:pPr>
              <w:ind w:left="240"/>
              <w:spacing w:after="0"/>
              <w:rPr>
                <w:sz w:val="20"/>
                <w:szCs w:val="20"/>
                <w:color w:val="auto"/>
              </w:rPr>
            </w:pPr>
            <w:r>
              <w:rPr>
                <w:rFonts w:ascii="Arial" w:cs="Arial" w:eastAsia="Arial" w:hAnsi="Arial"/>
                <w:sz w:val="18"/>
                <w:szCs w:val="18"/>
                <w:color w:val="auto"/>
              </w:rPr>
              <w:t>Quantitative and Qualitative Disclosures about Market Risk</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74</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000" w:type="dxa"/>
            <w:vAlign w:val="bottom"/>
          </w:tcPr>
          <w:p>
            <w:pPr>
              <w:ind w:left="240"/>
              <w:spacing w:after="0"/>
              <w:rPr>
                <w:sz w:val="20"/>
                <w:szCs w:val="20"/>
                <w:color w:val="auto"/>
              </w:rPr>
            </w:pPr>
            <w:r>
              <w:rPr>
                <w:rFonts w:ascii="Arial" w:cs="Arial" w:eastAsia="Arial" w:hAnsi="Arial"/>
                <w:sz w:val="18"/>
                <w:szCs w:val="18"/>
                <w:color w:val="auto"/>
              </w:rPr>
              <w:t>Controls and Procedures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75</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9000" w:type="dxa"/>
            <w:vAlign w:val="bottom"/>
          </w:tcPr>
          <w:p>
            <w:pPr>
              <w:ind w:left="240"/>
              <w:spacing w:after="0"/>
              <w:rPr>
                <w:sz w:val="20"/>
                <w:szCs w:val="20"/>
                <w:color w:val="auto"/>
              </w:rPr>
            </w:pPr>
            <w:r>
              <w:rPr>
                <w:rFonts w:ascii="Arial" w:cs="Arial" w:eastAsia="Arial" w:hAnsi="Arial"/>
                <w:sz w:val="18"/>
                <w:szCs w:val="18"/>
                <w:color w:val="auto"/>
              </w:rPr>
              <w:t>OTHER INFORMATION</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000" w:type="dxa"/>
            <w:vAlign w:val="bottom"/>
          </w:tcPr>
          <w:p>
            <w:pPr>
              <w:ind w:left="240"/>
              <w:spacing w:after="0"/>
              <w:rPr>
                <w:sz w:val="20"/>
                <w:szCs w:val="20"/>
                <w:color w:val="auto"/>
              </w:rPr>
            </w:pPr>
            <w:r>
              <w:rPr>
                <w:rFonts w:ascii="Arial" w:cs="Arial" w:eastAsia="Arial" w:hAnsi="Arial"/>
                <w:sz w:val="18"/>
                <w:szCs w:val="18"/>
                <w:color w:val="auto"/>
              </w:rPr>
              <w:t>Legal Proceedings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00" w:type="dxa"/>
            <w:vAlign w:val="bottom"/>
          </w:tcPr>
          <w:p>
            <w:pPr>
              <w:ind w:left="240"/>
              <w:spacing w:after="0"/>
              <w:rPr>
                <w:sz w:val="20"/>
                <w:szCs w:val="20"/>
                <w:color w:val="auto"/>
              </w:rPr>
            </w:pPr>
            <w:r>
              <w:rPr>
                <w:rFonts w:ascii="Arial" w:cs="Arial" w:eastAsia="Arial" w:hAnsi="Arial"/>
                <w:sz w:val="18"/>
                <w:szCs w:val="18"/>
                <w:color w:val="auto"/>
              </w:rPr>
              <w:t>Risk Factors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000" w:type="dxa"/>
            <w:vAlign w:val="bottom"/>
          </w:tcPr>
          <w:p>
            <w:pPr>
              <w:ind w:left="240"/>
              <w:spacing w:after="0"/>
              <w:rPr>
                <w:sz w:val="20"/>
                <w:szCs w:val="20"/>
                <w:color w:val="auto"/>
              </w:rPr>
            </w:pPr>
            <w:r>
              <w:rPr>
                <w:rFonts w:ascii="Arial" w:cs="Arial" w:eastAsia="Arial" w:hAnsi="Arial"/>
                <w:sz w:val="18"/>
                <w:szCs w:val="18"/>
                <w:color w:val="auto"/>
              </w:rPr>
              <w:t>Unregistered Sales of Equity Securities and Use of Proceeds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000" w:type="dxa"/>
            <w:vAlign w:val="bottom"/>
          </w:tcPr>
          <w:p>
            <w:pPr>
              <w:ind w:left="240"/>
              <w:spacing w:after="0"/>
              <w:rPr>
                <w:sz w:val="20"/>
                <w:szCs w:val="20"/>
                <w:color w:val="auto"/>
              </w:rPr>
            </w:pPr>
            <w:r>
              <w:rPr>
                <w:rFonts w:ascii="Arial" w:cs="Arial" w:eastAsia="Arial" w:hAnsi="Arial"/>
                <w:sz w:val="18"/>
                <w:szCs w:val="18"/>
                <w:color w:val="auto"/>
              </w:rPr>
              <w:t>Mine Safety Disclosures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000" w:type="dxa"/>
            <w:vAlign w:val="bottom"/>
          </w:tcPr>
          <w:p>
            <w:pPr>
              <w:ind w:left="240"/>
              <w:spacing w:after="0"/>
              <w:rPr>
                <w:sz w:val="20"/>
                <w:szCs w:val="20"/>
                <w:color w:val="auto"/>
              </w:rPr>
            </w:pPr>
            <w:r>
              <w:rPr>
                <w:rFonts w:ascii="Arial" w:cs="Arial" w:eastAsia="Arial" w:hAnsi="Arial"/>
                <w:sz w:val="18"/>
                <w:szCs w:val="18"/>
                <w:color w:val="auto"/>
              </w:rPr>
              <w:t>Other Information</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000" w:type="dxa"/>
            <w:vAlign w:val="bottom"/>
          </w:tcPr>
          <w:p>
            <w:pPr>
              <w:ind w:left="240"/>
              <w:spacing w:after="0"/>
              <w:rPr>
                <w:sz w:val="20"/>
                <w:szCs w:val="20"/>
                <w:color w:val="auto"/>
              </w:rPr>
            </w:pPr>
            <w:r>
              <w:rPr>
                <w:rFonts w:ascii="Arial" w:cs="Arial" w:eastAsia="Arial" w:hAnsi="Arial"/>
                <w:sz w:val="18"/>
                <w:szCs w:val="18"/>
                <w:color w:val="auto"/>
              </w:rPr>
              <w:t>Exhibits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Signatures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79</w:t>
              </w:r>
            </w:hyperlink>
          </w:p>
        </w:tc>
        <w:tc>
          <w:tcPr>
            <w:tcW w:w="640" w:type="dxa"/>
            <w:vAlign w:val="bottom"/>
          </w:tcPr>
          <w:p>
            <w:pPr>
              <w:spacing w:after="0"/>
              <w:rPr>
                <w:sz w:val="24"/>
                <w:szCs w:val="24"/>
                <w:color w:val="auto"/>
              </w:rPr>
            </w:pPr>
          </w:p>
        </w:tc>
      </w:tr>
      <w:tr>
        <w:trPr>
          <w:trHeight w:val="723"/>
        </w:trPr>
        <w:tc>
          <w:tcPr>
            <w:tcW w:w="900" w:type="dxa"/>
            <w:vAlign w:val="bottom"/>
          </w:tcPr>
          <w:p>
            <w:pPr>
              <w:spacing w:after="0"/>
              <w:rPr>
                <w:sz w:val="24"/>
                <w:szCs w:val="24"/>
                <w:color w:val="auto"/>
              </w:rPr>
            </w:pPr>
          </w:p>
        </w:tc>
        <w:tc>
          <w:tcPr>
            <w:tcW w:w="9000" w:type="dxa"/>
            <w:vAlign w:val="bottom"/>
          </w:tcPr>
          <w:p>
            <w:pPr>
              <w:ind w:left="472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380"/>
          </w:cols>
          <w:pgMar w:left="280" w:top="918"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p>
      <w:pPr>
        <w:sectPr>
          <w:pgSz w:w="11900" w:h="16838" w:orient="portrait"/>
          <w:cols w:equalWidth="0" w:num="1">
            <w:col w:w="11380"/>
          </w:cols>
          <w:pgMar w:left="240" w:top="580" w:right="279" w:bottom="1440" w:gutter="0" w:footer="0" w:header="0"/>
        </w:sectPr>
      </w:pP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AFUDC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AOCI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APSC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Arkansas Gas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Stockton Storage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ARMRP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ASU</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Availability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Bbl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BHC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Gas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Gas Holdings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Electric Generation</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Arkansas Gas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Colorado Electric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Colorado Gas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Iowa Gas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Kansas Gas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Nebraska Gas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Black Hills Energy South Dakota Electric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Wyoming Electric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Energy Wyoming Gas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Gas Distribution</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Non-regulated Holdings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Power</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Utility Holdings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Black Hills Wyoming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Btu</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CAPP</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Allowance for Funds Used During Construction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Arkansas Public Service Commission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Black Hills Energy Arkansas, Inc., a direct, wholly-owned subsidiary of Black Hills Gas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Arkansas Gas storage facility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At-Risk Meter Relocation Program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Accounting Standards Codification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Accounting Standards Update issued by the FASB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At-the-market equity offering program</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availability factor of a power plant is the percentage of the time that it is available to provide energy.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Barrel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Black Hills Corporation; the Company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Black Hills Gas, LLC, a subsidiary of Black Hills Gas Holdings, which was previously named SourceGas LLC</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Black Hills Gas Holdings, LLC, a subsidiary of Black Hills Utility Holdings, which was previously named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SourceGas Holdings LLC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Black Hills Electric Generation, LLC, a direct, wholly-owned subsidiary of Black Hills Non-regulated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Holdings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name used to conduct the business of our utility companies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Includes the acquired SourceGas utility Black Hills Energy Arkansas, Inc. utility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Includes Colorado Electric’s utility operations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Includes Black Hills Energy Colorado Gas utility operations, as well as the acquired SourceGas utility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Hills Gas Distribution’s Colorado gas operations and RMNG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Includes Black Hills Energy Iowa gas utility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Includes Black Hills Energy Kansas gas utility operations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Includes Black Hills Energy Nebraska gas utility operations, as well as the acquired SourceGas utility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Hills Gas Distribution’s Nebraska gas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Includes Black Hills Power operations in South Dakota, Wyoming and Montana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Includes Cheyenne Light’s electric utility operations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Includes Cheyenne Light’s natural gas utility operations, as well as the acquired SourceGas utility Black Hills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Gas Distribution’s Wyoming gas operations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Black Hills Gas Distribution, LLC, a company acquired in the SourceGas Acquisition that conducts the gas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distribution operations in Colorado, Nebraska and Wyoming. It was formerly named SourceGas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Black Hills Non-regulated Holdings, LLC, a direct, wholly-owned subsidiary of Black Hills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Black Hills Power, Inc., a direct, wholly-owned subsidiary of Black Hills Corporation (doing business as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Hills Energy)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Black Hills Utility Holdings, Inc., a direct, wholly-owned subsidiary of Black Hills Corporation (doing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business as Black Hills Energy)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Black Hills Wyoming, LLC, a direct, wholly-owned subsidiary of Black Hills Electric Generation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British thermal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Customer Appliance Protection Plan</w:t>
      </w:r>
    </w:p>
    <w:p>
      <w:pPr>
        <w:spacing w:after="0" w:line="200" w:lineRule="exact"/>
        <w:rPr>
          <w:sz w:val="20"/>
          <w:szCs w:val="20"/>
          <w:color w:val="auto"/>
        </w:rPr>
      </w:pPr>
    </w:p>
    <w:p>
      <w:pPr>
        <w:sectPr>
          <w:pgSz w:w="11900" w:h="16838" w:orient="portrait"/>
          <w:cols w:equalWidth="0" w:num="2">
            <w:col w:w="3060" w:space="300"/>
            <w:col w:w="8020"/>
          </w:cols>
          <w:pgMar w:left="240" w:top="580" w:right="279" w:bottom="1440" w:gutter="0" w:footer="0" w:header="0"/>
          <w:type w:val="continuous"/>
        </w:sectPr>
      </w:pP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580" w:right="279" w:bottom="1440" w:gutter="0" w:footer="0" w:header="0"/>
          <w:type w:val="continuous"/>
        </w:sectPr>
      </w:pPr>
    </w:p>
    <w:bookmarkStart w:id="3" w:name="page4"/>
    <w:bookmarkEnd w:id="3"/>
    <w:p>
      <w:pPr>
        <w:spacing w:after="0"/>
        <w:tabs>
          <w:tab w:leader="none" w:pos="3300" w:val="left"/>
        </w:tabs>
        <w:rPr>
          <w:sz w:val="20"/>
          <w:szCs w:val="20"/>
          <w:color w:val="auto"/>
        </w:rPr>
      </w:pPr>
      <w:r>
        <w:rPr>
          <w:rFonts w:ascii="Arial" w:cs="Arial" w:eastAsia="Arial" w:hAnsi="Arial"/>
          <w:sz w:val="18"/>
          <w:szCs w:val="18"/>
          <w:color w:val="auto"/>
        </w:rPr>
        <w:t>Ceiling Test</w:t>
      </w:r>
      <w:r>
        <w:rPr>
          <w:sz w:val="20"/>
          <w:szCs w:val="20"/>
          <w:color w:val="auto"/>
        </w:rPr>
        <w:tab/>
      </w:r>
      <w:r>
        <w:rPr>
          <w:rFonts w:ascii="Arial" w:cs="Arial" w:eastAsia="Arial" w:hAnsi="Arial"/>
          <w:sz w:val="16"/>
          <w:szCs w:val="16"/>
          <w:color w:val="auto"/>
        </w:rPr>
        <w:t>Related to our Oil and Gas subsidiary, capitalized costs, less accumulated amortization and related deferred</w:t>
      </w:r>
    </w:p>
    <w:p>
      <w:pPr>
        <w:spacing w:after="0" w:line="23" w:lineRule="exact"/>
        <w:rPr>
          <w:sz w:val="20"/>
          <w:szCs w:val="20"/>
          <w:color w:val="auto"/>
        </w:rPr>
      </w:pPr>
    </w:p>
    <w:p>
      <w:pPr>
        <w:ind w:left="3320" w:right="20"/>
        <w:spacing w:after="0" w:line="277" w:lineRule="auto"/>
        <w:rPr>
          <w:sz w:val="20"/>
          <w:szCs w:val="20"/>
          <w:color w:val="auto"/>
        </w:rPr>
      </w:pPr>
      <w:r>
        <w:rPr>
          <w:rFonts w:ascii="Arial" w:cs="Arial" w:eastAsia="Arial" w:hAnsi="Arial"/>
          <w:sz w:val="17"/>
          <w:szCs w:val="17"/>
          <w:color w:val="auto"/>
        </w:rPr>
        <w:t>income taxes, are subject to a ceiling test which limits the pooled costs to the aggregate of the discounted value of future net revenue attributable to proved natural gas and crude oil reserves using prices and a discount rate defined by the SEC plus the lower of cost or market value of unevaluated properties.</w:t>
      </w:r>
    </w:p>
    <w:p>
      <w:pPr>
        <w:spacing w:after="0" w:line="11"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Cheyenne Light</w:t>
      </w:r>
      <w:r>
        <w:rPr>
          <w:sz w:val="20"/>
          <w:szCs w:val="20"/>
          <w:color w:val="auto"/>
        </w:rPr>
        <w:tab/>
      </w:r>
      <w:r>
        <w:rPr>
          <w:rFonts w:ascii="Arial" w:cs="Arial" w:eastAsia="Arial" w:hAnsi="Arial"/>
          <w:sz w:val="16"/>
          <w:szCs w:val="16"/>
          <w:color w:val="auto"/>
        </w:rPr>
        <w:t>Cheyenne Light, Fuel and Power Company, a direct, wholly-owned subsidiary of Black Hills Corporation</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CIAC</w:t>
      </w:r>
      <w:r>
        <w:rPr>
          <w:sz w:val="20"/>
          <w:szCs w:val="20"/>
          <w:color w:val="auto"/>
        </w:rPr>
        <w:tab/>
      </w:r>
      <w:r>
        <w:rPr>
          <w:rFonts w:ascii="Arial" w:cs="Arial" w:eastAsia="Arial" w:hAnsi="Arial"/>
          <w:sz w:val="18"/>
          <w:szCs w:val="18"/>
          <w:color w:val="auto"/>
        </w:rPr>
        <w:t>Contribution In Aid of Construction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City of Gillette</w:t>
      </w:r>
      <w:r>
        <w:rPr>
          <w:sz w:val="20"/>
          <w:szCs w:val="20"/>
          <w:color w:val="auto"/>
        </w:rPr>
        <w:tab/>
      </w:r>
      <w:r>
        <w:rPr>
          <w:rFonts w:ascii="Arial" w:cs="Arial" w:eastAsia="Arial" w:hAnsi="Arial"/>
          <w:sz w:val="17"/>
          <w:szCs w:val="17"/>
          <w:color w:val="auto"/>
        </w:rPr>
        <w:t>Gillette, Wyoming</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Colorado Electric</w:t>
      </w:r>
      <w:r>
        <w:rPr>
          <w:sz w:val="20"/>
          <w:szCs w:val="20"/>
          <w:color w:val="auto"/>
        </w:rPr>
        <w:tab/>
      </w:r>
      <w:r>
        <w:rPr>
          <w:rFonts w:ascii="Arial" w:cs="Arial" w:eastAsia="Arial" w:hAnsi="Arial"/>
          <w:sz w:val="17"/>
          <w:szCs w:val="17"/>
          <w:color w:val="auto"/>
        </w:rPr>
        <w:t>Black Hills Colorado Electric Utility Company, LP, an indirect, wholly-owned subsidiary of Black Hills Utility</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Holdings (doing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Colorado Gas</w:t>
      </w:r>
      <w:r>
        <w:rPr>
          <w:sz w:val="20"/>
          <w:szCs w:val="20"/>
          <w:color w:val="auto"/>
        </w:rPr>
        <w:tab/>
      </w:r>
      <w:r>
        <w:rPr>
          <w:rFonts w:ascii="Arial" w:cs="Arial" w:eastAsia="Arial" w:hAnsi="Arial"/>
          <w:sz w:val="17"/>
          <w:szCs w:val="17"/>
          <w:color w:val="auto"/>
        </w:rPr>
        <w:t>Black Hills Colorado Gas Utility Company, LP, an indirect, wholly-owned subsidiary of Black Hills Utility</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Holdings (doing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Colorado IPP</w:t>
      </w:r>
      <w:r>
        <w:rPr>
          <w:sz w:val="20"/>
          <w:szCs w:val="20"/>
          <w:color w:val="auto"/>
        </w:rPr>
        <w:tab/>
      </w:r>
      <w:r>
        <w:rPr>
          <w:rFonts w:ascii="Arial" w:cs="Arial" w:eastAsia="Arial" w:hAnsi="Arial"/>
          <w:sz w:val="16"/>
          <w:szCs w:val="16"/>
          <w:color w:val="auto"/>
        </w:rPr>
        <w:t>Black Hills Colorado IPP, LLC a 50.1% owned subsidiary of Black Hills Electric Generation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Consolidated Indebtedness to Capitalization  Any Indebtedness outstanding at such time, divided by Capital at such time. Capital being Consolidated Net-</w:t>
      </w:r>
    </w:p>
    <w:p>
      <w:pPr>
        <w:spacing w:after="0" w:line="46" w:lineRule="exact"/>
        <w:rPr>
          <w:sz w:val="20"/>
          <w:szCs w:val="20"/>
          <w:color w:val="auto"/>
        </w:rPr>
      </w:pPr>
    </w:p>
    <w:p>
      <w:pPr>
        <w:spacing w:after="0"/>
        <w:tabs>
          <w:tab w:leader="none" w:pos="3300" w:val="left"/>
        </w:tabs>
        <w:rPr>
          <w:sz w:val="20"/>
          <w:szCs w:val="20"/>
          <w:color w:val="auto"/>
        </w:rPr>
      </w:pPr>
      <w:r>
        <w:rPr>
          <w:rFonts w:ascii="Arial" w:cs="Arial" w:eastAsia="Arial" w:hAnsi="Arial"/>
          <w:sz w:val="17"/>
          <w:szCs w:val="17"/>
          <w:color w:val="auto"/>
        </w:rPr>
        <w:t>Ratio</w:t>
      </w:r>
      <w:r>
        <w:rPr>
          <w:sz w:val="20"/>
          <w:szCs w:val="20"/>
          <w:color w:val="auto"/>
        </w:rPr>
        <w:tab/>
      </w:r>
      <w:r>
        <w:rPr>
          <w:rFonts w:ascii="Arial" w:cs="Arial" w:eastAsia="Arial" w:hAnsi="Arial"/>
          <w:sz w:val="17"/>
          <w:szCs w:val="17"/>
          <w:color w:val="auto"/>
        </w:rPr>
        <w:t>Worth (excluding noncontrolling interest and including the aggregate outstanding amount of RSNs) plus</w:t>
      </w:r>
    </w:p>
    <w:p>
      <w:pPr>
        <w:spacing w:after="0" w:line="21" w:lineRule="exact"/>
        <w:rPr>
          <w:sz w:val="20"/>
          <w:szCs w:val="20"/>
          <w:color w:val="auto"/>
        </w:rPr>
      </w:pPr>
    </w:p>
    <w:p>
      <w:pPr>
        <w:ind w:left="3320" w:right="500"/>
        <w:spacing w:after="0" w:line="261" w:lineRule="auto"/>
        <w:rPr>
          <w:sz w:val="20"/>
          <w:szCs w:val="20"/>
          <w:color w:val="auto"/>
        </w:rPr>
      </w:pPr>
      <w:r>
        <w:rPr>
          <w:rFonts w:ascii="Arial" w:cs="Arial" w:eastAsia="Arial" w:hAnsi="Arial"/>
          <w:sz w:val="18"/>
          <w:szCs w:val="18"/>
          <w:color w:val="auto"/>
        </w:rPr>
        <w:t>Consolidated Indebtedness (including letters of credit, certain guarantees issued and excluding RSNs) as defined within the current Credit Agreement.</w:t>
      </w:r>
    </w:p>
    <w:p>
      <w:pPr>
        <w:spacing w:after="0" w:line="2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Cooling Degree Day</w:t>
      </w:r>
      <w:r>
        <w:rPr>
          <w:sz w:val="20"/>
          <w:szCs w:val="20"/>
          <w:color w:val="auto"/>
        </w:rPr>
        <w:tab/>
      </w:r>
      <w:r>
        <w:rPr>
          <w:rFonts w:ascii="Arial" w:cs="Arial" w:eastAsia="Arial" w:hAnsi="Arial"/>
          <w:sz w:val="16"/>
          <w:szCs w:val="16"/>
          <w:color w:val="auto"/>
        </w:rPr>
        <w:t>A cooling degree day is equivalent to each degree that the average of the high and low temperature for a day is</w:t>
      </w:r>
    </w:p>
    <w:p>
      <w:pPr>
        <w:spacing w:after="0" w:line="23" w:lineRule="exact"/>
        <w:rPr>
          <w:sz w:val="20"/>
          <w:szCs w:val="20"/>
          <w:color w:val="auto"/>
        </w:rPr>
      </w:pPr>
    </w:p>
    <w:p>
      <w:pPr>
        <w:ind w:left="3320"/>
        <w:spacing w:after="0" w:line="254" w:lineRule="auto"/>
        <w:rPr>
          <w:sz w:val="20"/>
          <w:szCs w:val="20"/>
          <w:color w:val="auto"/>
        </w:rPr>
      </w:pPr>
      <w:r>
        <w:rPr>
          <w:rFonts w:ascii="Arial" w:cs="Arial" w:eastAsia="Arial" w:hAnsi="Arial"/>
          <w:sz w:val="18"/>
          <w:szCs w:val="18"/>
          <w:color w:val="auto"/>
        </w:rPr>
        <w:t>above 65 degrees. The warmer the climate, the greater the number of cooling degree days. Cooling degree days are used in the utility industry to measure the relative warmth of weather and to compare relative temperatures between one geographic area and another. Normal degree days are based on the National Weather Service data for selected locations over a 30-year average.</w:t>
      </w:r>
    </w:p>
    <w:p>
      <w:pPr>
        <w:spacing w:after="0" w:line="28"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Cost of Service Gas Program (COSG)</w:t>
      </w:r>
      <w:r>
        <w:rPr>
          <w:sz w:val="20"/>
          <w:szCs w:val="20"/>
          <w:color w:val="auto"/>
        </w:rPr>
        <w:tab/>
      </w:r>
      <w:r>
        <w:rPr>
          <w:rFonts w:ascii="Arial" w:cs="Arial" w:eastAsia="Arial" w:hAnsi="Arial"/>
          <w:sz w:val="16"/>
          <w:szCs w:val="16"/>
          <w:color w:val="auto"/>
        </w:rPr>
        <w:t>Proposed Cost of Service Gas Program designed to provide long-term natural gas price stability for the</w:t>
      </w:r>
    </w:p>
    <w:p>
      <w:pPr>
        <w:spacing w:after="0" w:line="23" w:lineRule="exact"/>
        <w:rPr>
          <w:sz w:val="20"/>
          <w:szCs w:val="20"/>
          <w:color w:val="auto"/>
        </w:rPr>
      </w:pPr>
    </w:p>
    <w:p>
      <w:pPr>
        <w:ind w:left="3320" w:right="420"/>
        <w:spacing w:after="0" w:line="261" w:lineRule="auto"/>
        <w:rPr>
          <w:sz w:val="20"/>
          <w:szCs w:val="20"/>
          <w:color w:val="auto"/>
        </w:rPr>
      </w:pPr>
      <w:r>
        <w:rPr>
          <w:rFonts w:ascii="Arial" w:cs="Arial" w:eastAsia="Arial" w:hAnsi="Arial"/>
          <w:sz w:val="18"/>
          <w:szCs w:val="18"/>
          <w:color w:val="auto"/>
        </w:rPr>
        <w:t>Company’s utility customers, along with a reasonable expectation of customer savings over the life of the program.</w:t>
      </w:r>
    </w:p>
    <w:p>
      <w:pPr>
        <w:spacing w:after="0" w:line="2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CP Program</w:t>
      </w:r>
      <w:r>
        <w:rPr>
          <w:sz w:val="20"/>
          <w:szCs w:val="20"/>
          <w:color w:val="auto"/>
        </w:rPr>
        <w:tab/>
      </w:r>
      <w:r>
        <w:rPr>
          <w:rFonts w:ascii="Arial" w:cs="Arial" w:eastAsia="Arial" w:hAnsi="Arial"/>
          <w:sz w:val="16"/>
          <w:szCs w:val="16"/>
          <w:color w:val="auto"/>
        </w:rPr>
        <w:t>Commercial Paper Program</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CPUC</w:t>
      </w:r>
      <w:r>
        <w:rPr>
          <w:sz w:val="20"/>
          <w:szCs w:val="20"/>
          <w:color w:val="auto"/>
        </w:rPr>
        <w:tab/>
      </w:r>
      <w:r>
        <w:rPr>
          <w:rFonts w:ascii="Arial" w:cs="Arial" w:eastAsia="Arial" w:hAnsi="Arial"/>
          <w:sz w:val="18"/>
          <w:szCs w:val="18"/>
          <w:color w:val="auto"/>
        </w:rPr>
        <w:t>Colorado Public Utilities Commission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CVA</w:t>
      </w:r>
      <w:r>
        <w:rPr>
          <w:sz w:val="20"/>
          <w:szCs w:val="20"/>
          <w:color w:val="auto"/>
        </w:rPr>
        <w:tab/>
      </w:r>
      <w:r>
        <w:rPr>
          <w:rFonts w:ascii="Arial" w:cs="Arial" w:eastAsia="Arial" w:hAnsi="Arial"/>
          <w:sz w:val="18"/>
          <w:szCs w:val="18"/>
          <w:color w:val="auto"/>
        </w:rPr>
        <w:t>Credit Valuation Adjustment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Dodd-Frank</w:t>
      </w:r>
      <w:r>
        <w:rPr>
          <w:sz w:val="20"/>
          <w:szCs w:val="20"/>
          <w:color w:val="auto"/>
        </w:rPr>
        <w:tab/>
      </w:r>
      <w:r>
        <w:rPr>
          <w:rFonts w:ascii="Arial" w:cs="Arial" w:eastAsia="Arial" w:hAnsi="Arial"/>
          <w:sz w:val="16"/>
          <w:szCs w:val="16"/>
          <w:color w:val="auto"/>
        </w:rPr>
        <w:t>Dodd-Frank Wall Street Reform and Consumer Protection Act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DSM</w:t>
      </w:r>
      <w:r>
        <w:rPr>
          <w:sz w:val="20"/>
          <w:szCs w:val="20"/>
          <w:color w:val="auto"/>
        </w:rPr>
        <w:tab/>
      </w:r>
      <w:r>
        <w:rPr>
          <w:rFonts w:ascii="Arial" w:cs="Arial" w:eastAsia="Arial" w:hAnsi="Arial"/>
          <w:sz w:val="18"/>
          <w:szCs w:val="18"/>
          <w:color w:val="auto"/>
        </w:rPr>
        <w:t>Demand Side Management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Dth</w:t>
      </w:r>
      <w:r>
        <w:rPr>
          <w:sz w:val="20"/>
          <w:szCs w:val="20"/>
          <w:color w:val="auto"/>
        </w:rPr>
        <w:tab/>
      </w:r>
      <w:r>
        <w:rPr>
          <w:rFonts w:ascii="Arial" w:cs="Arial" w:eastAsia="Arial" w:hAnsi="Arial"/>
          <w:sz w:val="18"/>
          <w:szCs w:val="18"/>
          <w:color w:val="auto"/>
        </w:rPr>
        <w:t>Dekatherm. A unit of energy equal to 10 therms or one million British thermal units (MMBtu)</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6"/>
          <w:szCs w:val="16"/>
          <w:color w:val="auto"/>
        </w:rPr>
        <w:t>ECA</w:t>
      </w:r>
      <w:r>
        <w:rPr>
          <w:sz w:val="20"/>
          <w:szCs w:val="20"/>
          <w:color w:val="auto"/>
        </w:rPr>
        <w:tab/>
      </w:r>
      <w:r>
        <w:rPr>
          <w:rFonts w:ascii="Arial" w:cs="Arial" w:eastAsia="Arial" w:hAnsi="Arial"/>
          <w:sz w:val="16"/>
          <w:szCs w:val="16"/>
          <w:color w:val="auto"/>
        </w:rPr>
        <w:t>Energy Cost Adjustment - adjustments that allow us to pass the prudently-incurred cost of fuel and purchased</w:t>
      </w:r>
    </w:p>
    <w:p>
      <w:pPr>
        <w:spacing w:after="0" w:line="46"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energy through to customers.</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Equity Unit</w:t>
      </w:r>
      <w:r>
        <w:rPr>
          <w:sz w:val="20"/>
          <w:szCs w:val="20"/>
          <w:color w:val="auto"/>
        </w:rPr>
        <w:tab/>
      </w:r>
      <w:r>
        <w:rPr>
          <w:rFonts w:ascii="Arial" w:cs="Arial" w:eastAsia="Arial" w:hAnsi="Arial"/>
          <w:sz w:val="16"/>
          <w:szCs w:val="16"/>
          <w:color w:val="auto"/>
        </w:rPr>
        <w:t>Each Equity Unit has a stated amount of $50, consisting of a purchase contract issued by BHC to purchase</w:t>
      </w:r>
    </w:p>
    <w:p>
      <w:pPr>
        <w:spacing w:after="0" w:line="23" w:lineRule="exact"/>
        <w:rPr>
          <w:sz w:val="20"/>
          <w:szCs w:val="20"/>
          <w:color w:val="auto"/>
        </w:rPr>
      </w:pPr>
    </w:p>
    <w:p>
      <w:pPr>
        <w:ind w:left="3320" w:right="240"/>
        <w:spacing w:after="0" w:line="261" w:lineRule="auto"/>
        <w:rPr>
          <w:sz w:val="20"/>
          <w:szCs w:val="20"/>
          <w:color w:val="auto"/>
        </w:rPr>
      </w:pPr>
      <w:r>
        <w:rPr>
          <w:rFonts w:ascii="Arial" w:cs="Arial" w:eastAsia="Arial" w:hAnsi="Arial"/>
          <w:sz w:val="18"/>
          <w:szCs w:val="18"/>
          <w:color w:val="auto"/>
        </w:rPr>
        <w:t>shares of BHC common stock and a 1/20, or 5% undivided beneficial ownership interest in $1,000 principal amount of BHC RSNs due 2028.</w:t>
      </w:r>
    </w:p>
    <w:p>
      <w:pPr>
        <w:spacing w:after="0" w:line="2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FASB</w:t>
      </w:r>
      <w:r>
        <w:rPr>
          <w:sz w:val="20"/>
          <w:szCs w:val="20"/>
          <w:color w:val="auto"/>
        </w:rPr>
        <w:tab/>
      </w:r>
      <w:r>
        <w:rPr>
          <w:rFonts w:ascii="Arial" w:cs="Arial" w:eastAsia="Arial" w:hAnsi="Arial"/>
          <w:sz w:val="18"/>
          <w:szCs w:val="18"/>
          <w:color w:val="auto"/>
        </w:rPr>
        <w:t>Financial Accounting Standards Board</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FERC</w:t>
      </w:r>
      <w:r>
        <w:rPr>
          <w:sz w:val="20"/>
          <w:szCs w:val="20"/>
          <w:color w:val="auto"/>
        </w:rPr>
        <w:tab/>
      </w:r>
      <w:r>
        <w:rPr>
          <w:rFonts w:ascii="Arial" w:cs="Arial" w:eastAsia="Arial" w:hAnsi="Arial"/>
          <w:sz w:val="18"/>
          <w:szCs w:val="18"/>
          <w:color w:val="auto"/>
        </w:rPr>
        <w:t>United States Federal Energy Regulatory Commission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Fitch</w:t>
      </w:r>
      <w:r>
        <w:rPr>
          <w:sz w:val="20"/>
          <w:szCs w:val="20"/>
          <w:color w:val="auto"/>
        </w:rPr>
        <w:tab/>
      </w:r>
      <w:r>
        <w:rPr>
          <w:rFonts w:ascii="Arial" w:cs="Arial" w:eastAsia="Arial" w:hAnsi="Arial"/>
          <w:sz w:val="18"/>
          <w:szCs w:val="18"/>
          <w:color w:val="auto"/>
        </w:rPr>
        <w:t>Fitch Ratings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GAAP</w:t>
      </w:r>
      <w:r>
        <w:rPr>
          <w:sz w:val="20"/>
          <w:szCs w:val="20"/>
          <w:color w:val="auto"/>
        </w:rPr>
        <w:tab/>
      </w:r>
      <w:r>
        <w:rPr>
          <w:rFonts w:ascii="Arial" w:cs="Arial" w:eastAsia="Arial" w:hAnsi="Arial"/>
          <w:sz w:val="18"/>
          <w:szCs w:val="18"/>
          <w:color w:val="auto"/>
        </w:rPr>
        <w:t>Accounting principles generally accepted in the United States of America</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Global Settlement</w:t>
      </w:r>
      <w:r>
        <w:rPr>
          <w:sz w:val="20"/>
          <w:szCs w:val="20"/>
          <w:color w:val="auto"/>
        </w:rPr>
        <w:tab/>
      </w:r>
      <w:r>
        <w:rPr>
          <w:rFonts w:ascii="Arial" w:cs="Arial" w:eastAsia="Arial" w:hAnsi="Arial"/>
          <w:sz w:val="16"/>
          <w:szCs w:val="16"/>
          <w:color w:val="auto"/>
        </w:rPr>
        <w:t>Settlement with a utilities commission where the dollar figure is agreed upon, but the specific adjustments used</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by each party to arrive at the figure are not specified in public rate orders.</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GSRS</w:t>
      </w:r>
      <w:r>
        <w:rPr>
          <w:sz w:val="20"/>
          <w:szCs w:val="20"/>
          <w:color w:val="auto"/>
        </w:rPr>
        <w:tab/>
      </w:r>
      <w:r>
        <w:rPr>
          <w:rFonts w:ascii="Arial" w:cs="Arial" w:eastAsia="Arial" w:hAnsi="Arial"/>
          <w:sz w:val="18"/>
          <w:szCs w:val="18"/>
          <w:color w:val="auto"/>
        </w:rPr>
        <w:t>Gas System Reliability Surcharge</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Heating Degree Day</w:t>
      </w:r>
      <w:r>
        <w:rPr>
          <w:sz w:val="20"/>
          <w:szCs w:val="20"/>
          <w:color w:val="auto"/>
        </w:rPr>
        <w:tab/>
      </w:r>
      <w:r>
        <w:rPr>
          <w:rFonts w:ascii="Arial" w:cs="Arial" w:eastAsia="Arial" w:hAnsi="Arial"/>
          <w:sz w:val="16"/>
          <w:szCs w:val="16"/>
          <w:color w:val="auto"/>
        </w:rPr>
        <w:t>A heating degree day is equivalent to each degree that the average of the high and the low temperatures for a</w:t>
      </w:r>
    </w:p>
    <w:p>
      <w:pPr>
        <w:spacing w:after="0" w:line="23" w:lineRule="exact"/>
        <w:rPr>
          <w:sz w:val="20"/>
          <w:szCs w:val="20"/>
          <w:color w:val="auto"/>
        </w:rPr>
      </w:pPr>
    </w:p>
    <w:p>
      <w:pPr>
        <w:ind w:left="3320" w:right="20"/>
        <w:spacing w:after="0" w:line="254" w:lineRule="auto"/>
        <w:rPr>
          <w:sz w:val="20"/>
          <w:szCs w:val="20"/>
          <w:color w:val="auto"/>
        </w:rPr>
      </w:pPr>
      <w:r>
        <w:rPr>
          <w:rFonts w:ascii="Arial" w:cs="Arial" w:eastAsia="Arial" w:hAnsi="Arial"/>
          <w:sz w:val="18"/>
          <w:szCs w:val="18"/>
          <w:color w:val="auto"/>
        </w:rPr>
        <w:t>day is below 65 degrees. The colder the climate, the greater the number of heating degree days. Heating degree days are used in the utility industry to measure the relative coldness of weather and to compare relative temperatures between one geographic area and another. Normal degree days are based on the National Weather Service data for selected locations over a 30-year average.</w:t>
      </w:r>
    </w:p>
    <w:p>
      <w:pPr>
        <w:spacing w:after="0" w:line="28"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Iowa Gas</w:t>
      </w:r>
      <w:r>
        <w:rPr>
          <w:sz w:val="20"/>
          <w:szCs w:val="20"/>
          <w:color w:val="auto"/>
        </w:rPr>
        <w:tab/>
      </w:r>
      <w:r>
        <w:rPr>
          <w:rFonts w:ascii="Arial" w:cs="Arial" w:eastAsia="Arial" w:hAnsi="Arial"/>
          <w:sz w:val="17"/>
          <w:szCs w:val="17"/>
          <w:color w:val="auto"/>
        </w:rPr>
        <w:t>Black Hills Iowa Gas Utility Company, LLC, a direct, wholly-owned subsidiary of Black Hills Utility</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Holdings (doing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IPP</w:t>
      </w:r>
      <w:r>
        <w:rPr>
          <w:sz w:val="20"/>
          <w:szCs w:val="20"/>
          <w:color w:val="auto"/>
        </w:rPr>
        <w:tab/>
      </w:r>
      <w:r>
        <w:rPr>
          <w:rFonts w:ascii="Arial" w:cs="Arial" w:eastAsia="Arial" w:hAnsi="Arial"/>
          <w:sz w:val="18"/>
          <w:szCs w:val="18"/>
          <w:color w:val="auto"/>
        </w:rPr>
        <w:t>Independent power producer</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IRS</w:t>
      </w:r>
      <w:r>
        <w:rPr>
          <w:sz w:val="20"/>
          <w:szCs w:val="20"/>
          <w:color w:val="auto"/>
        </w:rPr>
        <w:tab/>
      </w:r>
      <w:r>
        <w:rPr>
          <w:rFonts w:ascii="Arial" w:cs="Arial" w:eastAsia="Arial" w:hAnsi="Arial"/>
          <w:sz w:val="18"/>
          <w:szCs w:val="18"/>
          <w:color w:val="auto"/>
        </w:rPr>
        <w:t>United States Internal Revenue Service</w:t>
      </w:r>
    </w:p>
    <w:p>
      <w:pPr>
        <w:sectPr>
          <w:pgSz w:w="11900" w:h="16838" w:orient="portrait"/>
          <w:cols w:equalWidth="0" w:num="1">
            <w:col w:w="11340"/>
          </w:cols>
          <w:pgMar w:left="280" w:top="746" w:right="27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40"/>
          </w:cols>
          <w:pgMar w:left="280" w:top="746" w:right="279" w:bottom="1440" w:gutter="0" w:footer="0" w:header="0"/>
          <w:type w:val="continuous"/>
        </w:sectPr>
      </w:pPr>
    </w:p>
    <w:bookmarkStart w:id="4" w:name="page5"/>
    <w:bookmarkEnd w:id="4"/>
    <w:p>
      <w:pPr>
        <w:spacing w:after="0"/>
        <w:tabs>
          <w:tab w:leader="none" w:pos="3300" w:val="left"/>
        </w:tabs>
        <w:rPr>
          <w:sz w:val="20"/>
          <w:szCs w:val="20"/>
          <w:color w:val="auto"/>
        </w:rPr>
      </w:pPr>
      <w:r>
        <w:rPr>
          <w:rFonts w:ascii="Arial" w:cs="Arial" w:eastAsia="Arial" w:hAnsi="Arial"/>
          <w:sz w:val="18"/>
          <w:szCs w:val="18"/>
          <w:color w:val="auto"/>
        </w:rPr>
        <w:t>Kansas Gas</w:t>
      </w:r>
      <w:r>
        <w:rPr>
          <w:sz w:val="20"/>
          <w:szCs w:val="20"/>
          <w:color w:val="auto"/>
        </w:rPr>
        <w:tab/>
      </w:r>
      <w:r>
        <w:rPr>
          <w:rFonts w:ascii="Arial" w:cs="Arial" w:eastAsia="Arial" w:hAnsi="Arial"/>
          <w:sz w:val="17"/>
          <w:szCs w:val="17"/>
          <w:color w:val="auto"/>
        </w:rPr>
        <w:t>Black Hills Kansas Gas Utility Company, LLC, a direct, wholly-owned subsidiary of Black Hills Utility</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Holdings (doing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KCC</w:t>
      </w:r>
      <w:r>
        <w:rPr>
          <w:sz w:val="20"/>
          <w:szCs w:val="20"/>
          <w:color w:val="auto"/>
        </w:rPr>
        <w:tab/>
      </w:r>
      <w:r>
        <w:rPr>
          <w:rFonts w:ascii="Arial" w:cs="Arial" w:eastAsia="Arial" w:hAnsi="Arial"/>
          <w:sz w:val="18"/>
          <w:szCs w:val="18"/>
          <w:color w:val="auto"/>
        </w:rPr>
        <w:t>Kansas Corporation Commission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kV</w:t>
      </w:r>
      <w:r>
        <w:rPr>
          <w:sz w:val="20"/>
          <w:szCs w:val="20"/>
          <w:color w:val="auto"/>
        </w:rPr>
        <w:tab/>
      </w:r>
      <w:r>
        <w:rPr>
          <w:rFonts w:ascii="Arial" w:cs="Arial" w:eastAsia="Arial" w:hAnsi="Arial"/>
          <w:sz w:val="18"/>
          <w:szCs w:val="18"/>
          <w:color w:val="auto"/>
        </w:rPr>
        <w:t>Kilovolt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LIBOR</w:t>
      </w:r>
      <w:r>
        <w:rPr>
          <w:sz w:val="20"/>
          <w:szCs w:val="20"/>
          <w:color w:val="auto"/>
        </w:rPr>
        <w:tab/>
      </w:r>
      <w:r>
        <w:rPr>
          <w:rFonts w:ascii="Arial" w:cs="Arial" w:eastAsia="Arial" w:hAnsi="Arial"/>
          <w:sz w:val="18"/>
          <w:szCs w:val="18"/>
          <w:color w:val="auto"/>
        </w:rPr>
        <w:t>London Interbank Offered Rate</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LOE</w:t>
      </w:r>
      <w:r>
        <w:rPr>
          <w:sz w:val="20"/>
          <w:szCs w:val="20"/>
          <w:color w:val="auto"/>
        </w:rPr>
        <w:tab/>
      </w:r>
      <w:r>
        <w:rPr>
          <w:rFonts w:ascii="Arial" w:cs="Arial" w:eastAsia="Arial" w:hAnsi="Arial"/>
          <w:sz w:val="18"/>
          <w:szCs w:val="18"/>
          <w:color w:val="auto"/>
        </w:rPr>
        <w:t>Lease Operating Expense</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Mcf</w:t>
      </w:r>
      <w:r>
        <w:rPr>
          <w:sz w:val="20"/>
          <w:szCs w:val="20"/>
          <w:color w:val="auto"/>
        </w:rPr>
        <w:tab/>
      </w:r>
      <w:r>
        <w:rPr>
          <w:rFonts w:ascii="Arial" w:cs="Arial" w:eastAsia="Arial" w:hAnsi="Arial"/>
          <w:sz w:val="18"/>
          <w:szCs w:val="18"/>
          <w:color w:val="auto"/>
        </w:rPr>
        <w:t>Thousand cubic feet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Mcfe</w:t>
      </w:r>
      <w:r>
        <w:rPr>
          <w:sz w:val="20"/>
          <w:szCs w:val="20"/>
          <w:color w:val="auto"/>
        </w:rPr>
        <w:tab/>
      </w:r>
      <w:r>
        <w:rPr>
          <w:rFonts w:ascii="Arial" w:cs="Arial" w:eastAsia="Arial" w:hAnsi="Arial"/>
          <w:sz w:val="18"/>
          <w:szCs w:val="18"/>
          <w:color w:val="auto"/>
        </w:rPr>
        <w:t>Thousand cubic feet equivalent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MMBtu</w:t>
      </w:r>
      <w:r>
        <w:rPr>
          <w:sz w:val="20"/>
          <w:szCs w:val="20"/>
          <w:color w:val="auto"/>
        </w:rPr>
        <w:tab/>
      </w:r>
      <w:r>
        <w:rPr>
          <w:rFonts w:ascii="Arial" w:cs="Arial" w:eastAsia="Arial" w:hAnsi="Arial"/>
          <w:sz w:val="18"/>
          <w:szCs w:val="18"/>
          <w:color w:val="auto"/>
        </w:rPr>
        <w:t>Million British thermal units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Moody’s</w:t>
      </w:r>
      <w:r>
        <w:rPr>
          <w:sz w:val="20"/>
          <w:szCs w:val="20"/>
          <w:color w:val="auto"/>
        </w:rPr>
        <w:tab/>
      </w:r>
      <w:r>
        <w:rPr>
          <w:rFonts w:ascii="Arial" w:cs="Arial" w:eastAsia="Arial" w:hAnsi="Arial"/>
          <w:sz w:val="18"/>
          <w:szCs w:val="18"/>
          <w:color w:val="auto"/>
        </w:rPr>
        <w:t>Moody’s Investors Service, Inc.</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MRP</w:t>
      </w:r>
      <w:r>
        <w:rPr>
          <w:sz w:val="20"/>
          <w:szCs w:val="20"/>
          <w:color w:val="auto"/>
        </w:rPr>
        <w:tab/>
      </w:r>
      <w:r>
        <w:rPr>
          <w:rFonts w:ascii="Arial" w:cs="Arial" w:eastAsia="Arial" w:hAnsi="Arial"/>
          <w:sz w:val="18"/>
          <w:szCs w:val="18"/>
          <w:color w:val="auto"/>
        </w:rPr>
        <w:t>Meter Relocation Program</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MW</w:t>
      </w:r>
      <w:r>
        <w:rPr>
          <w:sz w:val="20"/>
          <w:szCs w:val="20"/>
          <w:color w:val="auto"/>
        </w:rPr>
        <w:tab/>
      </w:r>
      <w:r>
        <w:rPr>
          <w:rFonts w:ascii="Arial" w:cs="Arial" w:eastAsia="Arial" w:hAnsi="Arial"/>
          <w:sz w:val="18"/>
          <w:szCs w:val="18"/>
          <w:color w:val="auto"/>
        </w:rPr>
        <w:t>Megawatts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MWh</w:t>
      </w:r>
      <w:r>
        <w:rPr>
          <w:sz w:val="20"/>
          <w:szCs w:val="20"/>
          <w:color w:val="auto"/>
        </w:rPr>
        <w:tab/>
      </w:r>
      <w:r>
        <w:rPr>
          <w:rFonts w:ascii="Arial" w:cs="Arial" w:eastAsia="Arial" w:hAnsi="Arial"/>
          <w:sz w:val="18"/>
          <w:szCs w:val="18"/>
          <w:color w:val="auto"/>
        </w:rPr>
        <w:t>Megawatt-hours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Nebraska Gas</w:t>
      </w:r>
      <w:r>
        <w:rPr>
          <w:sz w:val="20"/>
          <w:szCs w:val="20"/>
          <w:color w:val="auto"/>
        </w:rPr>
        <w:tab/>
      </w:r>
      <w:r>
        <w:rPr>
          <w:rFonts w:ascii="Arial" w:cs="Arial" w:eastAsia="Arial" w:hAnsi="Arial"/>
          <w:sz w:val="17"/>
          <w:szCs w:val="17"/>
          <w:color w:val="auto"/>
        </w:rPr>
        <w:t>Black Hills Nebraska Gas Utility Company, LLC, a direct, wholly-owned subsidiary of Black Hills Utility</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Holdings (doing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NGL</w:t>
      </w:r>
      <w:r>
        <w:rPr>
          <w:sz w:val="20"/>
          <w:szCs w:val="20"/>
          <w:color w:val="auto"/>
        </w:rPr>
        <w:tab/>
      </w:r>
      <w:r>
        <w:rPr>
          <w:rFonts w:ascii="Arial" w:cs="Arial" w:eastAsia="Arial" w:hAnsi="Arial"/>
          <w:sz w:val="18"/>
          <w:szCs w:val="18"/>
          <w:color w:val="auto"/>
        </w:rPr>
        <w:t>Natural Gas Liquids (1 barrel equals 6 Mcfe)</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NOL</w:t>
      </w:r>
      <w:r>
        <w:rPr>
          <w:sz w:val="20"/>
          <w:szCs w:val="20"/>
          <w:color w:val="auto"/>
        </w:rPr>
        <w:tab/>
      </w:r>
      <w:r>
        <w:rPr>
          <w:rFonts w:ascii="Arial" w:cs="Arial" w:eastAsia="Arial" w:hAnsi="Arial"/>
          <w:sz w:val="18"/>
          <w:szCs w:val="18"/>
          <w:color w:val="auto"/>
        </w:rPr>
        <w:t>Net Operating Loss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NPSC</w:t>
      </w:r>
      <w:r>
        <w:rPr>
          <w:sz w:val="20"/>
          <w:szCs w:val="20"/>
          <w:color w:val="auto"/>
        </w:rPr>
        <w:tab/>
      </w:r>
      <w:r>
        <w:rPr>
          <w:rFonts w:ascii="Arial" w:cs="Arial" w:eastAsia="Arial" w:hAnsi="Arial"/>
          <w:sz w:val="18"/>
          <w:szCs w:val="18"/>
          <w:color w:val="auto"/>
        </w:rPr>
        <w:t>Nebraska Public Service Commission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NYMEX</w:t>
      </w:r>
      <w:r>
        <w:rPr>
          <w:sz w:val="20"/>
          <w:szCs w:val="20"/>
          <w:color w:val="auto"/>
        </w:rPr>
        <w:tab/>
      </w:r>
      <w:r>
        <w:rPr>
          <w:rFonts w:ascii="Arial" w:cs="Arial" w:eastAsia="Arial" w:hAnsi="Arial"/>
          <w:sz w:val="18"/>
          <w:szCs w:val="18"/>
          <w:color w:val="auto"/>
        </w:rPr>
        <w:t>New York Mercantile Exchange</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NYSE</w:t>
      </w:r>
      <w:r>
        <w:rPr>
          <w:sz w:val="20"/>
          <w:szCs w:val="20"/>
          <w:color w:val="auto"/>
        </w:rPr>
        <w:tab/>
      </w:r>
      <w:r>
        <w:rPr>
          <w:rFonts w:ascii="Arial" w:cs="Arial" w:eastAsia="Arial" w:hAnsi="Arial"/>
          <w:sz w:val="18"/>
          <w:szCs w:val="18"/>
          <w:color w:val="auto"/>
        </w:rPr>
        <w:t>New York Stock Exchange</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Peak View Wind Project</w:t>
      </w:r>
      <w:r>
        <w:rPr>
          <w:sz w:val="20"/>
          <w:szCs w:val="20"/>
          <w:color w:val="auto"/>
        </w:rPr>
        <w:tab/>
      </w:r>
      <w:r>
        <w:rPr>
          <w:rFonts w:ascii="Arial" w:cs="Arial" w:eastAsia="Arial" w:hAnsi="Arial"/>
          <w:sz w:val="16"/>
          <w:szCs w:val="16"/>
          <w:color w:val="auto"/>
        </w:rPr>
        <w:t>$109 million 60 MW wind generating project for Colorado Electric, adjacent to Busch Ranch wind farm</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PPA</w:t>
      </w:r>
      <w:r>
        <w:rPr>
          <w:sz w:val="20"/>
          <w:szCs w:val="20"/>
          <w:color w:val="auto"/>
        </w:rPr>
        <w:tab/>
      </w:r>
      <w:r>
        <w:rPr>
          <w:rFonts w:ascii="Arial" w:cs="Arial" w:eastAsia="Arial" w:hAnsi="Arial"/>
          <w:sz w:val="18"/>
          <w:szCs w:val="18"/>
          <w:color w:val="auto"/>
        </w:rPr>
        <w:t>Power Purchase Agreement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Revolving Credit Facility</w:t>
      </w:r>
      <w:r>
        <w:rPr>
          <w:sz w:val="20"/>
          <w:szCs w:val="20"/>
          <w:color w:val="auto"/>
        </w:rPr>
        <w:tab/>
      </w:r>
      <w:r>
        <w:rPr>
          <w:rFonts w:ascii="Arial" w:cs="Arial" w:eastAsia="Arial" w:hAnsi="Arial"/>
          <w:sz w:val="16"/>
          <w:szCs w:val="16"/>
          <w:color w:val="auto"/>
        </w:rPr>
        <w:t>Our $750 million credit facility used to fund working capital needs, letters of credit and other corporate</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purposes, which matures in 2021.</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7"/>
          <w:szCs w:val="17"/>
          <w:color w:val="auto"/>
        </w:rPr>
        <w:t>RMNG</w:t>
      </w:r>
      <w:r>
        <w:rPr>
          <w:sz w:val="20"/>
          <w:szCs w:val="20"/>
          <w:color w:val="auto"/>
        </w:rPr>
        <w:tab/>
      </w:r>
      <w:r>
        <w:rPr>
          <w:rFonts w:ascii="Arial" w:cs="Arial" w:eastAsia="Arial" w:hAnsi="Arial"/>
          <w:sz w:val="17"/>
          <w:szCs w:val="17"/>
          <w:color w:val="auto"/>
        </w:rPr>
        <w:t>Rocky Mountain Natural Gas, a regulated gas utility acquired in the SourceGas Acquisition that provides</w:t>
      </w:r>
    </w:p>
    <w:p>
      <w:pPr>
        <w:spacing w:after="0" w:line="35" w:lineRule="exact"/>
        <w:rPr>
          <w:sz w:val="20"/>
          <w:szCs w:val="20"/>
          <w:color w:val="auto"/>
        </w:rPr>
      </w:pPr>
    </w:p>
    <w:p>
      <w:pPr>
        <w:ind w:left="3320" w:right="480"/>
        <w:spacing w:after="0" w:line="261" w:lineRule="auto"/>
        <w:rPr>
          <w:sz w:val="20"/>
          <w:szCs w:val="20"/>
          <w:color w:val="auto"/>
        </w:rPr>
      </w:pPr>
      <w:r>
        <w:rPr>
          <w:rFonts w:ascii="Arial" w:cs="Arial" w:eastAsia="Arial" w:hAnsi="Arial"/>
          <w:sz w:val="18"/>
          <w:szCs w:val="18"/>
          <w:color w:val="auto"/>
        </w:rPr>
        <w:t>regulated transmission and wholesale natural gas service to Black Hills Gas in western Colorado (doing business as Black Hills Energy)</w:t>
      </w:r>
    </w:p>
    <w:p>
      <w:pPr>
        <w:spacing w:after="0" w:line="2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RSNs</w:t>
      </w:r>
      <w:r>
        <w:rPr>
          <w:sz w:val="20"/>
          <w:szCs w:val="20"/>
          <w:color w:val="auto"/>
        </w:rPr>
        <w:tab/>
      </w:r>
      <w:r>
        <w:rPr>
          <w:rFonts w:ascii="Arial" w:cs="Arial" w:eastAsia="Arial" w:hAnsi="Arial"/>
          <w:sz w:val="18"/>
          <w:szCs w:val="18"/>
          <w:color w:val="auto"/>
        </w:rPr>
        <w:t>Remarketable junior subordinated notes, issued on November 23, 2015</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SDPUC</w:t>
      </w:r>
      <w:r>
        <w:rPr>
          <w:sz w:val="20"/>
          <w:szCs w:val="20"/>
          <w:color w:val="auto"/>
        </w:rPr>
        <w:tab/>
      </w:r>
      <w:r>
        <w:rPr>
          <w:rFonts w:ascii="Arial" w:cs="Arial" w:eastAsia="Arial" w:hAnsi="Arial"/>
          <w:sz w:val="18"/>
          <w:szCs w:val="18"/>
          <w:color w:val="auto"/>
        </w:rPr>
        <w:t>South Dakota Public Utilities Commission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SEC</w:t>
      </w:r>
      <w:r>
        <w:rPr>
          <w:sz w:val="20"/>
          <w:szCs w:val="20"/>
          <w:color w:val="auto"/>
        </w:rPr>
        <w:tab/>
      </w:r>
      <w:r>
        <w:rPr>
          <w:rFonts w:ascii="Arial" w:cs="Arial" w:eastAsia="Arial" w:hAnsi="Arial"/>
          <w:sz w:val="18"/>
          <w:szCs w:val="18"/>
          <w:color w:val="auto"/>
        </w:rPr>
        <w:t>U. S. Securities and Exchange Commission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7"/>
          <w:szCs w:val="17"/>
          <w:color w:val="auto"/>
        </w:rPr>
        <w:t>SourceGas</w:t>
      </w:r>
      <w:r>
        <w:rPr>
          <w:sz w:val="20"/>
          <w:szCs w:val="20"/>
          <w:color w:val="auto"/>
        </w:rPr>
        <w:tab/>
      </w:r>
      <w:r>
        <w:rPr>
          <w:rFonts w:ascii="Arial" w:cs="Arial" w:eastAsia="Arial" w:hAnsi="Arial"/>
          <w:sz w:val="17"/>
          <w:szCs w:val="17"/>
          <w:color w:val="auto"/>
        </w:rPr>
        <w:t>SourceGas Holdings LLC and its subsidiaries, a gas utility owned by funds managed by Alinda Capital</w:t>
      </w:r>
    </w:p>
    <w:p>
      <w:pPr>
        <w:spacing w:after="0" w:line="35" w:lineRule="exact"/>
        <w:rPr>
          <w:sz w:val="20"/>
          <w:szCs w:val="20"/>
          <w:color w:val="auto"/>
        </w:rPr>
      </w:pPr>
    </w:p>
    <w:p>
      <w:pPr>
        <w:ind w:left="3320" w:right="60"/>
        <w:spacing w:after="0" w:line="307" w:lineRule="auto"/>
        <w:rPr>
          <w:sz w:val="20"/>
          <w:szCs w:val="20"/>
          <w:color w:val="auto"/>
        </w:rPr>
      </w:pPr>
      <w:r>
        <w:rPr>
          <w:rFonts w:ascii="Arial" w:cs="Arial" w:eastAsia="Arial" w:hAnsi="Arial"/>
          <w:sz w:val="16"/>
          <w:szCs w:val="16"/>
          <w:color w:val="auto"/>
        </w:rPr>
        <w:t>Partners and GE Energy Financial Services, a unit of General Electric Co. (NYSE:GE) that was acquired on February 12, 2016, and is now named Black Hills Gas Holdings, LLC (doing business as Black Hills Energy)</w:t>
      </w:r>
    </w:p>
    <w:p>
      <w:pPr>
        <w:spacing w:after="0" w:line="1"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SourceGas Acquisition</w:t>
      </w:r>
      <w:r>
        <w:rPr>
          <w:sz w:val="20"/>
          <w:szCs w:val="20"/>
          <w:color w:val="auto"/>
        </w:rPr>
        <w:tab/>
      </w:r>
      <w:r>
        <w:rPr>
          <w:rFonts w:ascii="Arial" w:cs="Arial" w:eastAsia="Arial" w:hAnsi="Arial"/>
          <w:sz w:val="17"/>
          <w:szCs w:val="17"/>
          <w:color w:val="auto"/>
        </w:rPr>
        <w:t>The acquisition of SourceGas Holdings, LLC by Black Hills Utility Holdings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SourceGas Transaction</w:t>
      </w:r>
      <w:r>
        <w:rPr>
          <w:sz w:val="20"/>
          <w:szCs w:val="20"/>
          <w:color w:val="auto"/>
        </w:rPr>
        <w:tab/>
      </w:r>
      <w:r>
        <w:rPr>
          <w:rFonts w:ascii="Arial" w:cs="Arial" w:eastAsia="Arial" w:hAnsi="Arial"/>
          <w:sz w:val="16"/>
          <w:szCs w:val="16"/>
          <w:color w:val="auto"/>
        </w:rPr>
        <w:t>On February 12, 2016, Black Hills Utility Holdings acquired SourceGas pursuant to a purchase and sale</w:t>
      </w:r>
    </w:p>
    <w:p>
      <w:pPr>
        <w:spacing w:after="0" w:line="23" w:lineRule="exact"/>
        <w:rPr>
          <w:sz w:val="20"/>
          <w:szCs w:val="20"/>
          <w:color w:val="auto"/>
        </w:rPr>
      </w:pPr>
    </w:p>
    <w:p>
      <w:pPr>
        <w:ind w:left="3320" w:right="40"/>
        <w:spacing w:after="0" w:line="261" w:lineRule="auto"/>
        <w:rPr>
          <w:sz w:val="20"/>
          <w:szCs w:val="20"/>
          <w:color w:val="auto"/>
        </w:rPr>
      </w:pPr>
      <w:r>
        <w:rPr>
          <w:rFonts w:ascii="Arial" w:cs="Arial" w:eastAsia="Arial" w:hAnsi="Arial"/>
          <w:sz w:val="18"/>
          <w:szCs w:val="18"/>
          <w:color w:val="auto"/>
        </w:rPr>
        <w:t>agreement executed on July 12, 2015 for approximately $1.89 billion, which included the assumption of $760 million in debt at closing.</w:t>
      </w:r>
    </w:p>
    <w:p>
      <w:pPr>
        <w:spacing w:after="0" w:line="2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S&amp;P</w:t>
      </w:r>
      <w:r>
        <w:rPr>
          <w:sz w:val="20"/>
          <w:szCs w:val="20"/>
          <w:color w:val="auto"/>
        </w:rPr>
        <w:tab/>
      </w:r>
      <w:r>
        <w:rPr>
          <w:rFonts w:ascii="Arial" w:cs="Arial" w:eastAsia="Arial" w:hAnsi="Arial"/>
          <w:sz w:val="18"/>
          <w:szCs w:val="18"/>
          <w:color w:val="auto"/>
        </w:rPr>
        <w:t>Standard and Poor’s, a division of The McGraw-Hill Companies, Inc.</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South Dakota Electric</w:t>
      </w:r>
      <w:r>
        <w:rPr>
          <w:sz w:val="20"/>
          <w:szCs w:val="20"/>
          <w:color w:val="auto"/>
        </w:rPr>
        <w:tab/>
      </w:r>
      <w:r>
        <w:rPr>
          <w:rFonts w:ascii="Arial" w:cs="Arial" w:eastAsia="Arial" w:hAnsi="Arial"/>
          <w:sz w:val="16"/>
          <w:szCs w:val="16"/>
          <w:color w:val="auto"/>
        </w:rPr>
        <w:t>Includes Black Hills Power operations in South Dakota, Wyoming and Montana</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SSIR</w:t>
      </w:r>
      <w:r>
        <w:rPr>
          <w:sz w:val="20"/>
          <w:szCs w:val="20"/>
          <w:color w:val="auto"/>
        </w:rPr>
        <w:tab/>
      </w:r>
      <w:r>
        <w:rPr>
          <w:rFonts w:ascii="Arial" w:cs="Arial" w:eastAsia="Arial" w:hAnsi="Arial"/>
          <w:sz w:val="18"/>
          <w:szCs w:val="18"/>
          <w:color w:val="auto"/>
        </w:rPr>
        <w:t>System Safety and Integrity Rider</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6"/>
          <w:szCs w:val="16"/>
          <w:color w:val="auto"/>
        </w:rPr>
        <w:t>TCA</w:t>
      </w:r>
      <w:r>
        <w:rPr>
          <w:sz w:val="20"/>
          <w:szCs w:val="20"/>
          <w:color w:val="auto"/>
        </w:rPr>
        <w:tab/>
      </w:r>
      <w:r>
        <w:rPr>
          <w:rFonts w:ascii="Arial" w:cs="Arial" w:eastAsia="Arial" w:hAnsi="Arial"/>
          <w:sz w:val="16"/>
          <w:szCs w:val="16"/>
          <w:color w:val="auto"/>
        </w:rPr>
        <w:t>Transmission Cost Adjustment -- adjustments passed through to the customer based on transmission costs that</w:t>
      </w:r>
    </w:p>
    <w:p>
      <w:pPr>
        <w:spacing w:after="0" w:line="46"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are higher or lower than the costs approved in the rate case.</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VIE</w:t>
      </w:r>
      <w:r>
        <w:rPr>
          <w:sz w:val="20"/>
          <w:szCs w:val="20"/>
          <w:color w:val="auto"/>
        </w:rPr>
        <w:tab/>
      </w:r>
      <w:r>
        <w:rPr>
          <w:rFonts w:ascii="Arial" w:cs="Arial" w:eastAsia="Arial" w:hAnsi="Arial"/>
          <w:sz w:val="18"/>
          <w:szCs w:val="18"/>
          <w:color w:val="auto"/>
        </w:rPr>
        <w:t>Variable interest entity</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Winter Storm Atlas</w:t>
      </w:r>
      <w:r>
        <w:rPr>
          <w:sz w:val="20"/>
          <w:szCs w:val="20"/>
          <w:color w:val="auto"/>
        </w:rPr>
        <w:tab/>
      </w:r>
      <w:r>
        <w:rPr>
          <w:rFonts w:ascii="Arial" w:cs="Arial" w:eastAsia="Arial" w:hAnsi="Arial"/>
          <w:sz w:val="16"/>
          <w:szCs w:val="16"/>
          <w:color w:val="auto"/>
        </w:rPr>
        <w:t>An October 2013 blizzard that impacted South Dakota Electric. It was the second most severe blizzard in</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Rapid City’s history.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7"/>
          <w:szCs w:val="17"/>
          <w:color w:val="auto"/>
        </w:rPr>
        <w:t>WRDC</w:t>
      </w:r>
      <w:r>
        <w:rPr>
          <w:sz w:val="20"/>
          <w:szCs w:val="20"/>
          <w:color w:val="auto"/>
        </w:rPr>
        <w:tab/>
      </w:r>
      <w:r>
        <w:rPr>
          <w:rFonts w:ascii="Arial" w:cs="Arial" w:eastAsia="Arial" w:hAnsi="Arial"/>
          <w:sz w:val="17"/>
          <w:szCs w:val="17"/>
          <w:color w:val="auto"/>
        </w:rPr>
        <w:t>Wyodak Resources Development Corp., a direct, wholly-owned subsidiary of Black Hills Non-regulated</w:t>
      </w:r>
    </w:p>
    <w:p>
      <w:pPr>
        <w:spacing w:after="0" w:line="3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Holdings</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Wyodak Plant</w:t>
      </w:r>
      <w:r>
        <w:rPr>
          <w:sz w:val="20"/>
          <w:szCs w:val="20"/>
          <w:color w:val="auto"/>
        </w:rPr>
        <w:tab/>
      </w:r>
      <w:r>
        <w:rPr>
          <w:rFonts w:ascii="Arial" w:cs="Arial" w:eastAsia="Arial" w:hAnsi="Arial"/>
          <w:sz w:val="16"/>
          <w:szCs w:val="16"/>
          <w:color w:val="auto"/>
        </w:rPr>
        <w:t>Wyodak, a 362 MW mine-mouth coal-fired plant in Gillette, Wyoming, is owned 80% by Pacificorp and 20%</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by Black Hills Energy South Dakota. Our WRDC mine supplies all of the fuel for the plant.</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Wyoming Electric</w:t>
      </w:r>
      <w:r>
        <w:rPr>
          <w:sz w:val="20"/>
          <w:szCs w:val="20"/>
          <w:color w:val="auto"/>
        </w:rPr>
        <w:tab/>
      </w:r>
      <w:r>
        <w:rPr>
          <w:rFonts w:ascii="Arial" w:cs="Arial" w:eastAsia="Arial" w:hAnsi="Arial"/>
          <w:sz w:val="16"/>
          <w:szCs w:val="16"/>
          <w:color w:val="auto"/>
        </w:rPr>
        <w:t>Includes Cheyenne Light’s electric utility operations</w:t>
      </w:r>
    </w:p>
    <w:p>
      <w:pPr>
        <w:spacing w:after="0" w:line="27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Wyoming Gas</w:t>
      </w:r>
      <w:r>
        <w:rPr>
          <w:sz w:val="20"/>
          <w:szCs w:val="20"/>
          <w:color w:val="auto"/>
        </w:rPr>
        <w:tab/>
      </w:r>
      <w:r>
        <w:rPr>
          <w:rFonts w:ascii="Arial" w:cs="Arial" w:eastAsia="Arial" w:hAnsi="Arial"/>
          <w:sz w:val="16"/>
          <w:szCs w:val="16"/>
          <w:color w:val="auto"/>
        </w:rPr>
        <w:t>Includes Cheyenne Light’s natural gas utility operations, as well as the acquired SourceGas utility Black Hills</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Gas Distribution’s Wyoming gas operations</w:t>
      </w:r>
    </w:p>
    <w:p>
      <w:pPr>
        <w:sectPr>
          <w:pgSz w:w="11900" w:h="16838" w:orient="portrait"/>
          <w:cols w:equalWidth="0" w:num="1">
            <w:col w:w="11260"/>
          </w:cols>
          <w:pgMar w:left="280" w:top="746" w:right="359" w:bottom="1440" w:gutter="0" w:footer="0" w:header="0"/>
        </w:sect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280" w:top="746" w:right="3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gridSpan w:val="3"/>
          </w:tcPr>
          <w:p>
            <w:pPr>
              <w:jc w:val="right"/>
              <w:ind w:right="71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8"/>
                <w:szCs w:val="18"/>
                <w:color w:val="auto"/>
              </w:rPr>
            </w:pPr>
          </w:p>
        </w:tc>
        <w:tc>
          <w:tcPr>
            <w:tcW w:w="2820" w:type="dxa"/>
            <w:vAlign w:val="bottom"/>
            <w:gridSpan w:val="3"/>
          </w:tcPr>
          <w:p>
            <w:pPr>
              <w:jc w:val="right"/>
              <w:ind w:right="750"/>
              <w:spacing w:after="0"/>
              <w:rPr>
                <w:sz w:val="20"/>
                <w:szCs w:val="20"/>
                <w:color w:val="auto"/>
              </w:rPr>
            </w:pPr>
            <w:r>
              <w:rPr>
                <w:rFonts w:ascii="Arial" w:cs="Arial" w:eastAsia="Arial" w:hAnsi="Arial"/>
                <w:sz w:val="18"/>
                <w:szCs w:val="18"/>
                <w:color w:val="auto"/>
              </w:rPr>
              <w:t>Nine Months Ended</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(unaudited)</w:t>
            </w:r>
          </w:p>
        </w:tc>
        <w:tc>
          <w:tcPr>
            <w:tcW w:w="360" w:type="dxa"/>
            <w:vAlign w:val="bottom"/>
          </w:tcPr>
          <w:p>
            <w:pPr>
              <w:spacing w:after="0"/>
              <w:rPr>
                <w:sz w:val="20"/>
                <w:szCs w:val="20"/>
                <w:color w:val="auto"/>
              </w:rPr>
            </w:pPr>
          </w:p>
        </w:tc>
        <w:tc>
          <w:tcPr>
            <w:tcW w:w="2800" w:type="dxa"/>
            <w:vAlign w:val="bottom"/>
            <w:gridSpan w:val="3"/>
          </w:tcPr>
          <w:p>
            <w:pPr>
              <w:jc w:val="right"/>
              <w:ind w:right="950"/>
              <w:spacing w:after="0"/>
              <w:rPr>
                <w:sz w:val="20"/>
                <w:szCs w:val="20"/>
                <w:color w:val="auto"/>
              </w:rPr>
            </w:pPr>
            <w:r>
              <w:rPr>
                <w:rFonts w:ascii="Arial" w:cs="Arial" w:eastAsia="Arial" w:hAnsi="Arial"/>
                <w:sz w:val="18"/>
                <w:szCs w:val="18"/>
                <w:color w:val="auto"/>
              </w:rPr>
              <w:t>September 30,</w:t>
            </w:r>
          </w:p>
        </w:tc>
        <w:tc>
          <w:tcPr>
            <w:tcW w:w="38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September 30,</w:t>
            </w:r>
          </w:p>
        </w:tc>
        <w:tc>
          <w:tcPr>
            <w:tcW w:w="1020" w:type="dxa"/>
            <w:vAlign w:val="bottom"/>
          </w:tcPr>
          <w:p>
            <w:pPr>
              <w:spacing w:after="0"/>
              <w:rPr>
                <w:sz w:val="20"/>
                <w:szCs w:val="20"/>
                <w:color w:val="auto"/>
              </w:rPr>
            </w:pPr>
          </w:p>
        </w:tc>
      </w:tr>
      <w:tr>
        <w:trPr>
          <w:trHeight w:val="270"/>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3"/>
                <w:szCs w:val="23"/>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3"/>
                <w:szCs w:val="23"/>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580" w:type="dxa"/>
            <w:vAlign w:val="bottom"/>
          </w:tcPr>
          <w:p>
            <w:pPr>
              <w:spacing w:after="0"/>
              <w:rPr>
                <w:sz w:val="23"/>
                <w:szCs w:val="23"/>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color w:val="auto"/>
                <w:w w:val="94"/>
              </w:rPr>
              <w:t>2016</w:t>
            </w:r>
          </w:p>
        </w:tc>
      </w:tr>
      <w:tr>
        <w:trPr>
          <w:trHeight w:val="27"/>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3"/>
          </w:tcPr>
          <w:p>
            <w:pPr>
              <w:jc w:val="right"/>
              <w:ind w:right="10"/>
              <w:spacing w:after="0"/>
              <w:rPr>
                <w:sz w:val="20"/>
                <w:szCs w:val="20"/>
                <w:color w:val="auto"/>
              </w:rPr>
            </w:pPr>
            <w:r>
              <w:rPr>
                <w:rFonts w:ascii="Arial" w:cs="Arial" w:eastAsia="Arial" w:hAnsi="Arial"/>
                <w:sz w:val="18"/>
                <w:szCs w:val="18"/>
                <w:color w:val="auto"/>
                <w:w w:val="87"/>
              </w:rPr>
              <w:t>(in thousands, except per share amounts)</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11"/>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342,138</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333,786</w:t>
            </w:r>
          </w:p>
        </w:tc>
        <w:tc>
          <w:tcPr>
            <w:tcW w:w="38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1,244,119</w:t>
            </w:r>
          </w:p>
        </w:tc>
        <w:tc>
          <w:tcPr>
            <w:tcW w:w="58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1,109,186</w:t>
            </w:r>
          </w:p>
        </w:tc>
      </w:tr>
      <w:tr>
        <w:trPr>
          <w:trHeight w:val="277"/>
        </w:trPr>
        <w:tc>
          <w:tcPr>
            <w:tcW w:w="50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Fuel, purchased power and cost of natural gas sold</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86,281</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80,194</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404,222</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336,539</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114,648</w:t>
            </w:r>
          </w:p>
        </w:tc>
        <w:tc>
          <w:tcPr>
            <w:tcW w:w="1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115,103</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354,152</w:t>
            </w:r>
          </w:p>
        </w:tc>
        <w:tc>
          <w:tcPr>
            <w:tcW w:w="5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334,706</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49,434</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48,925</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146,744</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140,637</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Taxes - property, production and severance</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13,092</w:t>
            </w:r>
          </w:p>
        </w:tc>
        <w:tc>
          <w:tcPr>
            <w:tcW w:w="1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12,114</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40,804</w:t>
            </w:r>
          </w:p>
        </w:tc>
        <w:tc>
          <w:tcPr>
            <w:tcW w:w="5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36,991</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12,293</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52,286</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operating expenses</w:t>
            </w: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164</w:t>
            </w:r>
          </w:p>
        </w:tc>
        <w:tc>
          <w:tcPr>
            <w:tcW w:w="14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6,748</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3,301</w:t>
            </w:r>
          </w:p>
        </w:tc>
        <w:tc>
          <w:tcPr>
            <w:tcW w:w="5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40,730</w:t>
            </w:r>
          </w:p>
        </w:tc>
      </w:tr>
      <w:tr>
        <w:trPr>
          <w:trHeight w:val="237"/>
        </w:trPr>
        <w:tc>
          <w:tcPr>
            <w:tcW w:w="50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263,619</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275,377</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949,223</w:t>
            </w: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941,889</w:t>
            </w:r>
          </w:p>
        </w:tc>
      </w:tr>
      <w:tr>
        <w:trPr>
          <w:trHeight w:val="27"/>
        </w:trPr>
        <w:tc>
          <w:tcPr>
            <w:tcW w:w="50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0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78,519</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58,409</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294,896</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167,297</w:t>
            </w:r>
          </w:p>
        </w:tc>
      </w:tr>
      <w:tr>
        <w:trPr>
          <w:trHeight w:val="27"/>
        </w:trPr>
        <w:tc>
          <w:tcPr>
            <w:tcW w:w="50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0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Interest charges -</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r>
      <w:tr>
        <w:trPr>
          <w:trHeight w:val="229"/>
        </w:trPr>
        <w:tc>
          <w:tcPr>
            <w:tcW w:w="5020" w:type="dxa"/>
            <w:vAlign w:val="bottom"/>
          </w:tcPr>
          <w:p>
            <w:pPr>
              <w:ind w:left="280"/>
              <w:spacing w:after="0"/>
              <w:rPr>
                <w:sz w:val="20"/>
                <w:szCs w:val="20"/>
                <w:color w:val="auto"/>
              </w:rPr>
            </w:pPr>
            <w:r>
              <w:rPr>
                <w:rFonts w:ascii="Arial" w:cs="Arial" w:eastAsia="Arial" w:hAnsi="Arial"/>
                <w:sz w:val="18"/>
                <w:szCs w:val="18"/>
                <w:color w:val="auto"/>
              </w:rPr>
              <w:t>Interest expense incurred (including amortization of debt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020" w:type="dxa"/>
            <w:vAlign w:val="bottom"/>
          </w:tcPr>
          <w:p>
            <w:pPr>
              <w:ind w:left="280"/>
              <w:spacing w:after="0"/>
              <w:rPr>
                <w:sz w:val="20"/>
                <w:szCs w:val="20"/>
                <w:color w:val="auto"/>
              </w:rPr>
            </w:pPr>
            <w:r>
              <w:rPr>
                <w:rFonts w:ascii="Arial" w:cs="Arial" w:eastAsia="Arial" w:hAnsi="Arial"/>
                <w:sz w:val="18"/>
                <w:szCs w:val="18"/>
                <w:color w:val="auto"/>
              </w:rPr>
              <w:t>issuance costs, premiums and discounts)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(35,305)</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(37,306)</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(105,499)</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(103,989)</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Allowance for funds used during construction - borrowed</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753</w:t>
            </w:r>
          </w:p>
        </w:tc>
        <w:tc>
          <w:tcPr>
            <w:tcW w:w="1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860</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2,061</w:t>
            </w:r>
          </w:p>
        </w:tc>
        <w:tc>
          <w:tcPr>
            <w:tcW w:w="5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2,115</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Capitalized interest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282</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785</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402</w:t>
            </w:r>
          </w:p>
        </w:tc>
        <w:tc>
          <w:tcPr>
            <w:tcW w:w="1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912</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700</w:t>
            </w:r>
          </w:p>
        </w:tc>
        <w:tc>
          <w:tcPr>
            <w:tcW w:w="5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2,513</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Allowance for funds used during construction - equity</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1,211</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1,982</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2,900</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189</w:t>
            </w:r>
          </w:p>
        </w:tc>
        <w:tc>
          <w:tcPr>
            <w:tcW w:w="14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160</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w:t>
            </w:r>
          </w:p>
        </w:tc>
        <w:tc>
          <w:tcPr>
            <w:tcW w:w="5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801</w:t>
            </w:r>
          </w:p>
        </w:tc>
      </w:tr>
      <w:tr>
        <w:trPr>
          <w:trHeight w:val="237"/>
        </w:trPr>
        <w:tc>
          <w:tcPr>
            <w:tcW w:w="5020" w:type="dxa"/>
            <w:vAlign w:val="bottom"/>
          </w:tcPr>
          <w:p>
            <w:pPr>
              <w:ind w:left="48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(33,116)</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(33,881)</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(100,279)</w:t>
            </w: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(94,875)</w:t>
            </w:r>
          </w:p>
        </w:tc>
      </w:tr>
      <w:tr>
        <w:trPr>
          <w:trHeight w:val="27"/>
        </w:trPr>
        <w:tc>
          <w:tcPr>
            <w:tcW w:w="50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0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45,403</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24,528</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194,617</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72,422</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(13,805)</w:t>
            </w:r>
          </w:p>
        </w:tc>
        <w:tc>
          <w:tcPr>
            <w:tcW w:w="14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(6,644)</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(57,562)</w:t>
            </w:r>
          </w:p>
        </w:tc>
        <w:tc>
          <w:tcPr>
            <w:tcW w:w="5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(11,205)</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31,598</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17,884</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137,055</w:t>
            </w: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61,217</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(3,935)</w:t>
            </w:r>
          </w:p>
        </w:tc>
        <w:tc>
          <w:tcPr>
            <w:tcW w:w="14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(3,753)</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(10,674)</w:t>
            </w:r>
          </w:p>
        </w:tc>
        <w:tc>
          <w:tcPr>
            <w:tcW w:w="5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(6,415)</w:t>
            </w:r>
          </w:p>
        </w:tc>
      </w:tr>
      <w:tr>
        <w:trPr>
          <w:trHeight w:val="297"/>
        </w:trPr>
        <w:tc>
          <w:tcPr>
            <w:tcW w:w="5020" w:type="dxa"/>
            <w:vAlign w:val="bottom"/>
            <w:tcBorders>
              <w:bottom w:val="single" w:sz="8" w:color="CEFFE7"/>
            </w:tcBorders>
          </w:tcPr>
          <w:p>
            <w:pPr>
              <w:ind w:left="20"/>
              <w:spacing w:after="0"/>
              <w:rPr>
                <w:sz w:val="20"/>
                <w:szCs w:val="20"/>
                <w:color w:val="auto"/>
              </w:rPr>
            </w:pPr>
            <w:r>
              <w:rPr>
                <w:rFonts w:ascii="Arial" w:cs="Arial" w:eastAsia="Arial" w:hAnsi="Arial"/>
                <w:sz w:val="18"/>
                <w:szCs w:val="18"/>
                <w:color w:val="auto"/>
              </w:rPr>
              <w:t>Net income available for common stock</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27,663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14,131</w:t>
            </w: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126,381</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54,802</w:t>
            </w:r>
          </w:p>
        </w:tc>
      </w:tr>
      <w:tr>
        <w:trPr>
          <w:trHeight w:val="271"/>
        </w:trPr>
        <w:tc>
          <w:tcPr>
            <w:tcW w:w="502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144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580" w:type="dxa"/>
            <w:vAlign w:val="bottom"/>
            <w:shd w:val="clear" w:color="auto" w:fill="CEFFE7"/>
          </w:tcPr>
          <w:p>
            <w:pPr>
              <w:spacing w:after="0"/>
              <w:rPr>
                <w:sz w:val="23"/>
                <w:szCs w:val="23"/>
                <w:color w:val="auto"/>
              </w:rPr>
            </w:pPr>
          </w:p>
        </w:tc>
        <w:tc>
          <w:tcPr>
            <w:tcW w:w="1020" w:type="dxa"/>
            <w:vAlign w:val="bottom"/>
            <w:shd w:val="clear" w:color="auto" w:fill="CEFFE7"/>
          </w:tcPr>
          <w:p>
            <w:pPr>
              <w:spacing w:after="0"/>
              <w:rPr>
                <w:sz w:val="23"/>
                <w:szCs w:val="23"/>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Earnings per share of common stock:</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50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Earnings per share, Basic</w:t>
            </w:r>
          </w:p>
        </w:tc>
        <w:tc>
          <w:tcPr>
            <w:tcW w:w="36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0.52</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0.27</w:t>
            </w:r>
          </w:p>
        </w:tc>
        <w:tc>
          <w:tcPr>
            <w:tcW w:w="38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2.38</w:t>
            </w:r>
          </w:p>
        </w:tc>
        <w:tc>
          <w:tcPr>
            <w:tcW w:w="580" w:type="dxa"/>
            <w:vAlign w:val="bottom"/>
            <w:tcBorders>
              <w:bottom w:val="single" w:sz="8" w:color="auto"/>
            </w:tcBorders>
            <w:shd w:val="clear" w:color="auto" w:fill="CEFFE7"/>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1.06</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5020" w:type="dxa"/>
            <w:vAlign w:val="bottom"/>
            <w:tcBorders>
              <w:bottom w:val="single" w:sz="8" w:color="CEFFE7"/>
            </w:tcBorders>
          </w:tcPr>
          <w:p>
            <w:pPr>
              <w:ind w:left="240"/>
              <w:spacing w:after="0"/>
              <w:rPr>
                <w:sz w:val="20"/>
                <w:szCs w:val="20"/>
                <w:color w:val="auto"/>
              </w:rPr>
            </w:pPr>
            <w:r>
              <w:rPr>
                <w:rFonts w:ascii="Arial" w:cs="Arial" w:eastAsia="Arial" w:hAnsi="Arial"/>
                <w:sz w:val="18"/>
                <w:szCs w:val="18"/>
                <w:color w:val="auto"/>
              </w:rPr>
              <w:t>Earnings per share, Diluted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r>
      <w:tr>
        <w:trPr>
          <w:trHeight w:val="237"/>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CEFFE7"/>
            </w:tcBorders>
            <w:shd w:val="clear" w:color="auto" w:fill="CEFFE7"/>
          </w:tcPr>
          <w:p>
            <w:pPr>
              <w:spacing w:after="0"/>
              <w:rPr>
                <w:sz w:val="20"/>
                <w:szCs w:val="20"/>
                <w:color w:val="auto"/>
              </w:rPr>
            </w:pPr>
          </w:p>
        </w:tc>
        <w:tc>
          <w:tcPr>
            <w:tcW w:w="122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spacing w:after="0"/>
              <w:rPr>
                <w:sz w:val="20"/>
                <w:szCs w:val="20"/>
                <w:color w:val="auto"/>
              </w:rPr>
            </w:pPr>
          </w:p>
        </w:tc>
        <w:tc>
          <w:tcPr>
            <w:tcW w:w="380" w:type="dxa"/>
            <w:vAlign w:val="bottom"/>
            <w:tcBorders>
              <w:bottom w:val="single" w:sz="8" w:color="CEFFE7"/>
            </w:tcBorders>
            <w:shd w:val="clear" w:color="auto" w:fill="CEFFE7"/>
          </w:tcPr>
          <w:p>
            <w:pPr>
              <w:spacing w:after="0"/>
              <w:rPr>
                <w:sz w:val="20"/>
                <w:szCs w:val="20"/>
                <w:color w:val="auto"/>
              </w:rPr>
            </w:pPr>
          </w:p>
        </w:tc>
        <w:tc>
          <w:tcPr>
            <w:tcW w:w="1220" w:type="dxa"/>
            <w:vAlign w:val="bottom"/>
            <w:tcBorders>
              <w:bottom w:val="single" w:sz="8" w:color="CEFFE7"/>
            </w:tcBorders>
            <w:shd w:val="clear" w:color="auto" w:fill="CEFFE7"/>
          </w:tcPr>
          <w:p>
            <w:pPr>
              <w:spacing w:after="0"/>
              <w:rPr>
                <w:sz w:val="20"/>
                <w:szCs w:val="20"/>
                <w:color w:val="auto"/>
              </w:rPr>
            </w:pPr>
          </w:p>
        </w:tc>
        <w:tc>
          <w:tcPr>
            <w:tcW w:w="58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spacing w:after="0"/>
              <w:rPr>
                <w:sz w:val="20"/>
                <w:szCs w:val="20"/>
                <w:color w:val="auto"/>
              </w:rPr>
            </w:pPr>
          </w:p>
        </w:tc>
      </w:tr>
      <w:tr>
        <w:trPr>
          <w:trHeight w:val="304"/>
        </w:trPr>
        <w:tc>
          <w:tcPr>
            <w:tcW w:w="5020" w:type="dxa"/>
            <w:vAlign w:val="bottom"/>
            <w:tcBorders>
              <w:bottom w:val="single" w:sz="8" w:color="CEFFE7"/>
            </w:tcBorders>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53,243</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52,184</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53,208</w:t>
            </w: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51,583</w:t>
            </w:r>
          </w:p>
        </w:tc>
      </w:tr>
      <w:tr>
        <w:trPr>
          <w:trHeight w:val="251"/>
        </w:trPr>
        <w:tc>
          <w:tcPr>
            <w:tcW w:w="50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EFFE7"/>
          </w:tcPr>
          <w:p>
            <w:pPr>
              <w:spacing w:after="0"/>
              <w:rPr>
                <w:sz w:val="21"/>
                <w:szCs w:val="21"/>
                <w:color w:val="auto"/>
              </w:rPr>
            </w:pP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55,432</w:t>
            </w:r>
          </w:p>
        </w:tc>
        <w:tc>
          <w:tcPr>
            <w:tcW w:w="140" w:type="dxa"/>
            <w:vAlign w:val="bottom"/>
            <w:tcBorders>
              <w:bottom w:val="single" w:sz="8" w:color="auto"/>
            </w:tcBorders>
            <w:shd w:val="clear" w:color="auto" w:fill="CEFFE7"/>
          </w:tcPr>
          <w:p>
            <w:pPr>
              <w:spacing w:after="0"/>
              <w:rPr>
                <w:sz w:val="21"/>
                <w:szCs w:val="21"/>
                <w:color w:val="auto"/>
              </w:rPr>
            </w:pP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53,733</w:t>
            </w:r>
          </w:p>
        </w:tc>
        <w:tc>
          <w:tcPr>
            <w:tcW w:w="380" w:type="dxa"/>
            <w:vAlign w:val="bottom"/>
            <w:tcBorders>
              <w:bottom w:val="single" w:sz="8" w:color="auto"/>
            </w:tcBorders>
            <w:shd w:val="clear" w:color="auto" w:fill="CEFFE7"/>
          </w:tcPr>
          <w:p>
            <w:pPr>
              <w:spacing w:after="0"/>
              <w:rPr>
                <w:sz w:val="21"/>
                <w:szCs w:val="21"/>
                <w:color w:val="auto"/>
              </w:rPr>
            </w:pP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55,254</w:t>
            </w:r>
          </w:p>
        </w:tc>
        <w:tc>
          <w:tcPr>
            <w:tcW w:w="580" w:type="dxa"/>
            <w:vAlign w:val="bottom"/>
            <w:tcBorders>
              <w:bottom w:val="single" w:sz="8" w:color="auto"/>
            </w:tcBorders>
            <w:shd w:val="clear" w:color="auto" w:fill="CEFFE7"/>
          </w:tcPr>
          <w:p>
            <w:pPr>
              <w:spacing w:after="0"/>
              <w:rPr>
                <w:sz w:val="21"/>
                <w:szCs w:val="21"/>
                <w:color w:val="auto"/>
              </w:rPr>
            </w:pP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52,893</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1"/>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4"/>
        </w:trPr>
        <w:tc>
          <w:tcPr>
            <w:tcW w:w="50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Dividends declared per share of common stock</w:t>
            </w:r>
          </w:p>
        </w:tc>
        <w:tc>
          <w:tcPr>
            <w:tcW w:w="36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0.445</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0.420</w:t>
            </w:r>
          </w:p>
        </w:tc>
        <w:tc>
          <w:tcPr>
            <w:tcW w:w="38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1.335</w:t>
            </w:r>
          </w:p>
        </w:tc>
        <w:tc>
          <w:tcPr>
            <w:tcW w:w="580" w:type="dxa"/>
            <w:vAlign w:val="bottom"/>
            <w:tcBorders>
              <w:bottom w:val="single" w:sz="8" w:color="auto"/>
            </w:tcBorders>
            <w:shd w:val="clear" w:color="auto" w:fill="CEFFE7"/>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1.260</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ectPr>
          <w:pgSz w:w="11900" w:h="16838" w:orient="portrait"/>
          <w:cols w:equalWidth="0" w:num="1">
            <w:col w:w="11380"/>
          </w:cols>
          <w:pgMar w:left="260" w:top="1013" w:right="25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60" w:top="1013"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17"/>
                <w:szCs w:val="17"/>
                <w:color w:val="auto"/>
              </w:rPr>
            </w:pPr>
          </w:p>
        </w:tc>
        <w:tc>
          <w:tcPr>
            <w:tcW w:w="2180" w:type="dxa"/>
            <w:vAlign w:val="bottom"/>
            <w:gridSpan w:val="2"/>
          </w:tcPr>
          <w:p>
            <w:pPr>
              <w:jc w:val="center"/>
              <w:ind w:right="130"/>
              <w:spacing w:after="0"/>
              <w:rPr>
                <w:sz w:val="20"/>
                <w:szCs w:val="20"/>
                <w:color w:val="auto"/>
              </w:rPr>
            </w:pPr>
            <w:r>
              <w:rPr>
                <w:rFonts w:ascii="Arial" w:cs="Arial" w:eastAsia="Arial" w:hAnsi="Arial"/>
                <w:sz w:val="16"/>
                <w:szCs w:val="16"/>
                <w:color w:val="auto"/>
                <w:w w:val="90"/>
              </w:rPr>
              <w:t>Three Months Ended</w:t>
            </w:r>
          </w:p>
        </w:tc>
        <w:tc>
          <w:tcPr>
            <w:tcW w:w="340" w:type="dxa"/>
            <w:vAlign w:val="bottom"/>
          </w:tcPr>
          <w:p>
            <w:pPr>
              <w:spacing w:after="0"/>
              <w:rPr>
                <w:sz w:val="17"/>
                <w:szCs w:val="17"/>
                <w:color w:val="auto"/>
              </w:rPr>
            </w:pPr>
          </w:p>
        </w:tc>
        <w:tc>
          <w:tcPr>
            <w:tcW w:w="2220" w:type="dxa"/>
            <w:vAlign w:val="bottom"/>
            <w:gridSpan w:val="3"/>
          </w:tcPr>
          <w:p>
            <w:pPr>
              <w:jc w:val="center"/>
              <w:ind w:right="170"/>
              <w:spacing w:after="0"/>
              <w:rPr>
                <w:sz w:val="20"/>
                <w:szCs w:val="20"/>
                <w:color w:val="auto"/>
              </w:rPr>
            </w:pPr>
            <w:r>
              <w:rPr>
                <w:rFonts w:ascii="Arial" w:cs="Arial" w:eastAsia="Arial" w:hAnsi="Arial"/>
                <w:sz w:val="16"/>
                <w:szCs w:val="16"/>
                <w:color w:val="auto"/>
                <w:w w:val="93"/>
              </w:rPr>
              <w:t>Nine Months Ended</w:t>
            </w:r>
          </w:p>
        </w:tc>
        <w:tc>
          <w:tcPr>
            <w:tcW w:w="0" w:type="dxa"/>
            <w:vAlign w:val="bottom"/>
          </w:tcPr>
          <w:p>
            <w:pPr>
              <w:spacing w:after="0"/>
              <w:rPr>
                <w:sz w:val="1"/>
                <w:szCs w:val="1"/>
                <w:color w:val="auto"/>
              </w:rPr>
            </w:pPr>
          </w:p>
        </w:tc>
      </w:tr>
      <w:tr>
        <w:trPr>
          <w:trHeight w:val="212"/>
        </w:trPr>
        <w:tc>
          <w:tcPr>
            <w:tcW w:w="64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2"/>
          </w:tcPr>
          <w:p>
            <w:pPr>
              <w:jc w:val="center"/>
              <w:ind w:right="110"/>
              <w:spacing w:after="0"/>
              <w:rPr>
                <w:sz w:val="20"/>
                <w:szCs w:val="20"/>
                <w:color w:val="auto"/>
              </w:rPr>
            </w:pPr>
            <w:r>
              <w:rPr>
                <w:rFonts w:ascii="Arial" w:cs="Arial" w:eastAsia="Arial" w:hAnsi="Arial"/>
                <w:sz w:val="16"/>
                <w:szCs w:val="16"/>
                <w:color w:val="auto"/>
                <w:w w:val="89"/>
              </w:rPr>
              <w:t>September 30,</w:t>
            </w:r>
          </w:p>
        </w:tc>
        <w:tc>
          <w:tcPr>
            <w:tcW w:w="340" w:type="dxa"/>
            <w:vAlign w:val="bottom"/>
          </w:tcPr>
          <w:p>
            <w:pPr>
              <w:spacing w:after="0"/>
              <w:rPr>
                <w:sz w:val="18"/>
                <w:szCs w:val="18"/>
                <w:color w:val="auto"/>
              </w:rPr>
            </w:pPr>
          </w:p>
        </w:tc>
        <w:tc>
          <w:tcPr>
            <w:tcW w:w="2220" w:type="dxa"/>
            <w:vAlign w:val="bottom"/>
            <w:gridSpan w:val="3"/>
          </w:tcPr>
          <w:p>
            <w:pPr>
              <w:jc w:val="center"/>
              <w:ind w:right="190"/>
              <w:spacing w:after="0"/>
              <w:rPr>
                <w:sz w:val="20"/>
                <w:szCs w:val="20"/>
                <w:color w:val="auto"/>
              </w:rPr>
            </w:pPr>
            <w:r>
              <w:rPr>
                <w:rFonts w:ascii="Arial" w:cs="Arial" w:eastAsia="Arial" w:hAnsi="Arial"/>
                <w:sz w:val="16"/>
                <w:szCs w:val="16"/>
                <w:color w:val="auto"/>
                <w:w w:val="89"/>
              </w:rPr>
              <w:t>September 30,</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654"/>
              <w:spacing w:after="0"/>
              <w:rPr>
                <w:sz w:val="20"/>
                <w:szCs w:val="20"/>
                <w:color w:val="auto"/>
              </w:rPr>
            </w:pPr>
            <w:r>
              <w:rPr>
                <w:rFonts w:ascii="Arial" w:cs="Arial" w:eastAsia="Arial" w:hAnsi="Arial"/>
                <w:sz w:val="18"/>
                <w:szCs w:val="18"/>
                <w:color w:val="auto"/>
              </w:rPr>
              <w:t>2017</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3"/>
                <w:szCs w:val="23"/>
                <w:color w:val="auto"/>
              </w:rPr>
            </w:pPr>
          </w:p>
        </w:tc>
        <w:tc>
          <w:tcPr>
            <w:tcW w:w="920" w:type="dxa"/>
            <w:vAlign w:val="bottom"/>
          </w:tcPr>
          <w:p>
            <w:pPr>
              <w:jc w:val="right"/>
              <w:ind w:right="314"/>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80" w:type="dxa"/>
            <w:vAlign w:val="bottom"/>
            <w:gridSpan w:val="3"/>
          </w:tcPr>
          <w:p>
            <w:pPr>
              <w:jc w:val="right"/>
              <w:ind w:right="594"/>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EFFE7"/>
            </w:tcBorders>
            <w:shd w:val="clear" w:color="auto" w:fill="CEFFE7"/>
          </w:tcPr>
          <w:p>
            <w:pPr>
              <w:jc w:val="right"/>
              <w:ind w:right="94"/>
              <w:spacing w:after="0"/>
              <w:rPr>
                <w:sz w:val="20"/>
                <w:szCs w:val="20"/>
                <w:color w:val="auto"/>
              </w:rPr>
            </w:pPr>
            <w:r>
              <w:rPr>
                <w:rFonts w:ascii="Arial" w:cs="Arial" w:eastAsia="Arial" w:hAnsi="Arial"/>
                <w:sz w:val="18"/>
                <w:szCs w:val="18"/>
                <w:color w:val="auto"/>
              </w:rPr>
              <w:t>31,598  $</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17,884</w:t>
            </w:r>
          </w:p>
        </w:tc>
        <w:tc>
          <w:tcPr>
            <w:tcW w:w="3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137,055</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61,217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 of tax:</w:t>
      </w:r>
    </w:p>
    <w:p>
      <w:pPr>
        <w:spacing w:after="0" w:line="63" w:lineRule="exact"/>
        <w:rPr>
          <w:sz w:val="20"/>
          <w:szCs w:val="20"/>
          <w:color w:val="auto"/>
        </w:rPr>
      </w:pPr>
    </w:p>
    <w:p>
      <w:pPr>
        <w:ind w:left="380"/>
        <w:spacing w:after="0" w:line="259" w:lineRule="auto"/>
        <w:rPr>
          <w:sz w:val="20"/>
          <w:szCs w:val="20"/>
          <w:color w:val="auto"/>
        </w:rPr>
      </w:pPr>
      <w:r>
        <w:rPr>
          <w:rFonts w:ascii="Arial" w:cs="Arial" w:eastAsia="Arial" w:hAnsi="Arial"/>
          <w:sz w:val="18"/>
          <w:szCs w:val="18"/>
          <w:color w:val="auto"/>
        </w:rPr>
        <w:t>Reclassification adjustments of benefit plan liability - prior service cost (net of tax (expense) benefit of $17 and $19 for the three months ended September 30, 2017 and 2016 and $52 and $57 for the nine months ended September 30,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5" w:lineRule="exact"/>
        <w:rPr>
          <w:sz w:val="20"/>
          <w:szCs w:val="20"/>
          <w:color w:val="auto"/>
        </w:rPr>
      </w:pPr>
    </w:p>
    <w:p>
      <w:pPr>
        <w:ind w:left="380" w:right="80"/>
        <w:spacing w:after="0" w:line="259" w:lineRule="auto"/>
        <w:rPr>
          <w:sz w:val="20"/>
          <w:szCs w:val="20"/>
          <w:color w:val="auto"/>
        </w:rPr>
      </w:pPr>
      <w:r>
        <w:rPr>
          <w:rFonts w:ascii="Arial" w:cs="Arial" w:eastAsia="Arial" w:hAnsi="Arial"/>
          <w:sz w:val="18"/>
          <w:szCs w:val="18"/>
          <w:color w:val="auto"/>
        </w:rPr>
        <w:t>Reclassification adjustments of benefit plan liability - net gain (loss) (net of tax (expense) benefit of $(145) and $(171) for the three months ended September 30, 2017 and 2016 and $(445) and $(517) for the nine months ended September 30, 2017 and 2016, respectively)</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Derivative instruments designated as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43" w:lineRule="exact"/>
        <w:rPr>
          <w:sz w:val="20"/>
          <w:szCs w:val="20"/>
          <w:color w:val="auto"/>
        </w:rPr>
      </w:pPr>
    </w:p>
    <w:p>
      <w:pPr>
        <w:jc w:val="both"/>
        <w:ind w:left="380" w:right="80"/>
        <w:spacing w:after="0" w:line="305" w:lineRule="auto"/>
        <w:rPr>
          <w:sz w:val="20"/>
          <w:szCs w:val="20"/>
          <w:color w:val="auto"/>
        </w:rPr>
      </w:pPr>
      <w:r>
        <w:rPr>
          <w:rFonts w:ascii="Arial" w:cs="Arial" w:eastAsia="Arial" w:hAnsi="Arial"/>
          <w:sz w:val="16"/>
          <w:szCs w:val="16"/>
          <w:color w:val="auto"/>
        </w:rPr>
        <w:t>Net unrealized gains (losses) on interest rate swaps (net of tax of $0 and $163 for the three months ended September 30, 2017 and 2016 and $0 and $10,930 for the nine months ended September 30, 2017 and 2016, respectively)</w:t>
      </w:r>
    </w:p>
    <w:p>
      <w:pPr>
        <w:spacing w:after="0" w:line="1" w:lineRule="exact"/>
        <w:rPr>
          <w:sz w:val="20"/>
          <w:szCs w:val="20"/>
          <w:color w:val="auto"/>
        </w:rPr>
      </w:pPr>
    </w:p>
    <w:p>
      <w:pPr>
        <w:ind w:left="380" w:right="100"/>
        <w:spacing w:after="0" w:line="259" w:lineRule="auto"/>
        <w:rPr>
          <w:sz w:val="20"/>
          <w:szCs w:val="20"/>
          <w:color w:val="auto"/>
        </w:rPr>
      </w:pPr>
      <w:r>
        <w:rPr>
          <w:rFonts w:ascii="Arial" w:cs="Arial" w:eastAsia="Arial" w:hAnsi="Arial"/>
          <w:sz w:val="18"/>
          <w:szCs w:val="18"/>
          <w:color w:val="auto"/>
        </w:rPr>
        <w:t>Reclassification of net realized (gains) losses on settled/amortized interest rate swaps (net of tax of $(249) and $(294) for the three months ended September 30, 2017 and 2016 and $(779) and $(886) for the nine months ended September 30,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unrealized gains (losses) on commodity derivatives (net of tax of $94 and</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$(423) for the three months ended September 30, 2017 and 2016 and $(442) and</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$(324) for the nine months ended September 30, 2017 and 2016, respectively)</w:t>
      </w:r>
    </w:p>
    <w:p>
      <w:pPr>
        <w:spacing w:after="0" w:line="60" w:lineRule="exact"/>
        <w:rPr>
          <w:sz w:val="20"/>
          <w:szCs w:val="20"/>
          <w:color w:val="auto"/>
        </w:rPr>
      </w:pPr>
    </w:p>
    <w:p>
      <w:pPr>
        <w:ind w:left="380" w:right="200"/>
        <w:spacing w:after="0" w:line="259" w:lineRule="auto"/>
        <w:rPr>
          <w:sz w:val="20"/>
          <w:szCs w:val="20"/>
          <w:color w:val="auto"/>
        </w:rPr>
      </w:pPr>
      <w:r>
        <w:rPr>
          <w:rFonts w:ascii="Arial" w:cs="Arial" w:eastAsia="Arial" w:hAnsi="Arial"/>
          <w:sz w:val="18"/>
          <w:szCs w:val="18"/>
          <w:color w:val="auto"/>
        </w:rPr>
        <w:t>Reclassification of net realized (gains) losses on settled commodity derivatives (net of tax of $95 and $860 for the three months ended September 30, 2017 and 2016 and $344 and $3,337 for the nine months ended September 30,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 of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jc w:val="right"/>
              <w:ind w:right="270"/>
              <w:spacing w:after="0"/>
              <w:rPr>
                <w:sz w:val="20"/>
                <w:szCs w:val="20"/>
                <w:color w:val="auto"/>
              </w:rPr>
            </w:pPr>
            <w:r>
              <w:rPr>
                <w:rFonts w:ascii="Arial" w:cs="Arial" w:eastAsia="Arial" w:hAnsi="Arial"/>
                <w:sz w:val="18"/>
                <w:szCs w:val="18"/>
                <w:color w:val="auto"/>
              </w:rPr>
              <w:t>(32)</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(36)</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(94)</w:t>
            </w: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918"/>
        </w:trPr>
        <w:tc>
          <w:tcPr>
            <w:tcW w:w="1560" w:type="dxa"/>
            <w:vAlign w:val="bottom"/>
          </w:tcPr>
          <w:p>
            <w:pPr>
              <w:jc w:val="right"/>
              <w:ind w:right="330"/>
              <w:spacing w:after="0"/>
              <w:rPr>
                <w:sz w:val="20"/>
                <w:szCs w:val="20"/>
                <w:color w:val="auto"/>
              </w:rPr>
            </w:pPr>
            <w:r>
              <w:rPr>
                <w:rFonts w:ascii="Arial" w:cs="Arial" w:eastAsia="Arial" w:hAnsi="Arial"/>
                <w:sz w:val="18"/>
                <w:szCs w:val="18"/>
                <w:color w:val="auto"/>
              </w:rPr>
              <w:t>269</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323</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797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966</w:t>
            </w:r>
          </w:p>
        </w:tc>
      </w:tr>
      <w:tr>
        <w:trPr>
          <w:trHeight w:val="972"/>
        </w:trPr>
        <w:tc>
          <w:tcPr>
            <w:tcW w:w="1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(302)</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(20,200)</w:t>
            </w:r>
          </w:p>
        </w:tc>
      </w:tr>
      <w:tr>
        <w:trPr>
          <w:trHeight w:val="918"/>
        </w:trPr>
        <w:tc>
          <w:tcPr>
            <w:tcW w:w="1560" w:type="dxa"/>
            <w:vAlign w:val="bottom"/>
          </w:tcPr>
          <w:p>
            <w:pPr>
              <w:jc w:val="right"/>
              <w:ind w:right="330"/>
              <w:spacing w:after="0"/>
              <w:rPr>
                <w:sz w:val="20"/>
                <w:szCs w:val="20"/>
                <w:color w:val="auto"/>
              </w:rPr>
            </w:pPr>
            <w:r>
              <w:rPr>
                <w:rFonts w:ascii="Arial" w:cs="Arial" w:eastAsia="Arial" w:hAnsi="Arial"/>
                <w:sz w:val="18"/>
                <w:szCs w:val="18"/>
                <w:color w:val="auto"/>
              </w:rPr>
              <w:t>464</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546</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1,449</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1,644</w:t>
            </w:r>
          </w:p>
        </w:tc>
      </w:tr>
      <w:tr>
        <w:trPr>
          <w:trHeight w:val="702"/>
        </w:trPr>
        <w:tc>
          <w:tcPr>
            <w:tcW w:w="1560" w:type="dxa"/>
            <w:vAlign w:val="bottom"/>
          </w:tcPr>
          <w:p>
            <w:pPr>
              <w:jc w:val="right"/>
              <w:ind w:right="270"/>
              <w:spacing w:after="0"/>
              <w:rPr>
                <w:sz w:val="20"/>
                <w:szCs w:val="20"/>
                <w:color w:val="auto"/>
              </w:rPr>
            </w:pPr>
            <w:r>
              <w:rPr>
                <w:rFonts w:ascii="Arial" w:cs="Arial" w:eastAsia="Arial" w:hAnsi="Arial"/>
                <w:sz w:val="18"/>
                <w:szCs w:val="18"/>
                <w:color w:val="auto"/>
              </w:rPr>
              <w:t>(160)</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(249)</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755</w:t>
            </w:r>
          </w:p>
        </w:tc>
        <w:tc>
          <w:tcPr>
            <w:tcW w:w="98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918"/>
        </w:trPr>
        <w:tc>
          <w:tcPr>
            <w:tcW w:w="1560" w:type="dxa"/>
            <w:vAlign w:val="bottom"/>
          </w:tcPr>
          <w:p>
            <w:pPr>
              <w:jc w:val="right"/>
              <w:ind w:right="270"/>
              <w:spacing w:after="0"/>
              <w:rPr>
                <w:sz w:val="20"/>
                <w:szCs w:val="20"/>
                <w:color w:val="auto"/>
              </w:rPr>
            </w:pPr>
            <w:r>
              <w:rPr>
                <w:rFonts w:ascii="Arial" w:cs="Arial" w:eastAsia="Arial" w:hAnsi="Arial"/>
                <w:sz w:val="18"/>
                <w:szCs w:val="18"/>
                <w:color w:val="auto"/>
              </w:rPr>
              <w:t>(166)</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(1,469)</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(590)</w:t>
            </w:r>
          </w:p>
        </w:tc>
        <w:tc>
          <w:tcPr>
            <w:tcW w:w="980" w:type="dxa"/>
            <w:vAlign w:val="bottom"/>
          </w:tcPr>
          <w:p>
            <w:pPr>
              <w:jc w:val="right"/>
              <w:spacing w:after="0"/>
              <w:rPr>
                <w:sz w:val="20"/>
                <w:szCs w:val="20"/>
                <w:color w:val="auto"/>
              </w:rPr>
            </w:pPr>
            <w:r>
              <w:rPr>
                <w:rFonts w:ascii="Arial" w:cs="Arial" w:eastAsia="Arial" w:hAnsi="Arial"/>
                <w:sz w:val="18"/>
                <w:szCs w:val="18"/>
                <w:color w:val="auto"/>
              </w:rPr>
              <w:t>(5,781)</w:t>
            </w:r>
          </w:p>
        </w:tc>
      </w:tr>
      <w:tr>
        <w:trPr>
          <w:trHeight w:val="27"/>
        </w:trPr>
        <w:tc>
          <w:tcPr>
            <w:tcW w:w="1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560" w:type="dxa"/>
            <w:vAlign w:val="bottom"/>
          </w:tcPr>
          <w:p>
            <w:pPr>
              <w:jc w:val="right"/>
              <w:ind w:right="330"/>
              <w:spacing w:after="0"/>
              <w:rPr>
                <w:sz w:val="20"/>
                <w:szCs w:val="20"/>
                <w:color w:val="auto"/>
              </w:rPr>
            </w:pPr>
            <w:r>
              <w:rPr>
                <w:rFonts w:ascii="Arial" w:cs="Arial" w:eastAsia="Arial" w:hAnsi="Arial"/>
                <w:sz w:val="18"/>
                <w:szCs w:val="18"/>
                <w:color w:val="auto"/>
              </w:rPr>
              <w:t>375</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(1,187)</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2,317</w:t>
            </w:r>
          </w:p>
        </w:tc>
        <w:tc>
          <w:tcPr>
            <w:tcW w:w="980" w:type="dxa"/>
            <w:vAlign w:val="bottom"/>
          </w:tcPr>
          <w:p>
            <w:pPr>
              <w:jc w:val="right"/>
              <w:spacing w:after="0"/>
              <w:rPr>
                <w:sz w:val="20"/>
                <w:szCs w:val="20"/>
                <w:color w:val="auto"/>
              </w:rPr>
            </w:pPr>
            <w:r>
              <w:rPr>
                <w:rFonts w:ascii="Arial" w:cs="Arial" w:eastAsia="Arial" w:hAnsi="Arial"/>
                <w:sz w:val="18"/>
                <w:szCs w:val="18"/>
                <w:color w:val="auto"/>
              </w:rPr>
              <w:t>(23,896)</w:t>
            </w:r>
          </w:p>
        </w:tc>
      </w:tr>
      <w:tr>
        <w:trPr>
          <w:trHeight w:val="27"/>
        </w:trPr>
        <w:tc>
          <w:tcPr>
            <w:tcW w:w="1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320" w:space="80"/>
            <w:col w:w="5020"/>
          </w:cols>
          <w:pgMar w:left="240" w:top="796" w:right="239" w:bottom="1440" w:gutter="0" w:footer="0" w:header="0"/>
          <w:type w:val="continuous"/>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0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shd w:val="clear" w:color="auto" w:fill="CEFFE7"/>
          </w:tcPr>
          <w:p>
            <w:pPr>
              <w:spacing w:after="0"/>
              <w:rPr>
                <w:sz w:val="23"/>
                <w:szCs w:val="23"/>
                <w:color w:val="auto"/>
              </w:rPr>
            </w:pPr>
          </w:p>
        </w:tc>
        <w:tc>
          <w:tcPr>
            <w:tcW w:w="8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31,973</w:t>
            </w:r>
          </w:p>
        </w:tc>
        <w:tc>
          <w:tcPr>
            <w:tcW w:w="400" w:type="dxa"/>
            <w:vAlign w:val="bottom"/>
            <w:shd w:val="clear" w:color="auto" w:fill="CEFFE7"/>
          </w:tcPr>
          <w:p>
            <w:pPr>
              <w:spacing w:after="0"/>
              <w:rPr>
                <w:sz w:val="23"/>
                <w:szCs w:val="23"/>
                <w:color w:val="auto"/>
              </w:rPr>
            </w:pPr>
          </w:p>
        </w:tc>
        <w:tc>
          <w:tcPr>
            <w:tcW w:w="8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16,697</w:t>
            </w:r>
          </w:p>
        </w:tc>
        <w:tc>
          <w:tcPr>
            <w:tcW w:w="340" w:type="dxa"/>
            <w:vAlign w:val="bottom"/>
            <w:shd w:val="clear" w:color="auto" w:fill="CEFFE7"/>
          </w:tcPr>
          <w:p>
            <w:pPr>
              <w:spacing w:after="0"/>
              <w:rPr>
                <w:sz w:val="23"/>
                <w:szCs w:val="23"/>
                <w:color w:val="auto"/>
              </w:rPr>
            </w:pPr>
          </w:p>
        </w:tc>
        <w:tc>
          <w:tcPr>
            <w:tcW w:w="9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139,372</w:t>
            </w:r>
          </w:p>
        </w:tc>
        <w:tc>
          <w:tcPr>
            <w:tcW w:w="380" w:type="dxa"/>
            <w:vAlign w:val="bottom"/>
            <w:shd w:val="clear" w:color="auto" w:fill="CEFFE7"/>
          </w:tcPr>
          <w:p>
            <w:pPr>
              <w:spacing w:after="0"/>
              <w:rPr>
                <w:sz w:val="23"/>
                <w:szCs w:val="23"/>
                <w:color w:val="auto"/>
              </w:rPr>
            </w:pPr>
          </w:p>
        </w:tc>
        <w:tc>
          <w:tcPr>
            <w:tcW w:w="8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37,321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(3,935)</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(3,753)</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(10,674)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(6,415)</w:t>
            </w:r>
          </w:p>
        </w:tc>
      </w:tr>
      <w:tr>
        <w:trPr>
          <w:trHeight w:val="27"/>
        </w:trPr>
        <w:tc>
          <w:tcPr>
            <w:tcW w:w="640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Comprehensive income available for common stock</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28,038</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12,944</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128,698</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30,906</w:t>
            </w:r>
          </w:p>
        </w:tc>
      </w:tr>
      <w:tr>
        <w:trPr>
          <w:trHeight w:val="20"/>
        </w:trPr>
        <w:tc>
          <w:tcPr>
            <w:tcW w:w="6400" w:type="dxa"/>
            <w:vAlign w:val="bottom"/>
            <w:tcBorders>
              <w:top w:val="single" w:sz="8" w:color="CEFFE7"/>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 13 for additional disclosures.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ind w:left="40"/>
              <w:spacing w:after="0"/>
              <w:rPr>
                <w:sz w:val="20"/>
                <w:szCs w:val="20"/>
                <w:color w:val="auto"/>
              </w:rPr>
            </w:pPr>
            <w:r>
              <w:rPr>
                <w:rFonts w:ascii="Arial" w:cs="Arial" w:eastAsia="Arial" w:hAnsi="Arial"/>
                <w:sz w:val="18"/>
                <w:szCs w:val="18"/>
                <w:color w:val="auto"/>
              </w:rPr>
              <w:t>(unaudited)</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92"/>
              </w:rPr>
              <w:t>As of</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46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w w:val="93"/>
              </w:rPr>
              <w:t>September 30,</w:t>
            </w: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w w:val="88"/>
              </w:rPr>
              <w:t>September 30,</w:t>
            </w:r>
          </w:p>
        </w:tc>
      </w:tr>
      <w:tr>
        <w:trPr>
          <w:trHeight w:val="230"/>
        </w:trPr>
        <w:tc>
          <w:tcPr>
            <w:tcW w:w="4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December 31, 2016</w:t>
            </w:r>
          </w:p>
        </w:tc>
        <w:tc>
          <w:tcPr>
            <w:tcW w:w="30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0"/>
        </w:trPr>
        <w:tc>
          <w:tcPr>
            <w:tcW w:w="4600" w:type="dxa"/>
            <w:vAlign w:val="bottom"/>
          </w:tcPr>
          <w:p>
            <w:pPr>
              <w:ind w:left="2880"/>
              <w:spacing w:after="0"/>
              <w:rPr>
                <w:sz w:val="20"/>
                <w:szCs w:val="20"/>
                <w:color w:val="auto"/>
              </w:rPr>
            </w:pPr>
            <w:r>
              <w:rPr>
                <w:rFonts w:ascii="Arial" w:cs="Arial" w:eastAsia="Arial" w:hAnsi="Arial"/>
                <w:sz w:val="18"/>
                <w:szCs w:val="18"/>
                <w:b w:val="1"/>
                <w:bCs w:val="1"/>
                <w:color w:val="auto"/>
              </w:rPr>
              <w:t>ASSETS</w:t>
            </w:r>
          </w:p>
        </w:tc>
        <w:tc>
          <w:tcPr>
            <w:tcW w:w="1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6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Cash and cash equivalents</w:t>
            </w:r>
          </w:p>
        </w:tc>
        <w:tc>
          <w:tcPr>
            <w:tcW w:w="200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13,510</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13,580</w:t>
            </w:r>
          </w:p>
        </w:tc>
        <w:tc>
          <w:tcPr>
            <w:tcW w:w="3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31,814</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Restricted cash and equivalents</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2,683</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2,274</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2,140</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Accounts receivable, net</w:t>
            </w:r>
          </w:p>
        </w:tc>
        <w:tc>
          <w:tcPr>
            <w:tcW w:w="18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153,832</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263,289</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154,617</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Materials, supplies and fuel</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126,520</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107,210</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113,475</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Derivative assets, current</w:t>
            </w:r>
          </w:p>
        </w:tc>
        <w:tc>
          <w:tcPr>
            <w:tcW w:w="18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657</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4,138</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4,382</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Regulatory assets, current</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61,023</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49,260</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50,561</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Other current assets</w:t>
            </w:r>
          </w:p>
        </w:tc>
        <w:tc>
          <w:tcPr>
            <w:tcW w:w="180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26,793</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27,063</w:t>
            </w: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30,032</w:t>
            </w:r>
          </w:p>
        </w:tc>
      </w:tr>
      <w:tr>
        <w:trPr>
          <w:trHeight w:val="237"/>
        </w:trPr>
        <w:tc>
          <w:tcPr>
            <w:tcW w:w="46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385,018</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466,814</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387,021</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12,947</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12,561</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12,416</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6,615,098</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6,412,223</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6,306,119</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Less: accumulated depreciation and depletion</w:t>
            </w:r>
          </w:p>
        </w:tc>
        <w:tc>
          <w:tcPr>
            <w:tcW w:w="180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(2,020,331)</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(1,943,234)</w:t>
            </w: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(1,841,116)</w:t>
            </w:r>
          </w:p>
        </w:tc>
      </w:tr>
      <w:tr>
        <w:trPr>
          <w:trHeight w:val="237"/>
        </w:trPr>
        <w:tc>
          <w:tcPr>
            <w:tcW w:w="4600" w:type="dxa"/>
            <w:vAlign w:val="bottom"/>
          </w:tcPr>
          <w:p>
            <w:pPr>
              <w:ind w:left="600"/>
              <w:spacing w:after="0"/>
              <w:rPr>
                <w:sz w:val="20"/>
                <w:szCs w:val="20"/>
                <w:color w:val="auto"/>
              </w:rPr>
            </w:pPr>
            <w:r>
              <w:rPr>
                <w:rFonts w:ascii="Arial" w:cs="Arial" w:eastAsia="Arial" w:hAnsi="Arial"/>
                <w:sz w:val="18"/>
                <w:szCs w:val="18"/>
                <w:color w:val="auto"/>
              </w:rPr>
              <w:t>Total property, plant and equipment, net</w:t>
            </w:r>
          </w:p>
        </w:tc>
        <w:tc>
          <w:tcPr>
            <w:tcW w:w="1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4,594,767</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4,468,989</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4,465,003</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Goodwill</w:t>
            </w:r>
          </w:p>
        </w:tc>
        <w:tc>
          <w:tcPr>
            <w:tcW w:w="18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1,299,454</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1,299,454</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1,300,379</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7,765</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8,392</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8,944</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Regulatory assets, non-current</w:t>
            </w:r>
          </w:p>
        </w:tc>
        <w:tc>
          <w:tcPr>
            <w:tcW w:w="18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239,571</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246,882</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234,240</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Derivative assets, non-current</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Other assets, non-current</w:t>
            </w:r>
          </w:p>
        </w:tc>
        <w:tc>
          <w:tcPr>
            <w:tcW w:w="180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11,655</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12,130</w:t>
            </w: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12,800</w:t>
            </w:r>
          </w:p>
        </w:tc>
      </w:tr>
      <w:tr>
        <w:trPr>
          <w:trHeight w:val="237"/>
        </w:trPr>
        <w:tc>
          <w:tcPr>
            <w:tcW w:w="4600" w:type="dxa"/>
            <w:vAlign w:val="bottom"/>
          </w:tcPr>
          <w:p>
            <w:pPr>
              <w:ind w:left="600"/>
              <w:spacing w:after="0"/>
              <w:rPr>
                <w:sz w:val="20"/>
                <w:szCs w:val="20"/>
                <w:color w:val="auto"/>
              </w:rPr>
            </w:pPr>
            <w:r>
              <w:rPr>
                <w:rFonts w:ascii="Arial" w:cs="Arial" w:eastAsia="Arial" w:hAnsi="Arial"/>
                <w:sz w:val="18"/>
                <w:szCs w:val="18"/>
                <w:color w:val="auto"/>
              </w:rPr>
              <w:t>Total other assets, non-current</w:t>
            </w:r>
          </w:p>
        </w:tc>
        <w:tc>
          <w:tcPr>
            <w:tcW w:w="1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1,558,445</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1,567,080</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1,556,546</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r>
      <w:tr>
        <w:trPr>
          <w:trHeight w:val="264"/>
        </w:trPr>
        <w:tc>
          <w:tcPr>
            <w:tcW w:w="46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6,551,177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6,515,444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6,420,986</w:t>
            </w:r>
          </w:p>
        </w:tc>
      </w:tr>
      <w:tr>
        <w:trPr>
          <w:trHeight w:val="20"/>
        </w:trPr>
        <w:tc>
          <w:tcPr>
            <w:tcW w:w="6400" w:type="dxa"/>
            <w:vAlign w:val="bottom"/>
            <w:gridSpan w:val="2"/>
          </w:tcPr>
          <w:p>
            <w:pPr>
              <w:spacing w:after="0" w:line="20" w:lineRule="exact"/>
              <w:rPr>
                <w:sz w:val="1"/>
                <w:szCs w:val="1"/>
                <w:color w:val="auto"/>
              </w:rPr>
            </w:pPr>
          </w:p>
        </w:tc>
        <w:tc>
          <w:tcPr>
            <w:tcW w:w="3660" w:type="dxa"/>
            <w:vAlign w:val="bottom"/>
            <w:tcBorders>
              <w:bottom w:val="single" w:sz="8" w:color="auto"/>
            </w:tcBorders>
            <w:gridSpan w:val="5"/>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67"/>
        </w:trPr>
        <w:tc>
          <w:tcPr>
            <w:tcW w:w="10060" w:type="dxa"/>
            <w:vAlign w:val="bottom"/>
            <w:gridSpan w:val="7"/>
          </w:tcPr>
          <w:p>
            <w:pPr>
              <w:jc w:val="center"/>
              <w:ind w:left="1291"/>
              <w:spacing w:after="0"/>
              <w:rPr>
                <w:sz w:val="20"/>
                <w:szCs w:val="20"/>
                <w:color w:val="auto"/>
              </w:rPr>
            </w:pPr>
            <w:r>
              <w:rPr>
                <w:rFonts w:ascii="Arial" w:cs="Arial" w:eastAsia="Arial" w:hAnsi="Arial"/>
                <w:sz w:val="14"/>
                <w:szCs w:val="14"/>
                <w:color w:val="auto"/>
                <w:w w:val="91"/>
              </w:rPr>
              <w:t>The accompanying Notes to Condensed Consolidated Financial Statements are an integral part of these Condensed Consolidated Financial Statements.</w:t>
            </w:r>
          </w:p>
        </w:tc>
        <w:tc>
          <w:tcPr>
            <w:tcW w:w="1360" w:type="dxa"/>
            <w:vAlign w:val="bottom"/>
          </w:tcPr>
          <w:p>
            <w:pPr>
              <w:spacing w:after="0"/>
              <w:rPr>
                <w:sz w:val="24"/>
                <w:szCs w:val="24"/>
                <w:color w:val="auto"/>
              </w:rPr>
            </w:pPr>
          </w:p>
        </w:tc>
      </w:tr>
      <w:tr>
        <w:trPr>
          <w:trHeight w:val="458"/>
        </w:trPr>
        <w:tc>
          <w:tcPr>
            <w:tcW w:w="4600" w:type="dxa"/>
            <w:vAlign w:val="bottom"/>
          </w:tcPr>
          <w:p>
            <w:pPr>
              <w:spacing w:after="0"/>
              <w:rPr>
                <w:sz w:val="24"/>
                <w:szCs w:val="24"/>
                <w:color w:val="auto"/>
              </w:rPr>
            </w:pP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center"/>
              <w:ind w:right="310"/>
              <w:spacing w:after="0"/>
              <w:rPr>
                <w:sz w:val="20"/>
                <w:szCs w:val="20"/>
                <w:color w:val="auto"/>
              </w:rPr>
            </w:pPr>
            <w:r>
              <w:rPr>
                <w:rFonts w:ascii="Arial" w:cs="Arial" w:eastAsia="Arial" w:hAnsi="Arial"/>
                <w:sz w:val="18"/>
                <w:szCs w:val="18"/>
                <w:color w:val="auto"/>
                <w:w w:val="92"/>
              </w:rPr>
              <w:t>As of</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w w:val="93"/>
              </w:rPr>
              <w:t>September 30,</w:t>
            </w: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1"/>
              </w:rPr>
              <w:t>September 30,</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9"/>
              </w:rPr>
              <w:t>December 31, 2016</w:t>
            </w:r>
          </w:p>
        </w:tc>
        <w:tc>
          <w:tcPr>
            <w:tcW w:w="26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gridSpan w:val="5"/>
          </w:tcPr>
          <w:p>
            <w:pPr>
              <w:jc w:val="center"/>
              <w:ind w:right="70"/>
              <w:spacing w:after="0"/>
              <w:rPr>
                <w:sz w:val="20"/>
                <w:szCs w:val="20"/>
                <w:color w:val="auto"/>
              </w:rPr>
            </w:pPr>
            <w:r>
              <w:rPr>
                <w:rFonts w:ascii="Arial" w:cs="Arial" w:eastAsia="Arial" w:hAnsi="Arial"/>
                <w:sz w:val="18"/>
                <w:szCs w:val="18"/>
                <w:color w:val="auto"/>
                <w:w w:val="88"/>
              </w:rPr>
              <w:t>(in thousands, except share amounts)</w:t>
            </w:r>
          </w:p>
        </w:tc>
        <w:tc>
          <w:tcPr>
            <w:tcW w:w="0" w:type="dxa"/>
            <w:vAlign w:val="bottom"/>
          </w:tcPr>
          <w:p>
            <w:pPr>
              <w:spacing w:after="0"/>
              <w:rPr>
                <w:sz w:val="1"/>
                <w:szCs w:val="1"/>
                <w:color w:val="auto"/>
              </w:rPr>
            </w:pPr>
          </w:p>
        </w:tc>
      </w:tr>
      <w:tr>
        <w:trPr>
          <w:trHeight w:val="252"/>
        </w:trPr>
        <w:tc>
          <w:tcPr>
            <w:tcW w:w="6360" w:type="dxa"/>
            <w:vAlign w:val="bottom"/>
          </w:tcPr>
          <w:p>
            <w:pPr>
              <w:ind w:left="340"/>
              <w:spacing w:after="0"/>
              <w:rPr>
                <w:sz w:val="20"/>
                <w:szCs w:val="20"/>
                <w:color w:val="auto"/>
              </w:rPr>
            </w:pPr>
            <w:r>
              <w:rPr>
                <w:rFonts w:ascii="Arial" w:cs="Arial" w:eastAsia="Arial" w:hAnsi="Arial"/>
                <w:sz w:val="18"/>
                <w:szCs w:val="18"/>
                <w:b w:val="1"/>
                <w:bCs w:val="1"/>
                <w:color w:val="auto"/>
              </w:rPr>
              <w:t>LIABILITIES, REDEEMABLE NONCONTROLLING INTEREST AND</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2500"/>
              <w:spacing w:after="0"/>
              <w:rPr>
                <w:sz w:val="20"/>
                <w:szCs w:val="20"/>
                <w:color w:val="auto"/>
              </w:rPr>
            </w:pPr>
            <w:r>
              <w:rPr>
                <w:rFonts w:ascii="Arial" w:cs="Arial" w:eastAsia="Arial" w:hAnsi="Arial"/>
                <w:sz w:val="18"/>
                <w:szCs w:val="18"/>
                <w:b w:val="1"/>
                <w:bCs w:val="1"/>
                <w:color w:val="auto"/>
              </w:rPr>
              <w:t>TOTAL EQUITY</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95,595</w:t>
            </w:r>
          </w:p>
        </w:tc>
        <w:tc>
          <w:tcPr>
            <w:tcW w:w="42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153,477</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110,630</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213,571</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244,034</w:t>
            </w:r>
          </w:p>
        </w:tc>
        <w:tc>
          <w:tcPr>
            <w:tcW w:w="2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228,522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Derivative liabilities, current</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1,562</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2,459</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Accrued income taxes, net</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5,587</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12,552</w:t>
            </w:r>
          </w:p>
        </w:tc>
        <w:tc>
          <w:tcPr>
            <w:tcW w:w="2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10,909</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Regulatory liabilities, current</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7,042</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13,067</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16,925</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225,170</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96,600</w:t>
            </w:r>
          </w:p>
        </w:tc>
        <w:tc>
          <w:tcPr>
            <w:tcW w:w="2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Borders>
              <w:bottom w:val="single" w:sz="8" w:color="CEFFE7"/>
            </w:tcBorders>
            <w:shd w:val="clear" w:color="auto" w:fill="CEFFE7"/>
          </w:tcPr>
          <w:p>
            <w:pPr>
              <w:spacing w:after="0"/>
              <w:rPr>
                <w:sz w:val="23"/>
                <w:szCs w:val="23"/>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5,743</w:t>
            </w:r>
          </w:p>
        </w:tc>
        <w:tc>
          <w:tcPr>
            <w:tcW w:w="4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5,743</w:t>
            </w:r>
          </w:p>
        </w:tc>
        <w:tc>
          <w:tcPr>
            <w:tcW w:w="26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37"/>
        </w:trPr>
        <w:tc>
          <w:tcPr>
            <w:tcW w:w="636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554,270</w:t>
            </w: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527,932</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449,670</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3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8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3,109,864</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3,211,189</w:t>
            </w:r>
          </w:p>
        </w:tc>
        <w:tc>
          <w:tcPr>
            <w:tcW w:w="2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3,211,768</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3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8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Deferred credits and other liabilities:</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Deferred income tax liabilities, net, non-current</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605,744</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535,606</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533,865</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Derivative liabilities, non-current</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Regulatory liabilities, non-current</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198,189</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193,689</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186,496</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Benefit plan liabilities</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149,803</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173,682</w:t>
            </w:r>
          </w:p>
        </w:tc>
        <w:tc>
          <w:tcPr>
            <w:tcW w:w="2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Other deferred credits and other liabilities</w:t>
            </w:r>
          </w:p>
        </w:tc>
        <w:tc>
          <w:tcPr>
            <w:tcW w:w="180" w:type="dxa"/>
            <w:vAlign w:val="bottom"/>
            <w:tcBorders>
              <w:bottom w:val="single" w:sz="8" w:color="CEFFE7"/>
            </w:tcBorders>
            <w:shd w:val="clear" w:color="auto" w:fill="CEFFE7"/>
          </w:tcPr>
          <w:p>
            <w:pPr>
              <w:spacing w:after="0"/>
              <w:rPr>
                <w:sz w:val="23"/>
                <w:szCs w:val="23"/>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137,251</w:t>
            </w:r>
          </w:p>
        </w:tc>
        <w:tc>
          <w:tcPr>
            <w:tcW w:w="4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138,643</w:t>
            </w:r>
          </w:p>
        </w:tc>
        <w:tc>
          <w:tcPr>
            <w:tcW w:w="26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141,007</w:t>
            </w:r>
          </w:p>
        </w:tc>
        <w:tc>
          <w:tcPr>
            <w:tcW w:w="0" w:type="dxa"/>
            <w:vAlign w:val="bottom"/>
          </w:tcPr>
          <w:p>
            <w:pPr>
              <w:spacing w:after="0"/>
              <w:rPr>
                <w:sz w:val="1"/>
                <w:szCs w:val="1"/>
                <w:color w:val="auto"/>
              </w:rPr>
            </w:pPr>
          </w:p>
        </w:tc>
      </w:tr>
      <w:tr>
        <w:trPr>
          <w:trHeight w:val="237"/>
        </w:trPr>
        <w:tc>
          <w:tcPr>
            <w:tcW w:w="6360" w:type="dxa"/>
            <w:vAlign w:val="bottom"/>
          </w:tcPr>
          <w:p>
            <w:pPr>
              <w:ind w:left="580"/>
              <w:spacing w:after="0"/>
              <w:rPr>
                <w:sz w:val="20"/>
                <w:szCs w:val="20"/>
                <w:color w:val="auto"/>
              </w:rPr>
            </w:pPr>
            <w:r>
              <w:rPr>
                <w:rFonts w:ascii="Arial" w:cs="Arial" w:eastAsia="Arial" w:hAnsi="Arial"/>
                <w:sz w:val="18"/>
                <w:szCs w:val="18"/>
                <w:color w:val="auto"/>
              </w:rPr>
              <w:t>Total deferred credits and other liabilities</w:t>
            </w: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1,091,061</w:t>
            </w: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1,041,894</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1,033,318</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3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8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Commitments and contingencies (See Notes 8, 10, 15, 16)</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3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8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4,295</w:t>
            </w:r>
          </w:p>
        </w:tc>
        <w:tc>
          <w:tcPr>
            <w:tcW w:w="2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4,206</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3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8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Stockholders’ equity —</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60"/>
              <w:spacing w:after="0"/>
              <w:rPr>
                <w:sz w:val="20"/>
                <w:szCs w:val="20"/>
                <w:color w:val="auto"/>
              </w:rPr>
            </w:pPr>
            <w:r>
              <w:rPr>
                <w:rFonts w:ascii="Arial" w:cs="Arial" w:eastAsia="Arial" w:hAnsi="Arial"/>
                <w:sz w:val="18"/>
                <w:szCs w:val="18"/>
                <w:color w:val="auto"/>
                <w:w w:val="94"/>
              </w:rPr>
              <w:t>Common stock $1 par value; 100,000,000 shares authorized; issued 53,524,529;</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Arial" w:cs="Arial" w:eastAsia="Arial" w:hAnsi="Arial"/>
                <w:sz w:val="18"/>
                <w:szCs w:val="18"/>
                <w:color w:val="auto"/>
              </w:rPr>
              <w:t>53,397,467; and 53,131,469 shares, respectively</w:t>
            </w:r>
          </w:p>
        </w:tc>
        <w:tc>
          <w:tcPr>
            <w:tcW w:w="180" w:type="dxa"/>
            <w:vAlign w:val="bottom"/>
          </w:tcPr>
          <w:p>
            <w:pPr>
              <w:spacing w:after="0"/>
              <w:rPr>
                <w:sz w:val="20"/>
                <w:szCs w:val="20"/>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53,525</w:t>
            </w:r>
          </w:p>
        </w:tc>
        <w:tc>
          <w:tcPr>
            <w:tcW w:w="4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53,397</w:t>
            </w:r>
          </w:p>
        </w:tc>
        <w:tc>
          <w:tcPr>
            <w:tcW w:w="26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53,131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1,147,922</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1,138,982</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1,123,527</w:t>
            </w:r>
          </w:p>
        </w:tc>
        <w:tc>
          <w:tcPr>
            <w:tcW w:w="0" w:type="dxa"/>
            <w:vAlign w:val="bottom"/>
          </w:tcPr>
          <w:p>
            <w:pPr>
              <w:spacing w:after="0"/>
              <w:rPr>
                <w:sz w:val="1"/>
                <w:szCs w:val="1"/>
                <w:color w:val="auto"/>
              </w:rPr>
            </w:pP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516,371</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457,934</w:t>
            </w:r>
          </w:p>
        </w:tc>
        <w:tc>
          <w:tcPr>
            <w:tcW w:w="2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462,090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Treasury stock, at cost – 41,457; 15,258; and 22,368 shares, respectively</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(2,448)</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(791)</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(32,566)</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(34,883)</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(32,951)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1,682,804</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1,614,639</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1,604,642</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113,178</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115,495</w:t>
            </w:r>
          </w:p>
        </w:tc>
        <w:tc>
          <w:tcPr>
            <w:tcW w:w="2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117,382</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EFFE7"/>
            </w:tcBorders>
            <w:shd w:val="clear" w:color="auto" w:fill="CEFFE7"/>
          </w:tcPr>
          <w:p>
            <w:pPr>
              <w:spacing w:after="0"/>
              <w:rPr>
                <w:sz w:val="22"/>
                <w:szCs w:val="22"/>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1,795,982</w:t>
            </w:r>
          </w:p>
        </w:tc>
        <w:tc>
          <w:tcPr>
            <w:tcW w:w="420" w:type="dxa"/>
            <w:vAlign w:val="bottom"/>
            <w:tcBorders>
              <w:bottom w:val="single" w:sz="8" w:color="CEFFE7"/>
            </w:tcBorders>
            <w:shd w:val="clear" w:color="auto" w:fill="CEFFE7"/>
          </w:tcPr>
          <w:p>
            <w:pPr>
              <w:spacing w:after="0"/>
              <w:rPr>
                <w:sz w:val="22"/>
                <w:szCs w:val="22"/>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1,730,134</w:t>
            </w:r>
          </w:p>
        </w:tc>
        <w:tc>
          <w:tcPr>
            <w:tcW w:w="260" w:type="dxa"/>
            <w:vAlign w:val="bottom"/>
            <w:tcBorders>
              <w:bottom w:val="single" w:sz="8" w:color="CEFFE7"/>
            </w:tcBorders>
            <w:shd w:val="clear" w:color="auto" w:fill="CEFFE7"/>
          </w:tcPr>
          <w:p>
            <w:pPr>
              <w:spacing w:after="0"/>
              <w:rPr>
                <w:sz w:val="22"/>
                <w:szCs w:val="22"/>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1,722,024</w:t>
            </w:r>
          </w:p>
        </w:tc>
        <w:tc>
          <w:tcPr>
            <w:tcW w:w="0" w:type="dxa"/>
            <w:vAlign w:val="bottom"/>
          </w:tcPr>
          <w:p>
            <w:pPr>
              <w:spacing w:after="0"/>
              <w:rPr>
                <w:sz w:val="1"/>
                <w:szCs w:val="1"/>
                <w:color w:val="auto"/>
              </w:rPr>
            </w:pPr>
          </w:p>
        </w:tc>
      </w:tr>
      <w:tr>
        <w:trPr>
          <w:trHeight w:val="291"/>
        </w:trPr>
        <w:tc>
          <w:tcPr>
            <w:tcW w:w="6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EFFE7"/>
          </w:tcPr>
          <w:p>
            <w:pPr>
              <w:ind w:left="20"/>
              <w:spacing w:after="0"/>
              <w:rPr>
                <w:sz w:val="20"/>
                <w:szCs w:val="20"/>
                <w:color w:val="auto"/>
              </w:rPr>
            </w:pPr>
            <w:r>
              <w:rPr>
                <w:rFonts w:ascii="Arial" w:cs="Arial" w:eastAsia="Arial" w:hAnsi="Arial"/>
                <w:sz w:val="18"/>
                <w:szCs w:val="18"/>
                <w:color w:val="auto"/>
              </w:rPr>
              <w:t>TOTAL LIABILITIES, REDEEMABLE NONCONTROLLING INTEREST AND</w:t>
            </w:r>
          </w:p>
        </w:tc>
        <w:tc>
          <w:tcPr>
            <w:tcW w:w="18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EFFE7"/>
          </w:tcPr>
          <w:p>
            <w:pPr>
              <w:jc w:val="right"/>
              <w:ind w:right="70"/>
              <w:spacing w:after="0"/>
              <w:rPr>
                <w:sz w:val="20"/>
                <w:szCs w:val="20"/>
                <w:color w:val="auto"/>
              </w:rPr>
            </w:pPr>
            <w:r>
              <w:rPr>
                <w:rFonts w:ascii="Arial" w:cs="Arial" w:eastAsia="Arial" w:hAnsi="Arial"/>
                <w:sz w:val="18"/>
                <w:szCs w:val="18"/>
                <w:color w:val="auto"/>
              </w:rPr>
              <w:t>6,551,177</w:t>
            </w:r>
          </w:p>
        </w:tc>
        <w:tc>
          <w:tcPr>
            <w:tcW w:w="420" w:type="dxa"/>
            <w:vAlign w:val="bottom"/>
            <w:vMerge w:val="restart"/>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EFFE7"/>
          </w:tcPr>
          <w:p>
            <w:pPr>
              <w:jc w:val="right"/>
              <w:ind w:right="50"/>
              <w:spacing w:after="0"/>
              <w:rPr>
                <w:sz w:val="20"/>
                <w:szCs w:val="20"/>
                <w:color w:val="auto"/>
              </w:rPr>
            </w:pPr>
            <w:r>
              <w:rPr>
                <w:rFonts w:ascii="Arial" w:cs="Arial" w:eastAsia="Arial" w:hAnsi="Arial"/>
                <w:sz w:val="18"/>
                <w:szCs w:val="18"/>
                <w:color w:val="auto"/>
              </w:rPr>
              <w:t>6,515,444</w:t>
            </w:r>
          </w:p>
        </w:tc>
        <w:tc>
          <w:tcPr>
            <w:tcW w:w="2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EFFE7"/>
          </w:tcPr>
          <w:p>
            <w:pPr>
              <w:jc w:val="right"/>
              <w:ind w:right="30"/>
              <w:spacing w:after="0"/>
              <w:rPr>
                <w:sz w:val="20"/>
                <w:szCs w:val="20"/>
                <w:color w:val="auto"/>
              </w:rPr>
            </w:pPr>
            <w:r>
              <w:rPr>
                <w:rFonts w:ascii="Arial" w:cs="Arial" w:eastAsia="Arial" w:hAnsi="Arial"/>
                <w:sz w:val="18"/>
                <w:szCs w:val="18"/>
                <w:color w:val="auto"/>
              </w:rPr>
              <w:t>6,420,986</w:t>
            </w:r>
          </w:p>
        </w:tc>
        <w:tc>
          <w:tcPr>
            <w:tcW w:w="0" w:type="dxa"/>
            <w:vAlign w:val="bottom"/>
          </w:tcPr>
          <w:p>
            <w:pPr>
              <w:spacing w:after="0"/>
              <w:rPr>
                <w:sz w:val="1"/>
                <w:szCs w:val="1"/>
                <w:color w:val="auto"/>
              </w:rPr>
            </w:pPr>
          </w:p>
        </w:tc>
      </w:tr>
      <w:tr>
        <w:trPr>
          <w:trHeight w:val="237"/>
        </w:trPr>
        <w:tc>
          <w:tcPr>
            <w:tcW w:w="6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vMerge w:val="continue"/>
            <w:shd w:val="clear" w:color="auto" w:fill="CEFFE7"/>
          </w:tcPr>
          <w:p>
            <w:pPr>
              <w:spacing w:after="0"/>
              <w:rPr>
                <w:sz w:val="20"/>
                <w:szCs w:val="20"/>
                <w:color w:val="auto"/>
              </w:rPr>
            </w:pPr>
          </w:p>
        </w:tc>
        <w:tc>
          <w:tcPr>
            <w:tcW w:w="1480" w:type="dxa"/>
            <w:vAlign w:val="bottom"/>
            <w:tcBorders>
              <w:bottom w:val="single" w:sz="8" w:color="auto"/>
            </w:tcBorders>
            <w:vMerge w:val="continue"/>
            <w:shd w:val="clear" w:color="auto" w:fill="CEFFE7"/>
          </w:tcPr>
          <w:p>
            <w:pPr>
              <w:spacing w:after="0"/>
              <w:rPr>
                <w:sz w:val="20"/>
                <w:szCs w:val="20"/>
                <w:color w:val="auto"/>
              </w:rPr>
            </w:pPr>
          </w:p>
        </w:tc>
        <w:tc>
          <w:tcPr>
            <w:tcW w:w="420" w:type="dxa"/>
            <w:vAlign w:val="bottom"/>
            <w:tcBorders>
              <w:bottom w:val="single" w:sz="8" w:color="auto"/>
            </w:tcBorders>
            <w:vMerge w:val="continue"/>
            <w:shd w:val="clear" w:color="auto" w:fill="CEFFE7"/>
          </w:tcPr>
          <w:p>
            <w:pPr>
              <w:spacing w:after="0"/>
              <w:rPr>
                <w:sz w:val="20"/>
                <w:szCs w:val="20"/>
                <w:color w:val="auto"/>
              </w:rPr>
            </w:pPr>
          </w:p>
        </w:tc>
        <w:tc>
          <w:tcPr>
            <w:tcW w:w="1260" w:type="dxa"/>
            <w:vAlign w:val="bottom"/>
            <w:tcBorders>
              <w:bottom w:val="single" w:sz="8" w:color="auto"/>
            </w:tcBorders>
            <w:vMerge w:val="continue"/>
            <w:shd w:val="clear" w:color="auto" w:fill="CEFFE7"/>
          </w:tcPr>
          <w:p>
            <w:pPr>
              <w:spacing w:after="0"/>
              <w:rPr>
                <w:sz w:val="20"/>
                <w:szCs w:val="20"/>
                <w:color w:val="auto"/>
              </w:rPr>
            </w:pPr>
          </w:p>
        </w:tc>
        <w:tc>
          <w:tcPr>
            <w:tcW w:w="260" w:type="dxa"/>
            <w:vAlign w:val="bottom"/>
            <w:tcBorders>
              <w:bottom w:val="single" w:sz="8" w:color="auto"/>
            </w:tcBorders>
            <w:vMerge w:val="continue"/>
            <w:shd w:val="clear" w:color="auto" w:fill="CEFFE7"/>
          </w:tcPr>
          <w:p>
            <w:pPr>
              <w:spacing w:after="0"/>
              <w:rPr>
                <w:sz w:val="20"/>
                <w:szCs w:val="20"/>
                <w:color w:val="auto"/>
              </w:rPr>
            </w:pPr>
          </w:p>
        </w:tc>
        <w:tc>
          <w:tcPr>
            <w:tcW w:w="1400" w:type="dxa"/>
            <w:vAlign w:val="bottom"/>
            <w:tcBorders>
              <w:bottom w:val="single" w:sz="8" w:color="auto"/>
            </w:tcBorders>
            <w:vMerge w:val="continue"/>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ectPr>
          <w:pgSz w:w="11900" w:h="16838" w:orient="portrait"/>
          <w:cols w:equalWidth="0" w:num="1">
            <w:col w:w="11360"/>
          </w:cols>
          <w:pgMar w:left="280" w:top="580" w:right="259" w:bottom="1440" w:gutter="0" w:footer="0" w:header="0"/>
        </w:sect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80" w:top="580" w:right="25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16"/>
          <w:szCs w:val="16"/>
          <w:b w:val="1"/>
          <w:bCs w:val="1"/>
          <w:color w:val="auto"/>
        </w:rPr>
        <w:t>BLACK HILLS CORPORATION</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68" w:lineRule="exact"/>
        <w:rPr>
          <w:sz w:val="20"/>
          <w:szCs w:val="20"/>
          <w:color w:val="auto"/>
        </w:rPr>
      </w:pPr>
    </w:p>
    <w:p>
      <w:pPr>
        <w:spacing w:after="0"/>
        <w:tabs>
          <w:tab w:leader="none" w:pos="8880" w:val="left"/>
        </w:tabs>
        <w:rPr>
          <w:sz w:val="20"/>
          <w:szCs w:val="20"/>
          <w:color w:val="auto"/>
        </w:rPr>
      </w:pPr>
      <w:r>
        <w:rPr>
          <w:rFonts w:ascii="Arial" w:cs="Arial" w:eastAsia="Arial" w:hAnsi="Arial"/>
          <w:sz w:val="12"/>
          <w:szCs w:val="12"/>
          <w:color w:val="auto"/>
        </w:rPr>
        <w:t>(unaudited)</w:t>
      </w:r>
      <w:r>
        <w:rPr>
          <w:sz w:val="20"/>
          <w:szCs w:val="20"/>
          <w:color w:val="auto"/>
        </w:rPr>
        <w:tab/>
      </w:r>
      <w:r>
        <w:rPr>
          <w:rFonts w:ascii="Arial" w:cs="Arial" w:eastAsia="Arial" w:hAnsi="Arial"/>
          <w:sz w:val="12"/>
          <w:szCs w:val="12"/>
          <w:color w:val="auto"/>
        </w:rPr>
        <w:t>Nine Months Ended September 30,</w:t>
      </w:r>
    </w:p>
    <w:p>
      <w:pPr>
        <w:spacing w:after="0" w:line="132" w:lineRule="exact"/>
        <w:rPr>
          <w:sz w:val="20"/>
          <w:szCs w:val="20"/>
          <w:color w:val="auto"/>
        </w:rPr>
      </w:pPr>
    </w:p>
    <w:p>
      <w:pPr>
        <w:ind w:left="9020"/>
        <w:spacing w:after="0"/>
        <w:tabs>
          <w:tab w:leader="none" w:pos="10480" w:val="left"/>
        </w:tabs>
        <w:rPr>
          <w:sz w:val="20"/>
          <w:szCs w:val="20"/>
          <w:color w:val="auto"/>
        </w:rPr>
      </w:pPr>
      <w:r>
        <w:rPr>
          <w:rFonts w:ascii="Arial" w:cs="Arial" w:eastAsia="Arial" w:hAnsi="Arial"/>
          <w:sz w:val="14"/>
          <w:szCs w:val="14"/>
          <w:color w:val="auto"/>
        </w:rPr>
        <w:t>2017</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20955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380"/>
          </w:cols>
          <w:pgMar w:left="280" w:top="585" w:right="23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Depreciation, depletion and amortization</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financing cost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Impairment of long-lived assets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Derivative fair value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Stock compensation</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Employee benefit plans</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adjustments,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Changes in certain operating assets and liabilities:</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Materials, supplies and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receivable, unbilled revenues and other operating assets</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payable and other operating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Regulatory assets - current</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Regulatory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Contributions to defined benefit pension plans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rate swap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operating activities, net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Property, plant and equipment additions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Acquisition, net of long term debt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Other investing activities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1580" w:type="dxa"/>
            <w:vAlign w:val="bottom"/>
            <w:gridSpan w:val="2"/>
          </w:tcPr>
          <w:p>
            <w:pPr>
              <w:jc w:val="right"/>
              <w:ind w:right="88"/>
              <w:spacing w:after="0"/>
              <w:rPr>
                <w:sz w:val="20"/>
                <w:szCs w:val="20"/>
                <w:color w:val="auto"/>
              </w:rPr>
            </w:pPr>
            <w:r>
              <w:rPr>
                <w:rFonts w:ascii="Arial" w:cs="Arial" w:eastAsia="Arial" w:hAnsi="Arial"/>
                <w:sz w:val="14"/>
                <w:szCs w:val="14"/>
                <w:color w:val="auto"/>
              </w:rPr>
              <w:t>(in thousands)</w:t>
            </w:r>
          </w:p>
        </w:tc>
        <w:tc>
          <w:tcPr>
            <w:tcW w:w="900" w:type="dxa"/>
            <w:vAlign w:val="bottom"/>
          </w:tcPr>
          <w:p>
            <w:pPr>
              <w:spacing w:after="0"/>
              <w:rPr>
                <w:sz w:val="15"/>
                <w:szCs w:val="15"/>
                <w:color w:val="auto"/>
              </w:rPr>
            </w:pPr>
          </w:p>
        </w:tc>
      </w:tr>
      <w:tr>
        <w:trPr>
          <w:trHeight w:val="216"/>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137,055</w:t>
            </w:r>
          </w:p>
        </w:tc>
        <w:tc>
          <w:tcPr>
            <w:tcW w:w="5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54,802</w:t>
            </w:r>
          </w:p>
        </w:tc>
      </w:tr>
      <w:tr>
        <w:trPr>
          <w:trHeight w:val="486"/>
        </w:trPr>
        <w:tc>
          <w:tcPr>
            <w:tcW w:w="48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146,744</w:t>
            </w:r>
          </w:p>
        </w:tc>
        <w:tc>
          <w:tcPr>
            <w:tcW w:w="5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140,637</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6,212</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4,002</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52,286</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1,931</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(7,308)</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7,594</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9,124</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64,672</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38,578</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8,470</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11,830</w:t>
            </w:r>
          </w:p>
        </w:tc>
      </w:tr>
      <w:tr>
        <w:trPr>
          <w:trHeight w:val="203"/>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(5,550)</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(2,076)</w:t>
            </w:r>
          </w:p>
        </w:tc>
      </w:tr>
      <w:tr>
        <w:trPr>
          <w:trHeight w:val="473"/>
        </w:trPr>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(19,560)</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(5,166)</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107,026</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78,869</w:t>
            </w:r>
          </w:p>
        </w:tc>
      </w:tr>
      <w:tr>
        <w:trPr>
          <w:trHeight w:val="203"/>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(101,471)</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(117,631)</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1,287</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8,453</w:t>
            </w:r>
          </w:p>
        </w:tc>
      </w:tr>
      <w:tr>
        <w:trPr>
          <w:trHeight w:val="203"/>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(4,328)</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(8,181)</w:t>
            </w:r>
          </w:p>
        </w:tc>
      </w:tr>
      <w:tr>
        <w:trPr>
          <w:trHeight w:val="203"/>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(27,700)</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(14,200)</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(28,820)</w:t>
            </w:r>
          </w:p>
        </w:tc>
      </w:tr>
      <w:tr>
        <w:trPr>
          <w:trHeight w:val="209"/>
        </w:trPr>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(2,952)</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(5,998)</w:t>
            </w:r>
          </w:p>
        </w:tc>
      </w:tr>
      <w:tr>
        <w:trPr>
          <w:trHeight w:val="210"/>
        </w:trPr>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319,430</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209,201</w:t>
            </w:r>
          </w:p>
        </w:tc>
      </w:tr>
      <w:tr>
        <w:trPr>
          <w:trHeight w:val="636"/>
        </w:trPr>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(256,138)</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(334,098)</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(1,124,238)</w:t>
            </w:r>
          </w:p>
        </w:tc>
      </w:tr>
      <w:tr>
        <w:trPr>
          <w:trHeight w:val="209"/>
        </w:trPr>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w:t>
            </w:r>
          </w:p>
        </w:tc>
      </w:tr>
      <w:tr>
        <w:trPr>
          <w:trHeight w:val="196"/>
        </w:trPr>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(256,388)</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(1,459,196)</w:t>
            </w:r>
          </w:p>
        </w:tc>
      </w:tr>
    </w:tbl>
    <w:p>
      <w:pPr>
        <w:spacing w:after="0" w:line="200" w:lineRule="exact"/>
        <w:rPr>
          <w:sz w:val="20"/>
          <w:szCs w:val="20"/>
          <w:color w:val="auto"/>
        </w:rPr>
      </w:pPr>
    </w:p>
    <w:p>
      <w:pPr>
        <w:sectPr>
          <w:pgSz w:w="11900" w:h="16838" w:orient="portrait"/>
          <w:cols w:equalWidth="0" w:num="2">
            <w:col w:w="7700" w:space="720"/>
            <w:col w:w="2960"/>
          </w:cols>
          <w:pgMar w:left="280" w:top="585" w:right="2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42" w:lineRule="exact"/>
        <w:rPr>
          <w:sz w:val="20"/>
          <w:szCs w:val="20"/>
          <w:color w:val="auto"/>
        </w:rPr>
      </w:pPr>
    </w:p>
    <w:p>
      <w:pPr>
        <w:ind w:left="240" w:right="860"/>
        <w:spacing w:after="0" w:line="322" w:lineRule="auto"/>
        <w:rPr>
          <w:sz w:val="20"/>
          <w:szCs w:val="20"/>
          <w:color w:val="auto"/>
        </w:rPr>
      </w:pPr>
      <w:r>
        <w:rPr>
          <w:rFonts w:ascii="Arial" w:cs="Arial" w:eastAsia="Arial" w:hAnsi="Arial"/>
          <w:sz w:val="14"/>
          <w:szCs w:val="14"/>
          <w:color w:val="auto"/>
        </w:rPr>
        <w:t>Dividends paid on common stock Common stock issued</w:t>
      </w:r>
    </w:p>
    <w:p>
      <w:pPr>
        <w:ind w:left="240"/>
        <w:spacing w:after="0"/>
        <w:rPr>
          <w:sz w:val="20"/>
          <w:szCs w:val="20"/>
          <w:color w:val="auto"/>
        </w:rPr>
      </w:pPr>
      <w:r>
        <w:rPr>
          <w:rFonts w:ascii="Arial" w:cs="Arial" w:eastAsia="Arial" w:hAnsi="Arial"/>
          <w:sz w:val="14"/>
          <w:szCs w:val="14"/>
          <w:color w:val="auto"/>
        </w:rPr>
        <w:t>Sale of noncontrolling interest</w:t>
      </w:r>
    </w:p>
    <w:p>
      <w:pPr>
        <w:spacing w:after="0" w:line="55" w:lineRule="exact"/>
        <w:rPr>
          <w:sz w:val="20"/>
          <w:szCs w:val="20"/>
          <w:color w:val="auto"/>
        </w:rPr>
      </w:pPr>
    </w:p>
    <w:p>
      <w:pPr>
        <w:ind w:left="240" w:right="140"/>
        <w:spacing w:after="0" w:line="312" w:lineRule="auto"/>
        <w:rPr>
          <w:sz w:val="20"/>
          <w:szCs w:val="20"/>
          <w:color w:val="auto"/>
        </w:rPr>
      </w:pPr>
      <w:r>
        <w:rPr>
          <w:rFonts w:ascii="Arial" w:cs="Arial" w:eastAsia="Arial" w:hAnsi="Arial"/>
          <w:sz w:val="14"/>
          <w:szCs w:val="14"/>
          <w:color w:val="auto"/>
        </w:rPr>
        <w:t>Net (payments) borrowings of short-term debt Long-term debt - issuances</w:t>
      </w:r>
    </w:p>
    <w:p>
      <w:pPr>
        <w:ind w:left="240"/>
        <w:spacing w:after="0"/>
        <w:rPr>
          <w:sz w:val="20"/>
          <w:szCs w:val="20"/>
          <w:color w:val="auto"/>
        </w:rPr>
      </w:pPr>
      <w:r>
        <w:rPr>
          <w:rFonts w:ascii="Arial" w:cs="Arial" w:eastAsia="Arial" w:hAnsi="Arial"/>
          <w:sz w:val="14"/>
          <w:szCs w:val="14"/>
          <w:color w:val="auto"/>
        </w:rPr>
        <w:t>Long-term debt - repayments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Distributions to noncontrolling interest</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financing activities</w:t>
      </w:r>
    </w:p>
    <w:p>
      <w:pPr>
        <w:spacing w:after="0" w:line="69" w:lineRule="exact"/>
        <w:rPr>
          <w:sz w:val="20"/>
          <w:szCs w:val="20"/>
          <w:color w:val="auto"/>
        </w:rPr>
      </w:pPr>
    </w:p>
    <w:p>
      <w:pPr>
        <w:ind w:left="240" w:right="140" w:hanging="242"/>
        <w:spacing w:after="0" w:line="346" w:lineRule="auto"/>
        <w:rPr>
          <w:sz w:val="20"/>
          <w:szCs w:val="20"/>
          <w:color w:val="auto"/>
        </w:rPr>
      </w:pPr>
      <w:r>
        <w:rPr>
          <w:rFonts w:ascii="Arial" w:cs="Arial" w:eastAsia="Arial" w:hAnsi="Arial"/>
          <w:sz w:val="13"/>
          <w:szCs w:val="13"/>
          <w:color w:val="auto"/>
        </w:rPr>
        <w:t>Net cash provided by (used in) financing activities Net change in cash and cash equivalents</w:t>
      </w:r>
    </w:p>
    <w:p>
      <w:pPr>
        <w:spacing w:after="0" w:line="1" w:lineRule="exact"/>
        <w:rPr>
          <w:sz w:val="20"/>
          <w:szCs w:val="20"/>
          <w:color w:val="auto"/>
        </w:rPr>
      </w:pPr>
    </w:p>
    <w:p>
      <w:pPr>
        <w:ind w:right="320"/>
        <w:spacing w:after="0" w:line="499" w:lineRule="auto"/>
        <w:rPr>
          <w:sz w:val="20"/>
          <w:szCs w:val="20"/>
          <w:color w:val="auto"/>
        </w:rPr>
      </w:pPr>
      <w:r>
        <w:rPr>
          <w:rFonts w:ascii="Arial" w:cs="Arial" w:eastAsia="Arial" w:hAnsi="Arial"/>
          <w:sz w:val="12"/>
          <w:szCs w:val="12"/>
          <w:color w:val="auto"/>
        </w:rPr>
        <w:t>Cash and cash equivalents, beginning of period Cash and cash equivalents, end of period</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line="1" w:lineRule="exact"/>
        <w:rPr>
          <w:sz w:val="1"/>
          <w:szCs w:val="1"/>
          <w:color w:val="auto"/>
        </w:rPr>
      </w:pPr>
    </w:p>
    <w:tbl>
      <w:tblPr>
        <w:tblLayout w:type="fixed"/>
        <w:tblInd w:w="466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(71,334)</w:t>
            </w:r>
          </w:p>
        </w:tc>
        <w:tc>
          <w:tcPr>
            <w:tcW w:w="4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(65,247)</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3,562</w:t>
            </w:r>
          </w:p>
        </w:tc>
        <w:tc>
          <w:tcPr>
            <w:tcW w:w="44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107,690</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216,370</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128,570</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(1,800)</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1,767,608</w:t>
            </w:r>
          </w:p>
        </w:tc>
      </w:tr>
      <w:tr>
        <w:trPr>
          <w:trHeight w:val="203"/>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(104,307)</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(1,162,872)</w:t>
            </w:r>
          </w:p>
        </w:tc>
      </w:tr>
      <w:tr>
        <w:trPr>
          <w:trHeight w:val="203"/>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(12,884)</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(4,516)</w:t>
            </w:r>
          </w:p>
        </w:tc>
      </w:tr>
      <w:tr>
        <w:trPr>
          <w:trHeight w:val="209"/>
        </w:trPr>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(6,719)</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(16,285)</w:t>
            </w:r>
          </w:p>
        </w:tc>
      </w:tr>
      <w:tr>
        <w:trPr>
          <w:trHeight w:val="210"/>
        </w:trPr>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(63,112)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840,948</w:t>
            </w:r>
          </w:p>
        </w:tc>
      </w:tr>
      <w:tr>
        <w:trPr>
          <w:trHeight w:val="190"/>
        </w:trPr>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w:t>
            </w: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(409,047)</w:t>
            </w:r>
          </w:p>
        </w:tc>
      </w:tr>
      <w:tr>
        <w:trPr>
          <w:trHeight w:val="222"/>
        </w:trPr>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13,580</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440,861</w:t>
            </w:r>
          </w:p>
        </w:tc>
      </w:tr>
      <w:tr>
        <w:trPr>
          <w:trHeight w:val="210"/>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13,510</w:t>
            </w: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31,814</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-1654810</wp:posOffset>
            </wp:positionV>
            <wp:extent cx="72466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-1388745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-1114425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-848360</wp:posOffset>
            </wp:positionV>
            <wp:extent cx="724662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-591185</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-307975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See Note 14 for supplemental disclosure of cash flow information.</w:t>
      </w:r>
    </w:p>
    <w:p>
      <w:pPr>
        <w:spacing w:after="0" w:line="109" w:lineRule="exact"/>
        <w:rPr>
          <w:sz w:val="20"/>
          <w:szCs w:val="20"/>
          <w:color w:val="auto"/>
        </w:rPr>
      </w:pPr>
    </w:p>
    <w:p>
      <w:pPr>
        <w:sectPr>
          <w:pgSz w:w="11900" w:h="16838" w:orient="portrait"/>
          <w:cols w:equalWidth="0" w:num="2">
            <w:col w:w="3040" w:space="720"/>
            <w:col w:w="7620"/>
          </w:cols>
          <w:pgMar w:left="280" w:top="585" w:right="239" w:bottom="1440" w:gutter="0" w:footer="0" w:header="0"/>
          <w:type w:val="continuous"/>
        </w:sectPr>
      </w:pPr>
    </w:p>
    <w:p>
      <w:pPr>
        <w:jc w:val="center"/>
        <w:ind w:right="20"/>
        <w:spacing w:after="0"/>
        <w:rPr>
          <w:sz w:val="20"/>
          <w:szCs w:val="20"/>
          <w:color w:val="auto"/>
        </w:rPr>
      </w:pPr>
      <w:r>
        <w:rPr>
          <w:rFonts w:ascii="Arial" w:cs="Arial" w:eastAsia="Arial" w:hAnsi="Arial"/>
          <w:sz w:val="12"/>
          <w:szCs w:val="12"/>
          <w:color w:val="auto"/>
        </w:rPr>
        <w:t>The accompanying Notes to Condensed Consolidated Financial Statements are an integral part of these Condensed Consolidated Financial Statements.</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80" w:top="585" w:right="239" w:bottom="1440" w:gutter="0" w:footer="0" w:header="0"/>
          <w:type w:val="continuous"/>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BLACK HILLS CORPORATION</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(Reference is made to 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included in the Company’s 2016 Annual Report on Form 10-K)</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MANAGEMENT’S STATEMENT</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thereto included in our 2016 Annual Report on Form 10-K filed with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conduct our operations through the following reportable segments: Electric Utilities, Gas Utilities, Power Generation, Mining and Oil and Gas. Our reportable segments are based on our method of internal reporting, which is generally segregated by differences in products, services and regulation. All of our operations and assets are located within the United States.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November 1, 2017, the BHC board of directors approved a complete divestiture of our Oil and Gas segment. We have initiated the process of divesting all Oil and Gas segment assets in order to fully exit the oil and gas business. We anticipate selling or otherwise disposing of all remaining oil and gas properties and assets by year-end 2018 and have retained advisors to accelerate the marketing and sales process. The Company’s Condensed Consolidated Financial Statements and accompanying Notes as of and for the three and nine months ended September 30, 2017 include the Oil and Gas segment’s assets and liabilities, results of operations and cash flows within continuing operations, as we did not meet the criteria for classifying assets as held for sale and presenting the segment’s activities as discontinued operations during the quarter. See Note 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Basis of Presentation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information furnished in the accompanying Condensed Consolidated Financial Statements reflects certain estimates required and all adjustments, including accruals, which are, in the opinion of management, necessary for a fair presentation of the September 30, 2017, December 31, 2016, and September 30, 2016 financial information and are of a normal recurring nature. 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as well as changes in market prices. In particular, the normal peak usage season for electric utilities is June through August while the normal peak usage season for gas utilities is November through March. Significant earnings variances can be expected between the Gas Utilities segment’s peak and off-peak seasons. Due to this seasonal nature, our results of operations for the three and nine months ended September 30, 2017 and September 30, 2016, and our financial condition as of September 30, 2017, December 31, 2016, and September 30, 2016, are not necessarily indicative of the results of operations and financial condition to be expected as of or for any other period. September 30, 2017 reflects a full nine months of activity from the SourceGas Acquisition on February 12, 2016, as compared to the nine months ended September 30, 2016 which reflects a partial period of approximately 7.5 months. All earnings per share amounts discussed refer to diluted earnings per share unless otherwise noted.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revisions have been made to prior years’ financial information to conform to the current year presentation.</w:t>
      </w:r>
    </w:p>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revised its presentation of cash as of December 31, 2016. The Company has banking arrangements at certain financial institutions whereby if required, payments of one account are cleared with cash from other accounts at the same financial institution; therefore, book overdrafts are presented on a combined basis by bank as cash and cash equivalents. Prior year amounts were corrected to conform with the current year presentation, which decreased cash and cash equivalents and accounts payable by $31 million as of September 30, 2016, and decreased net cash flows provided by operations by $15 million for the nine months ended September 30, 2016. We assessed the materiality of these changes, taking into account quantitative and qualitative factors, and determined them to be immaterial to the Condensed Consolidated Balance Sheet as of September</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580" w:right="299" w:bottom="1440" w:gutter="0" w:footer="0" w:header="0"/>
        </w:sectPr>
      </w:pPr>
    </w:p>
    <w:bookmarkStart w:id="11" w:name="page12"/>
    <w:bookmarkEnd w:id="11"/>
    <w:p>
      <w:pPr>
        <w:ind w:right="120"/>
        <w:spacing w:after="0" w:line="308" w:lineRule="auto"/>
        <w:rPr>
          <w:sz w:val="20"/>
          <w:szCs w:val="20"/>
          <w:color w:val="auto"/>
        </w:rPr>
      </w:pPr>
      <w:r>
        <w:rPr>
          <w:rFonts w:ascii="Arial" w:cs="Arial" w:eastAsia="Arial" w:hAnsi="Arial"/>
          <w:sz w:val="17"/>
          <w:szCs w:val="17"/>
          <w:color w:val="auto"/>
        </w:rPr>
        <w:t>30, 2016 and to the Condensed Consolidated Statements of Cash Flows for the nine months ended September 30, 2016. There is no impact to the Condensed Consolidated Statements of Income or the Condensed Consolidated Statements of Comprehensive Income for any period reported.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from Contracts with Customers, ASU 2014-09</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The new disclosure requirements will provide information about the nature, amount, timing and uncertainty of revenue and cash flows from revenue contracts with customers. The guidance is effective for annual and interim reporting periods beginning after December 15, 2017 with early adoption on January 1, 2017 permitted. Entities will have the option of using either a full retrospective or modified retrospective approach to adopting this guidance. Under the modified approach, an entity would recognize the cumulative effect of initially applying the guidance with an adjustment to the opening balance of retained earnings in the period of adoption.</w:t>
      </w:r>
    </w:p>
    <w:p>
      <w:pPr>
        <w:spacing w:after="0" w:line="19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currently expect to implement the standard on a modified retrospective basis effective January 1, 2018. We have substantially completed our assessment of all sources of revenue and are currently determining the impact that adoption of the new standard will have on our financial position, results of operations and cash flows. A majority of our revenues are from regulated tariff offerings that provide natural gas or electricity with a defined contractual term. For such arrangements, we expect that revenue from contracts with the customer will be equivalent to the electricity or gas delivered during that period. Therefore, we do not expect to have a significant shift in the timing or pattern of revenue recognition for regulated tariff based sales. We also continue to monitor outstanding industry implementation issues and assess the impacts to our current accounting policies and/or patterns of revenue recognition.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Compensation - Retirement Benefits: Improving the Presentation of Net Periodic Pension Cost and Net Periodic Post-Retirement Benefit Cost, ASU 2017-07</w:t>
      </w: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Compensation – Retirement Benefits (Topic 715): Improving the Presentation of Net Periodic Pension Cost</w:t>
      </w:r>
      <w:r>
        <w:rPr>
          <w:rFonts w:ascii="Arial" w:cs="Arial" w:eastAsia="Arial" w:hAnsi="Arial"/>
          <w:sz w:val="16"/>
          <w:szCs w:val="16"/>
          <w:color w:val="auto"/>
        </w:rPr>
        <w:t xml:space="preserve"> </w:t>
      </w:r>
      <w:r>
        <w:rPr>
          <w:rFonts w:ascii="Arial" w:cs="Arial" w:eastAsia="Arial" w:hAnsi="Arial"/>
          <w:sz w:val="16"/>
          <w:szCs w:val="16"/>
          <w:i w:val="1"/>
          <w:iCs w:val="1"/>
          <w:color w:val="auto"/>
        </w:rPr>
        <w:t>and Net Periodic Post-Retirement Benefit Cost</w:t>
      </w:r>
      <w:r>
        <w:rPr>
          <w:rFonts w:ascii="Arial" w:cs="Arial" w:eastAsia="Arial" w:hAnsi="Arial"/>
          <w:sz w:val="16"/>
          <w:szCs w:val="16"/>
          <w:color w:val="auto"/>
        </w:rPr>
        <w:t>. The changes to the standard require employers to report the service cost component in the same line item(s) as</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compensation costs, and require the other components of net periodic pension and post-retirement benefit costs to be separately presented in the income statement outside of income from operations. Additionally, only the service cost component may be eligible for capitalization, when applicable. However, all cost components remain eligible for capitalization under FERC regulations. This ASU will be applied retrospectively for the presentation of the service cost component and the other components of net periodic pension and post-retirement benefit costs in the income statement. The capitalization of the service cost component of net periodic pension and post-retirement benefit costs in assets will be applied on a prospective basis. This new guidance is effective for annual periods beginning after December 15, 2017, including interim periods within those annual periods. We continue to assess the impact of this new standard on our financial statements and disclosures, and we monitor regulated utility industry implementation discussions and guidance. For our rate-regulated entities, we currently expect to capitalize the other components of net periodic benefit costs into regulatory assets or regulatory liabilities. The presentation changes required for net periodic pension and post-retirement costs will result in offsetting changes to Operating income and Other income which are not expected to be material. We will implement this standard effective January 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Cash Flows: Classification of Certain Cash Receipts and Cash Payments, ASU 2016-15</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 (a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consensus of the Emerging Issues Task Force). </w:t>
      </w:r>
      <w:r>
        <w:rPr>
          <w:rFonts w:ascii="Arial" w:cs="Arial" w:eastAsia="Arial" w:hAnsi="Arial"/>
          <w:sz w:val="17"/>
          <w:szCs w:val="17"/>
          <w:color w:val="auto"/>
        </w:rPr>
        <w:t>This ASU requires changes in the presentation of certain items, including but not limited to, debt prepayment</w:t>
      </w:r>
      <w:r>
        <w:rPr>
          <w:rFonts w:ascii="Arial" w:cs="Arial" w:eastAsia="Arial" w:hAnsi="Arial"/>
          <w:sz w:val="17"/>
          <w:szCs w:val="17"/>
          <w:i w:val="1"/>
          <w:iCs w:val="1"/>
          <w:color w:val="auto"/>
        </w:rPr>
        <w:t xml:space="preserve"> </w:t>
      </w:r>
      <w:r>
        <w:rPr>
          <w:rFonts w:ascii="Arial" w:cs="Arial" w:eastAsia="Arial" w:hAnsi="Arial"/>
          <w:sz w:val="17"/>
          <w:szCs w:val="17"/>
          <w:color w:val="auto"/>
        </w:rPr>
        <w:t>or debt extinguishment costs; contingent consideration payments made after a business combination; proceeds from the settlement of insurance claims; proceeds from the settlement of corporate-owned life insurance policies and distributions received from equity method investees. The ASU will be effective for fiscal years beginning after December 15, 2017. We will use the retrospective transition method to implement this standard effective January 1, 2018. This standard will not have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Leases, ASU 2016-02</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which supersedes ASC 840, </w:t>
      </w:r>
      <w:r>
        <w:rPr>
          <w:rFonts w:ascii="Arial" w:cs="Arial" w:eastAsia="Arial" w:hAnsi="Arial"/>
          <w:sz w:val="17"/>
          <w:szCs w:val="17"/>
          <w:i w:val="1"/>
          <w:iCs w:val="1"/>
          <w:color w:val="auto"/>
        </w:rPr>
        <w:t>Leases</w:t>
      </w:r>
      <w:r>
        <w:rPr>
          <w:rFonts w:ascii="Arial" w:cs="Arial" w:eastAsia="Arial" w:hAnsi="Arial"/>
          <w:sz w:val="17"/>
          <w:szCs w:val="17"/>
          <w:color w:val="auto"/>
        </w:rPr>
        <w:t>. This ASU requires lessees to recognize a right-of-use asset and lease liability on the balance sheet for all leases with a term greater than 12 months, whereas today only financing-type lease liabilities (capital leases) are recognized on the balance sheet. In addition, the definition of a lease has been revised in regards to when an arrangement conveys the right to control the use of the identified asset under the arrangement which may result in changes to the classification of an arrangement as a lease. The ASU does not significantly change the lessees’ recognition, measurement and presentation of expenses and cash flows from the previous accounting standard. Lessors’ accounting under the ASU is largely unchanged from the previous accounting standard. The ASU expands the disclosure requirements of lease arrangements. Lessees and lessors will use a modified retrospective transition approach, which requires application of the new guidance at the beginning of the earliest comparative period presented in the year of adoption. The guidance is effective for interim and annual reporting periods beginning after December 15, 2018, with early adoption permitted.</w:t>
      </w:r>
    </w:p>
    <w:p>
      <w:pPr>
        <w:spacing w:after="0" w:line="18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currently expect to adopt this standard on January 1, 2019. We continue to evaluate the impact of this new standard on our financial position, results of operations and cash flows as well as monitor emerging guidance on such topics as easements and rights of way, pipeline laterals, purchase power agreements, and other industry-related areas. We have begun the process of identifying and categorizing our lease contracts and evaluating our current business processes.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 Targeted Improvement to Accounting for Hedging Activities, 2017-12</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 Targeted Improvement to Accounting for Hedging Activities.</w:t>
      </w:r>
      <w:r>
        <w:rPr>
          <w:rFonts w:ascii="Arial" w:cs="Arial" w:eastAsia="Arial" w:hAnsi="Arial"/>
          <w:sz w:val="17"/>
          <w:szCs w:val="17"/>
          <w:color w:val="auto"/>
        </w:rPr>
        <w:t xml:space="preserve"> This standard better aligns risk management activities and financial reporting for hedging relationships, simplifies hedge accounting requirements and improves disclosures of hedging arrangements. This ASU is effective for fiscal years beginning after December 15, 2018, with early adoption permitted. We are currently reviewing this standard to assess the impact on our financial position,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Improvements to Employee Share-Based Payment Accounting, ASU 2016-09</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This ASU simplifies several aspects of the accounting for employee share-based payment transactions, including the accounting for forfeitures, income taxes, and statutory tax withholding requirements. The ASU was effective for fiscal years, and interim periods within those years, beginning after December 15, 2016, with early adoption permitted. Certain amendments of this guidance are to be applied retrospectively and others prospectively. We implemented this ASU effective January 1, 2017, recording a cumulative-effect adjustment to retained earnings as of the date of adoption of $3.2 million in the Condensed Consolidated Balance Sheets, representing previously recorded forfeitures and excess tax benefits generated in years prior to 2017 that were previously not recognized in stockholders’ equity due to NOLs in those years. Adoption of this ASU did not have a material impact on our consolidated financial position, results of operations or cash flows.</w:t>
      </w:r>
    </w:p>
    <w:p>
      <w:pPr>
        <w:spacing w:after="0" w:line="200" w:lineRule="exact"/>
        <w:rPr>
          <w:sz w:val="20"/>
          <w:szCs w:val="20"/>
          <w:color w:val="auto"/>
        </w:rPr>
      </w:pPr>
    </w:p>
    <w:p>
      <w:pPr>
        <w:spacing w:after="0" w:line="20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 of SourceGas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12, 2016, Black Hills Corporation acquired SourceGas (now referred to as Black Hills Gas Holdings). We acquired SourceGas for $1.1 billion of cash plus the assumption of $760 million of long-term debt. We finalized our purchase price allocation at December 31, 2016. See Note 2 of our Notes to the Consolidated Financial Statements in our 2016 Annual Report on Form 10-K for more details.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unaudited pro forma financial information reflects the consolidated results of operations as if the SourceGas Acquisition had taken place on January 1, 2015. The unaudited pro forma financial information is presented for illustrative purposes only and is not necessarily indicative of the consolidated results of operations that would have been achieved or our future consolidated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pro forma financial information does not reflect any potential cost savings from operating efficiencies resulting from the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4" w:right="259" w:bottom="1440" w:gutter="0" w:footer="0" w:header="0"/>
        </w:sectPr>
      </w:pPr>
    </w:p>
    <w:bookmarkStart w:id="13" w:name="page14"/>
    <w:bookmarkEnd w:id="13"/>
    <w:p>
      <w:pPr>
        <w:ind w:right="140"/>
        <w:spacing w:after="0" w:line="264" w:lineRule="auto"/>
        <w:rPr>
          <w:sz w:val="20"/>
          <w:szCs w:val="20"/>
          <w:color w:val="auto"/>
        </w:rPr>
      </w:pPr>
      <w:r>
        <w:rPr>
          <w:rFonts w:ascii="Arial" w:cs="Arial" w:eastAsia="Arial" w:hAnsi="Arial"/>
          <w:sz w:val="18"/>
          <w:szCs w:val="18"/>
          <w:color w:val="auto"/>
        </w:rPr>
        <w:t>acquisition and does not include certain acquisition-related costs that are not expected to have a continuing impact on the combined consolidated results. Pro forma results for the three and nine months ended September 30, 2016 exclude approximately $3.8 million and $23 million, respectively, of after-tax transaction costs, including professional fees, employee related expenses and other miscellaneous costs.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w w:val="93"/>
              </w:rPr>
              <w:t>Three Months Ended</w:t>
            </w:r>
          </w:p>
        </w:tc>
        <w:tc>
          <w:tcPr>
            <w:tcW w:w="26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color w:val="auto"/>
                <w:w w:val="96"/>
              </w:rPr>
              <w:t>Nine Months Ended</w:t>
            </w:r>
          </w:p>
        </w:tc>
      </w:tr>
      <w:tr>
        <w:trPr>
          <w:trHeight w:val="230"/>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170"/>
              <w:spacing w:after="0"/>
              <w:rPr>
                <w:sz w:val="20"/>
                <w:szCs w:val="20"/>
                <w:color w:val="auto"/>
              </w:rPr>
            </w:pPr>
            <w:r>
              <w:rPr>
                <w:rFonts w:ascii="Arial" w:cs="Arial" w:eastAsia="Arial" w:hAnsi="Arial"/>
                <w:sz w:val="18"/>
                <w:szCs w:val="18"/>
                <w:color w:val="auto"/>
                <w:w w:val="94"/>
              </w:rPr>
              <w:t>September 30, 2016</w:t>
            </w:r>
          </w:p>
        </w:tc>
        <w:tc>
          <w:tcPr>
            <w:tcW w:w="26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color w:val="auto"/>
                <w:w w:val="93"/>
              </w:rPr>
              <w:t>September 30, 2016</w:t>
            </w:r>
          </w:p>
        </w:tc>
      </w:tr>
      <w:tr>
        <w:trPr>
          <w:trHeight w:val="27"/>
        </w:trPr>
        <w:tc>
          <w:tcPr>
            <w:tcW w:w="732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3"/>
          </w:tcPr>
          <w:p>
            <w:pPr>
              <w:spacing w:after="0"/>
              <w:rPr>
                <w:sz w:val="2"/>
                <w:szCs w:val="2"/>
                <w:color w:val="auto"/>
              </w:rPr>
            </w:pPr>
          </w:p>
        </w:tc>
      </w:tr>
      <w:tr>
        <w:trPr>
          <w:trHeight w:val="264"/>
        </w:trPr>
        <w:tc>
          <w:tcPr>
            <w:tcW w:w="7320" w:type="dxa"/>
            <w:vAlign w:val="bottom"/>
            <w:tcBorders>
              <w:bottom w:val="single" w:sz="8" w:color="CEFFE7"/>
            </w:tcBorders>
            <w:shd w:val="clear" w:color="auto" w:fill="CEFFE7"/>
          </w:tcPr>
          <w:p>
            <w:pPr>
              <w:spacing w:after="0"/>
              <w:rPr>
                <w:sz w:val="22"/>
                <w:szCs w:val="22"/>
                <w:color w:val="auto"/>
              </w:rPr>
            </w:pPr>
          </w:p>
        </w:tc>
        <w:tc>
          <w:tcPr>
            <w:tcW w:w="180" w:type="dxa"/>
            <w:vAlign w:val="bottom"/>
            <w:tcBorders>
              <w:bottom w:val="single" w:sz="8" w:color="CEFFE7"/>
            </w:tcBorders>
            <w:shd w:val="clear" w:color="auto" w:fill="CEFFE7"/>
          </w:tcPr>
          <w:p>
            <w:pPr>
              <w:spacing w:after="0"/>
              <w:rPr>
                <w:sz w:val="22"/>
                <w:szCs w:val="22"/>
                <w:color w:val="auto"/>
              </w:rPr>
            </w:pPr>
          </w:p>
        </w:tc>
        <w:tc>
          <w:tcPr>
            <w:tcW w:w="3920" w:type="dxa"/>
            <w:vAlign w:val="bottom"/>
            <w:tcBorders>
              <w:bottom w:val="single" w:sz="8" w:color="CEFFE7"/>
            </w:tcBorders>
            <w:gridSpan w:val="3"/>
            <w:shd w:val="clear" w:color="auto" w:fill="CEFFE7"/>
          </w:tcPr>
          <w:p>
            <w:pPr>
              <w:jc w:val="right"/>
              <w:ind w:right="470"/>
              <w:spacing w:after="0"/>
              <w:rPr>
                <w:sz w:val="20"/>
                <w:szCs w:val="20"/>
                <w:color w:val="auto"/>
              </w:rPr>
            </w:pPr>
            <w:r>
              <w:rPr>
                <w:rFonts w:ascii="Arial" w:cs="Arial" w:eastAsia="Arial" w:hAnsi="Arial"/>
                <w:sz w:val="18"/>
                <w:szCs w:val="18"/>
                <w:color w:val="auto"/>
              </w:rPr>
              <w:t>(in thousands, except per share amounts)</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333,786</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1,188,148</w:t>
            </w:r>
          </w:p>
        </w:tc>
      </w:tr>
      <w:tr>
        <w:trPr>
          <w:trHeight w:val="27"/>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available for common stock</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17,376</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89,973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Earnings per share, 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0.33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320" w:type="dxa"/>
            <w:vAlign w:val="bottom"/>
            <w:shd w:val="clear" w:color="auto" w:fill="CEFFE7"/>
          </w:tcPr>
          <w:p>
            <w:pPr>
              <w:ind w:left="40"/>
              <w:spacing w:after="0"/>
              <w:rPr>
                <w:sz w:val="20"/>
                <w:szCs w:val="20"/>
                <w:color w:val="auto"/>
              </w:rPr>
            </w:pPr>
            <w:r>
              <w:rPr>
                <w:rFonts w:ascii="Arial" w:cs="Arial" w:eastAsia="Arial" w:hAnsi="Arial"/>
                <w:sz w:val="18"/>
                <w:szCs w:val="18"/>
                <w:color w:val="auto"/>
              </w:rPr>
              <w:t>Earnings per share, Diluted</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0.32</w:t>
            </w:r>
          </w:p>
        </w:tc>
        <w:tc>
          <w:tcPr>
            <w:tcW w:w="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732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1820" w:type="dxa"/>
            <w:vAlign w:val="bottom"/>
            <w:shd w:val="clear" w:color="auto" w:fill="CEFFE7"/>
          </w:tcPr>
          <w:p>
            <w:pPr>
              <w:spacing w:after="0"/>
              <w:rPr>
                <w:sz w:val="2"/>
                <w:szCs w:val="2"/>
                <w:color w:val="auto"/>
              </w:rPr>
            </w:pPr>
          </w:p>
        </w:tc>
        <w:tc>
          <w:tcPr>
            <w:tcW w:w="260" w:type="dxa"/>
            <w:vAlign w:val="bottom"/>
            <w:shd w:val="clear" w:color="auto" w:fill="CEFFE7"/>
          </w:tcPr>
          <w:p>
            <w:pPr>
              <w:spacing w:after="0"/>
              <w:rPr>
                <w:sz w:val="2"/>
                <w:szCs w:val="2"/>
                <w:color w:val="auto"/>
              </w:rPr>
            </w:pPr>
          </w:p>
        </w:tc>
        <w:tc>
          <w:tcPr>
            <w:tcW w:w="184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seller’s noncontrolling interest</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part of the SourceGas Transaction, a seller retained a 0.5% noncontrolling interest and we entered into an associated option agreement with the holder for the 0.5% retained interest. The terms of the agreement provided us a call option to purchase the remaining interest beginning 366 days after the initial close of the SourceGas Transaction. In March 2017, we exercised our call option and purchased the remaining 0.5% equity interest in SourceGas for $5.6 million.</w:t>
      </w:r>
    </w:p>
    <w:p>
      <w:pPr>
        <w:spacing w:after="0" w:line="14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Segment information and Corporate activities included in the accompanying Condensed Consolidated Statements of Income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330"/>
              <w:spacing w:after="0"/>
              <w:rPr>
                <w:sz w:val="20"/>
                <w:szCs w:val="20"/>
                <w:color w:val="auto"/>
              </w:rPr>
            </w:pPr>
            <w:r>
              <w:rPr>
                <w:rFonts w:ascii="Arial" w:cs="Arial" w:eastAsia="Arial" w:hAnsi="Arial"/>
                <w:sz w:val="18"/>
                <w:szCs w:val="18"/>
                <w:color w:val="auto"/>
                <w:w w:val="93"/>
              </w:rPr>
              <w:t>External</w:t>
            </w:r>
          </w:p>
        </w:tc>
        <w:tc>
          <w:tcPr>
            <w:tcW w:w="320" w:type="dxa"/>
            <w:vAlign w:val="bottom"/>
          </w:tcPr>
          <w:p>
            <w:pPr>
              <w:spacing w:after="0"/>
              <w:rPr>
                <w:sz w:val="18"/>
                <w:szCs w:val="18"/>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color w:val="auto"/>
                <w:w w:val="92"/>
              </w:rPr>
              <w:t>Inter-company</w:t>
            </w:r>
          </w:p>
        </w:tc>
        <w:tc>
          <w:tcPr>
            <w:tcW w:w="24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Net Income (Loss)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310"/>
              <w:spacing w:after="0"/>
              <w:rPr>
                <w:sz w:val="20"/>
                <w:szCs w:val="20"/>
                <w:color w:val="auto"/>
              </w:rPr>
            </w:pPr>
            <w:r>
              <w:rPr>
                <w:rFonts w:ascii="Arial" w:cs="Arial" w:eastAsia="Arial" w:hAnsi="Arial"/>
                <w:sz w:val="18"/>
                <w:szCs w:val="18"/>
                <w:color w:val="auto"/>
                <w:w w:val="91"/>
              </w:rPr>
              <w:t>Operating</w:t>
            </w:r>
          </w:p>
        </w:tc>
        <w:tc>
          <w:tcPr>
            <w:tcW w:w="320" w:type="dxa"/>
            <w:vAlign w:val="bottom"/>
          </w:tcPr>
          <w:p>
            <w:pPr>
              <w:spacing w:after="0"/>
              <w:rPr>
                <w:sz w:val="18"/>
                <w:szCs w:val="18"/>
                <w:color w:val="auto"/>
              </w:rPr>
            </w:pPr>
          </w:p>
        </w:tc>
        <w:tc>
          <w:tcPr>
            <w:tcW w:w="1520" w:type="dxa"/>
            <w:vAlign w:val="bottom"/>
          </w:tcPr>
          <w:p>
            <w:pPr>
              <w:jc w:val="center"/>
              <w:ind w:right="270"/>
              <w:spacing w:after="0"/>
              <w:rPr>
                <w:sz w:val="20"/>
                <w:szCs w:val="20"/>
                <w:color w:val="auto"/>
              </w:rPr>
            </w:pPr>
            <w:r>
              <w:rPr>
                <w:rFonts w:ascii="Arial" w:cs="Arial" w:eastAsia="Arial" w:hAnsi="Arial"/>
                <w:sz w:val="18"/>
                <w:szCs w:val="18"/>
                <w:color w:val="auto"/>
                <w:w w:val="91"/>
              </w:rPr>
              <w:t>Operating</w:t>
            </w:r>
          </w:p>
        </w:tc>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3"/>
              </w:rPr>
              <w:t>Available for Common</w:t>
            </w:r>
          </w:p>
        </w:tc>
        <w:tc>
          <w:tcPr>
            <w:tcW w:w="0" w:type="dxa"/>
            <w:vAlign w:val="bottom"/>
          </w:tcPr>
          <w:p>
            <w:pPr>
              <w:spacing w:after="0"/>
              <w:rPr>
                <w:sz w:val="1"/>
                <w:szCs w:val="1"/>
                <w:color w:val="auto"/>
              </w:rPr>
            </w:pPr>
          </w:p>
        </w:tc>
      </w:tr>
      <w:tr>
        <w:trPr>
          <w:trHeight w:val="230"/>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Three Months Ended September 30, 2017</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center"/>
              <w:ind w:right="330"/>
              <w:spacing w:after="0"/>
              <w:rPr>
                <w:sz w:val="20"/>
                <w:szCs w:val="20"/>
                <w:color w:val="auto"/>
              </w:rPr>
            </w:pPr>
            <w:r>
              <w:rPr>
                <w:rFonts w:ascii="Arial" w:cs="Arial" w:eastAsia="Arial" w:hAnsi="Arial"/>
                <w:sz w:val="18"/>
                <w:szCs w:val="18"/>
                <w:color w:val="auto"/>
                <w:w w:val="85"/>
              </w:rPr>
              <w:t>Revenue</w:t>
            </w:r>
          </w:p>
        </w:tc>
        <w:tc>
          <w:tcPr>
            <w:tcW w:w="320" w:type="dxa"/>
            <w:vAlign w:val="bottom"/>
          </w:tcPr>
          <w:p>
            <w:pPr>
              <w:spacing w:after="0"/>
              <w:rPr>
                <w:sz w:val="20"/>
                <w:szCs w:val="20"/>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color w:val="auto"/>
                <w:w w:val="85"/>
              </w:rPr>
              <w:t>Revenue</w:t>
            </w:r>
          </w:p>
        </w:tc>
        <w:tc>
          <w:tcPr>
            <w:tcW w:w="240" w:type="dxa"/>
            <w:vAlign w:val="bottom"/>
          </w:tcPr>
          <w:p>
            <w:pPr>
              <w:spacing w:after="0"/>
              <w:rPr>
                <w:sz w:val="20"/>
                <w:szCs w:val="20"/>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Segment:</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3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Electric</w:t>
            </w:r>
          </w:p>
        </w:tc>
        <w:tc>
          <w:tcPr>
            <w:tcW w:w="1740" w:type="dxa"/>
            <w:vAlign w:val="bottom"/>
            <w:tcBorders>
              <w:bottom w:val="single" w:sz="8" w:color="CEFFE7"/>
            </w:tcBorders>
            <w:gridSpan w:val="3"/>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181,238</w:t>
            </w:r>
          </w:p>
        </w:tc>
        <w:tc>
          <w:tcPr>
            <w:tcW w:w="3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2,333</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27,324</w:t>
            </w: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Gas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142,821</w:t>
            </w:r>
          </w:p>
        </w:tc>
        <w:tc>
          <w:tcPr>
            <w:tcW w:w="32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(4,329)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EFFE7"/>
          </w:tcPr>
          <w:p>
            <w:pPr>
              <w:spacing w:after="0"/>
              <w:rPr>
                <w:sz w:val="23"/>
                <w:szCs w:val="23"/>
                <w:color w:val="auto"/>
              </w:rPr>
            </w:pPr>
          </w:p>
        </w:tc>
        <w:tc>
          <w:tcPr>
            <w:tcW w:w="432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138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140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1,810</w:t>
            </w:r>
          </w:p>
        </w:tc>
        <w:tc>
          <w:tcPr>
            <w:tcW w:w="320" w:type="dxa"/>
            <w:vAlign w:val="bottom"/>
            <w:shd w:val="clear" w:color="auto" w:fill="CEFFE7"/>
          </w:tcPr>
          <w:p>
            <w:pPr>
              <w:spacing w:after="0"/>
              <w:rPr>
                <w:sz w:val="23"/>
                <w:szCs w:val="23"/>
                <w:color w:val="auto"/>
              </w:rPr>
            </w:pPr>
          </w:p>
        </w:tc>
        <w:tc>
          <w:tcPr>
            <w:tcW w:w="152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21,117</w:t>
            </w:r>
          </w:p>
        </w:tc>
        <w:tc>
          <w:tcPr>
            <w:tcW w:w="240" w:type="dxa"/>
            <w:vAlign w:val="bottom"/>
            <w:shd w:val="clear" w:color="auto" w:fill="CEFFE7"/>
          </w:tcPr>
          <w:p>
            <w:pPr>
              <w:spacing w:after="0"/>
              <w:rPr>
                <w:sz w:val="23"/>
                <w:szCs w:val="23"/>
                <w:color w:val="auto"/>
              </w:rPr>
            </w:pP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6,155</w:t>
            </w:r>
          </w:p>
        </w:tc>
        <w:tc>
          <w:tcPr>
            <w:tcW w:w="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Mining</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9,742</w:t>
            </w:r>
          </w:p>
        </w:tc>
        <w:tc>
          <w:tcPr>
            <w:tcW w:w="32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7,751</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3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Oil and Gas</w:t>
            </w:r>
          </w:p>
        </w:tc>
        <w:tc>
          <w:tcPr>
            <w:tcW w:w="138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6,527</w:t>
            </w:r>
          </w:p>
        </w:tc>
        <w:tc>
          <w:tcPr>
            <w:tcW w:w="32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(2,712)</w:t>
            </w: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Corporate activities </w:t>
            </w:r>
            <w:r>
              <w:rPr>
                <w:rFonts w:ascii="Arial" w:cs="Arial" w:eastAsia="Arial" w:hAnsi="Arial"/>
                <w:sz w:val="25"/>
                <w:szCs w:val="25"/>
                <w:color w:val="auto"/>
                <w:vertAlign w:val="superscript"/>
              </w:rPr>
              <w:t>(c)</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Inter-company eliminations</w:t>
            </w:r>
          </w:p>
        </w:tc>
        <w:tc>
          <w:tcPr>
            <w:tcW w:w="1380" w:type="dxa"/>
            <w:vAlign w:val="bottom"/>
            <w:tcBorders>
              <w:bottom w:val="single" w:sz="8" w:color="CEFFE7"/>
            </w:tcBorders>
            <w:shd w:val="clear" w:color="auto" w:fill="CEFFE7"/>
          </w:tcPr>
          <w:p>
            <w:pPr>
              <w:spacing w:after="0"/>
              <w:rPr>
                <w:sz w:val="23"/>
                <w:szCs w:val="23"/>
                <w:color w:val="auto"/>
              </w:rPr>
            </w:pPr>
          </w:p>
        </w:tc>
        <w:tc>
          <w:tcPr>
            <w:tcW w:w="10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3"/>
                <w:szCs w:val="23"/>
                <w:color w:val="auto"/>
              </w:rPr>
            </w:pP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(31,274)</w:t>
            </w:r>
          </w:p>
        </w:tc>
        <w:tc>
          <w:tcPr>
            <w:tcW w:w="24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gridSpan w:val="2"/>
            <w:shd w:val="clear" w:color="auto" w:fill="CEFFE7"/>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342,138</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27,663</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color w:val="auto"/>
                <w:w w:val="93"/>
              </w:rPr>
              <w:t>External</w:t>
            </w:r>
          </w:p>
        </w:tc>
        <w:tc>
          <w:tcPr>
            <w:tcW w:w="320" w:type="dxa"/>
            <w:vAlign w:val="bottom"/>
          </w:tcPr>
          <w:p>
            <w:pPr>
              <w:spacing w:after="0"/>
              <w:rPr>
                <w:sz w:val="24"/>
                <w:szCs w:val="24"/>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2"/>
              </w:rPr>
              <w:t>Inter-company</w:t>
            </w:r>
          </w:p>
        </w:tc>
        <w:tc>
          <w:tcPr>
            <w:tcW w:w="240" w:type="dxa"/>
            <w:vAlign w:val="bottom"/>
          </w:tcPr>
          <w:p>
            <w:pPr>
              <w:spacing w:after="0"/>
              <w:rPr>
                <w:sz w:val="24"/>
                <w:szCs w:val="24"/>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Net Income (Loss)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color w:val="auto"/>
                <w:w w:val="91"/>
              </w:rPr>
              <w:t>Operating</w:t>
            </w:r>
          </w:p>
        </w:tc>
        <w:tc>
          <w:tcPr>
            <w:tcW w:w="32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color w:val="auto"/>
                <w:w w:val="91"/>
              </w:rPr>
              <w:t>Operating</w:t>
            </w:r>
          </w:p>
        </w:tc>
        <w:tc>
          <w:tcPr>
            <w:tcW w:w="240" w:type="dxa"/>
            <w:vAlign w:val="bottom"/>
          </w:tcPr>
          <w:p>
            <w:pPr>
              <w:spacing w:after="0"/>
              <w:rPr>
                <w:sz w:val="18"/>
                <w:szCs w:val="18"/>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Available for Common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Three Months Ended September 30, 2016</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color w:val="auto"/>
                <w:w w:val="85"/>
              </w:rPr>
              <w:t>Revenue</w:t>
            </w:r>
          </w:p>
        </w:tc>
        <w:tc>
          <w:tcPr>
            <w:tcW w:w="320" w:type="dxa"/>
            <w:vAlign w:val="bottom"/>
          </w:tcPr>
          <w:p>
            <w:pPr>
              <w:spacing w:after="0"/>
              <w:rPr>
                <w:sz w:val="20"/>
                <w:szCs w:val="20"/>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color w:val="auto"/>
                <w:w w:val="88"/>
              </w:rPr>
              <w:t>Revenue</w:t>
            </w:r>
          </w:p>
        </w:tc>
        <w:tc>
          <w:tcPr>
            <w:tcW w:w="240" w:type="dxa"/>
            <w:vAlign w:val="bottom"/>
          </w:tcPr>
          <w:p>
            <w:pPr>
              <w:spacing w:after="0"/>
              <w:rPr>
                <w:sz w:val="20"/>
                <w:szCs w:val="20"/>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Stock</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Segment:</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32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Electric</w:t>
            </w:r>
            <w:r>
              <w:rPr>
                <w:rFonts w:ascii="Arial" w:cs="Arial" w:eastAsia="Arial" w:hAnsi="Arial"/>
                <w:sz w:val="25"/>
                <w:szCs w:val="25"/>
                <w:color w:val="auto"/>
                <w:vertAlign w:val="superscript"/>
              </w:rPr>
              <w:t>.</w:t>
            </w:r>
          </w:p>
        </w:tc>
        <w:tc>
          <w:tcPr>
            <w:tcW w:w="1740" w:type="dxa"/>
            <w:vAlign w:val="bottom"/>
            <w:gridSpan w:val="3"/>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171,754</w:t>
            </w:r>
          </w:p>
        </w:tc>
        <w:tc>
          <w:tcPr>
            <w:tcW w:w="3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2,747</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24,181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Gas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141,445</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32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138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1,906</w:t>
            </w:r>
          </w:p>
        </w:tc>
        <w:tc>
          <w:tcPr>
            <w:tcW w:w="320" w:type="dxa"/>
            <w:vAlign w:val="bottom"/>
            <w:shd w:val="clear" w:color="auto" w:fill="CEFFE7"/>
          </w:tcPr>
          <w:p>
            <w:pPr>
              <w:spacing w:after="0"/>
              <w:rPr>
                <w:sz w:val="23"/>
                <w:szCs w:val="23"/>
                <w:color w:val="auto"/>
              </w:rPr>
            </w:pPr>
          </w:p>
        </w:tc>
        <w:tc>
          <w:tcPr>
            <w:tcW w:w="15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21,431</w:t>
            </w:r>
          </w:p>
        </w:tc>
        <w:tc>
          <w:tcPr>
            <w:tcW w:w="240" w:type="dxa"/>
            <w:vAlign w:val="bottom"/>
            <w:shd w:val="clear" w:color="auto" w:fill="CEFFE7"/>
          </w:tcPr>
          <w:p>
            <w:pPr>
              <w:spacing w:after="0"/>
              <w:rPr>
                <w:sz w:val="23"/>
                <w:szCs w:val="23"/>
                <w:color w:val="auto"/>
              </w:rPr>
            </w:pPr>
          </w:p>
        </w:tc>
        <w:tc>
          <w:tcPr>
            <w:tcW w:w="18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5,642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Mining</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9,042</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7,778</w:t>
            </w: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3,307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32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Oil and Gas </w:t>
            </w:r>
            <w:r>
              <w:rPr>
                <w:rFonts w:ascii="Arial" w:cs="Arial" w:eastAsia="Arial" w:hAnsi="Arial"/>
                <w:sz w:val="25"/>
                <w:szCs w:val="25"/>
                <w:color w:val="auto"/>
                <w:vertAlign w:val="superscript"/>
              </w:rPr>
              <w:t>(e)</w:t>
            </w:r>
          </w:p>
        </w:tc>
        <w:tc>
          <w:tcPr>
            <w:tcW w:w="138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9,639</w:t>
            </w:r>
          </w:p>
        </w:tc>
        <w:tc>
          <w:tcPr>
            <w:tcW w:w="320" w:type="dxa"/>
            <w:vAlign w:val="bottom"/>
            <w:shd w:val="clear" w:color="auto" w:fill="CEFFE7"/>
          </w:tcPr>
          <w:p>
            <w:pPr>
              <w:spacing w:after="0"/>
              <w:rPr>
                <w:sz w:val="23"/>
                <w:szCs w:val="23"/>
                <w:color w:val="auto"/>
              </w:rPr>
            </w:pPr>
          </w:p>
        </w:tc>
        <w:tc>
          <w:tcPr>
            <w:tcW w:w="15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EFFE7"/>
          </w:tcPr>
          <w:p>
            <w:pPr>
              <w:spacing w:after="0"/>
              <w:rPr>
                <w:sz w:val="23"/>
                <w:szCs w:val="23"/>
                <w:color w:val="auto"/>
              </w:rPr>
            </w:pP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(8,828)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3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Corporate activities </w:t>
            </w:r>
            <w:r>
              <w:rPr>
                <w:rFonts w:ascii="Arial" w:cs="Arial" w:eastAsia="Arial" w:hAnsi="Arial"/>
                <w:sz w:val="25"/>
                <w:szCs w:val="25"/>
                <w:color w:val="auto"/>
                <w:vertAlign w:val="superscript"/>
              </w:rPr>
              <w:t>(c)</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(7,232)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Inter-company eliminations</w:t>
            </w:r>
          </w:p>
        </w:tc>
        <w:tc>
          <w:tcPr>
            <w:tcW w:w="1380" w:type="dxa"/>
            <w:vAlign w:val="bottom"/>
            <w:tcBorders>
              <w:bottom w:val="single" w:sz="8" w:color="CEFFE7"/>
            </w:tcBorders>
            <w:shd w:val="clear" w:color="auto" w:fill="CEFFE7"/>
          </w:tcPr>
          <w:p>
            <w:pPr>
              <w:spacing w:after="0"/>
              <w:rPr>
                <w:sz w:val="23"/>
                <w:szCs w:val="23"/>
                <w:color w:val="auto"/>
              </w:rPr>
            </w:pPr>
          </w:p>
        </w:tc>
        <w:tc>
          <w:tcPr>
            <w:tcW w:w="10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3"/>
                <w:szCs w:val="23"/>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(31,956)</w:t>
            </w:r>
          </w:p>
        </w:tc>
        <w:tc>
          <w:tcPr>
            <w:tcW w:w="24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333,786</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93"/>
              </w:rPr>
              <w:t>External</w:t>
            </w:r>
          </w:p>
        </w:tc>
        <w:tc>
          <w:tcPr>
            <w:tcW w:w="30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color w:val="auto"/>
                <w:w w:val="92"/>
              </w:rPr>
              <w:t>Inter-company</w:t>
            </w:r>
          </w:p>
        </w:tc>
        <w:tc>
          <w:tcPr>
            <w:tcW w:w="180" w:type="dxa"/>
            <w:vAlign w:val="bottom"/>
          </w:tcPr>
          <w:p>
            <w:pPr>
              <w:spacing w:after="0"/>
              <w:rPr>
                <w:sz w:val="18"/>
                <w:szCs w:val="18"/>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92"/>
              </w:rPr>
              <w:t>Net Income (Loss)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center"/>
              <w:ind w:right="250"/>
              <w:spacing w:after="0"/>
              <w:rPr>
                <w:sz w:val="20"/>
                <w:szCs w:val="20"/>
                <w:color w:val="auto"/>
              </w:rPr>
            </w:pPr>
            <w:r>
              <w:rPr>
                <w:rFonts w:ascii="Arial" w:cs="Arial" w:eastAsia="Arial" w:hAnsi="Arial"/>
                <w:sz w:val="18"/>
                <w:szCs w:val="18"/>
                <w:color w:val="auto"/>
                <w:w w:val="91"/>
              </w:rPr>
              <w:t>Operating</w:t>
            </w:r>
          </w:p>
        </w:tc>
        <w:tc>
          <w:tcPr>
            <w:tcW w:w="30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color w:val="auto"/>
                <w:w w:val="91"/>
              </w:rPr>
              <w:t>Operating</w:t>
            </w:r>
          </w:p>
        </w:tc>
        <w:tc>
          <w:tcPr>
            <w:tcW w:w="180" w:type="dxa"/>
            <w:vAlign w:val="bottom"/>
          </w:tcPr>
          <w:p>
            <w:pPr>
              <w:spacing w:after="0"/>
              <w:rPr>
                <w:sz w:val="18"/>
                <w:szCs w:val="18"/>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92"/>
              </w:rPr>
              <w:t>Available for Common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Nine Months Ended September 30, 2017</w:t>
            </w:r>
          </w:p>
        </w:tc>
        <w:tc>
          <w:tcPr>
            <w:tcW w:w="300" w:type="dxa"/>
            <w:vAlign w:val="bottom"/>
          </w:tcPr>
          <w:p>
            <w:pPr>
              <w:spacing w:after="0"/>
              <w:rPr>
                <w:sz w:val="20"/>
                <w:szCs w:val="20"/>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85"/>
              </w:rPr>
              <w:t>Revenue</w:t>
            </w:r>
          </w:p>
        </w:tc>
        <w:tc>
          <w:tcPr>
            <w:tcW w:w="300" w:type="dxa"/>
            <w:vAlign w:val="bottom"/>
          </w:tcPr>
          <w:p>
            <w:pPr>
              <w:spacing w:after="0"/>
              <w:rPr>
                <w:sz w:val="20"/>
                <w:szCs w:val="20"/>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color w:val="auto"/>
                <w:w w:val="88"/>
              </w:rPr>
              <w:t>Revenue</w:t>
            </w:r>
          </w:p>
        </w:tc>
        <w:tc>
          <w:tcPr>
            <w:tcW w:w="18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88"/>
              </w:rPr>
              <w:t>Stock</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Segment:</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Electric</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518,925</w:t>
            </w:r>
          </w:p>
        </w:tc>
        <w:tc>
          <w:tcPr>
            <w:tcW w:w="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9,123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68,386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tcPr>
          <w:p>
            <w:pPr>
              <w:ind w:left="160"/>
              <w:spacing w:after="0" w:line="269" w:lineRule="exact"/>
              <w:rPr>
                <w:sz w:val="20"/>
                <w:szCs w:val="20"/>
                <w:color w:val="auto"/>
              </w:rPr>
            </w:pPr>
            <w:r>
              <w:rPr>
                <w:rFonts w:ascii="Arial" w:cs="Arial" w:eastAsia="Arial" w:hAnsi="Arial"/>
                <w:sz w:val="31"/>
                <w:szCs w:val="31"/>
                <w:color w:val="auto"/>
                <w:vertAlign w:val="subscript"/>
              </w:rPr>
              <w:t>Gas</w:t>
            </w:r>
            <w:r>
              <w:rPr>
                <w:rFonts w:ascii="Arial" w:cs="Arial" w:eastAsia="Arial" w:hAnsi="Arial"/>
                <w:sz w:val="12"/>
                <w:szCs w:val="12"/>
                <w:color w:val="auto"/>
              </w:rPr>
              <w:t xml:space="preserve"> (a)</w:t>
            </w:r>
          </w:p>
        </w:tc>
        <w:tc>
          <w:tcPr>
            <w:tcW w:w="300" w:type="dxa"/>
            <w:vAlign w:val="bottom"/>
          </w:tcPr>
          <w:p>
            <w:pPr>
              <w:spacing w:after="0"/>
              <w:rPr>
                <w:sz w:val="23"/>
                <w:szCs w:val="23"/>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674,161</w:t>
            </w:r>
          </w:p>
        </w:tc>
        <w:tc>
          <w:tcPr>
            <w:tcW w:w="300" w:type="dxa"/>
            <w:vAlign w:val="bottom"/>
          </w:tcPr>
          <w:p>
            <w:pPr>
              <w:spacing w:after="0"/>
              <w:rPr>
                <w:sz w:val="23"/>
                <w:szCs w:val="23"/>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41,409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300" w:type="dxa"/>
            <w:vAlign w:val="bottom"/>
            <w:shd w:val="clear" w:color="auto" w:fill="CEFFE7"/>
          </w:tcPr>
          <w:p>
            <w:pPr>
              <w:spacing w:after="0"/>
              <w:rPr>
                <w:sz w:val="23"/>
                <w:szCs w:val="23"/>
                <w:color w:val="auto"/>
              </w:rPr>
            </w:pPr>
          </w:p>
        </w:tc>
        <w:tc>
          <w:tcPr>
            <w:tcW w:w="142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5,382</w:t>
            </w:r>
          </w:p>
        </w:tc>
        <w:tc>
          <w:tcPr>
            <w:tcW w:w="300" w:type="dxa"/>
            <w:vAlign w:val="bottom"/>
            <w:shd w:val="clear" w:color="auto" w:fill="CEFFE7"/>
          </w:tcPr>
          <w:p>
            <w:pPr>
              <w:spacing w:after="0"/>
              <w:rPr>
                <w:sz w:val="23"/>
                <w:szCs w:val="23"/>
                <w:color w:val="auto"/>
              </w:rPr>
            </w:pPr>
          </w:p>
        </w:tc>
        <w:tc>
          <w:tcPr>
            <w:tcW w:w="154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62,907</w:t>
            </w:r>
          </w:p>
        </w:tc>
        <w:tc>
          <w:tcPr>
            <w:tcW w:w="180" w:type="dxa"/>
            <w:vAlign w:val="bottom"/>
            <w:shd w:val="clear" w:color="auto" w:fill="CEFFE7"/>
          </w:tcPr>
          <w:p>
            <w:pPr>
              <w:spacing w:after="0"/>
              <w:rPr>
                <w:sz w:val="23"/>
                <w:szCs w:val="23"/>
                <w:color w:val="auto"/>
              </w:rPr>
            </w:pPr>
          </w:p>
        </w:tc>
        <w:tc>
          <w:tcPr>
            <w:tcW w:w="18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18,017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Mining</w:t>
            </w:r>
          </w:p>
        </w:tc>
        <w:tc>
          <w:tcPr>
            <w:tcW w:w="30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26,500</w:t>
            </w:r>
          </w:p>
        </w:tc>
        <w:tc>
          <w:tcPr>
            <w:tcW w:w="30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22,485</w:t>
            </w:r>
          </w:p>
        </w:tc>
        <w:tc>
          <w:tcPr>
            <w:tcW w:w="18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9,048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Oil and Gas</w:t>
            </w:r>
          </w:p>
        </w:tc>
        <w:tc>
          <w:tcPr>
            <w:tcW w:w="30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19,151</w:t>
            </w:r>
          </w:p>
        </w:tc>
        <w:tc>
          <w:tcPr>
            <w:tcW w:w="30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(7,609)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Corporate activities </w:t>
            </w:r>
            <w:r>
              <w:rPr>
                <w:rFonts w:ascii="Arial" w:cs="Arial" w:eastAsia="Arial" w:hAnsi="Arial"/>
                <w:sz w:val="25"/>
                <w:szCs w:val="25"/>
                <w:color w:val="auto"/>
                <w:vertAlign w:val="superscript"/>
              </w:rPr>
              <w:t>(c)(d)</w:t>
            </w:r>
          </w:p>
        </w:tc>
        <w:tc>
          <w:tcPr>
            <w:tcW w:w="300" w:type="dxa"/>
            <w:vAlign w:val="bottom"/>
          </w:tcPr>
          <w:p>
            <w:pPr>
              <w:spacing w:after="0"/>
              <w:rPr>
                <w:sz w:val="23"/>
                <w:szCs w:val="23"/>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Inter-company eliminations</w:t>
            </w:r>
          </w:p>
        </w:tc>
        <w:tc>
          <w:tcPr>
            <w:tcW w:w="300" w:type="dxa"/>
            <w:vAlign w:val="bottom"/>
            <w:tcBorders>
              <w:bottom w:val="single" w:sz="8" w:color="CEFFE7"/>
            </w:tcBorders>
            <w:shd w:val="clear" w:color="auto" w:fill="CEFFE7"/>
          </w:tcPr>
          <w:p>
            <w:pPr>
              <w:spacing w:after="0"/>
              <w:rPr>
                <w:sz w:val="23"/>
                <w:szCs w:val="23"/>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3"/>
                <w:szCs w:val="23"/>
                <w:color w:val="auto"/>
              </w:rPr>
            </w:pPr>
          </w:p>
        </w:tc>
        <w:tc>
          <w:tcPr>
            <w:tcW w:w="15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(94,605)</w:t>
            </w:r>
          </w:p>
        </w:tc>
        <w:tc>
          <w:tcPr>
            <w:tcW w:w="18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1,244,119</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126,381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93"/>
              </w:rPr>
              <w:t>External</w:t>
            </w:r>
          </w:p>
        </w:tc>
        <w:tc>
          <w:tcPr>
            <w:tcW w:w="300" w:type="dxa"/>
            <w:vAlign w:val="bottom"/>
          </w:tcPr>
          <w:p>
            <w:pPr>
              <w:spacing w:after="0"/>
              <w:rPr>
                <w:sz w:val="24"/>
                <w:szCs w:val="24"/>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color w:val="auto"/>
                <w:w w:val="92"/>
              </w:rPr>
              <w:t>Inter-company</w:t>
            </w:r>
          </w:p>
        </w:tc>
        <w:tc>
          <w:tcPr>
            <w:tcW w:w="18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92"/>
              </w:rPr>
              <w:t>Net Income (Loss)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center"/>
              <w:ind w:right="250"/>
              <w:spacing w:after="0"/>
              <w:rPr>
                <w:sz w:val="20"/>
                <w:szCs w:val="20"/>
                <w:color w:val="auto"/>
              </w:rPr>
            </w:pPr>
            <w:r>
              <w:rPr>
                <w:rFonts w:ascii="Arial" w:cs="Arial" w:eastAsia="Arial" w:hAnsi="Arial"/>
                <w:sz w:val="18"/>
                <w:szCs w:val="18"/>
                <w:color w:val="auto"/>
                <w:w w:val="91"/>
              </w:rPr>
              <w:t>Operating</w:t>
            </w:r>
          </w:p>
        </w:tc>
        <w:tc>
          <w:tcPr>
            <w:tcW w:w="30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color w:val="auto"/>
                <w:w w:val="91"/>
              </w:rPr>
              <w:t>Operating</w:t>
            </w:r>
          </w:p>
        </w:tc>
        <w:tc>
          <w:tcPr>
            <w:tcW w:w="180" w:type="dxa"/>
            <w:vAlign w:val="bottom"/>
          </w:tcPr>
          <w:p>
            <w:pPr>
              <w:spacing w:after="0"/>
              <w:rPr>
                <w:sz w:val="18"/>
                <w:szCs w:val="18"/>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92"/>
              </w:rPr>
              <w:t>Available for Common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2C2C2C"/>
              </w:rPr>
              <w:t>Nine Months Ended September 30, 2016</w:t>
            </w:r>
          </w:p>
        </w:tc>
        <w:tc>
          <w:tcPr>
            <w:tcW w:w="300" w:type="dxa"/>
            <w:vAlign w:val="bottom"/>
          </w:tcPr>
          <w:p>
            <w:pPr>
              <w:spacing w:after="0"/>
              <w:rPr>
                <w:sz w:val="20"/>
                <w:szCs w:val="20"/>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85"/>
              </w:rPr>
              <w:t>Revenue</w:t>
            </w:r>
          </w:p>
        </w:tc>
        <w:tc>
          <w:tcPr>
            <w:tcW w:w="300" w:type="dxa"/>
            <w:vAlign w:val="bottom"/>
          </w:tcPr>
          <w:p>
            <w:pPr>
              <w:spacing w:after="0"/>
              <w:rPr>
                <w:sz w:val="20"/>
                <w:szCs w:val="20"/>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color w:val="auto"/>
                <w:w w:val="88"/>
              </w:rPr>
              <w:t>Revenue</w:t>
            </w:r>
          </w:p>
        </w:tc>
        <w:tc>
          <w:tcPr>
            <w:tcW w:w="18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88"/>
              </w:rPr>
              <w:t>Stock</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Segment:</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Electric</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493,845</w:t>
            </w:r>
          </w:p>
        </w:tc>
        <w:tc>
          <w:tcPr>
            <w:tcW w:w="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9,413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62,625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Gas </w:t>
            </w:r>
            <w:r>
              <w:rPr>
                <w:rFonts w:ascii="Arial" w:cs="Arial" w:eastAsia="Arial" w:hAnsi="Arial"/>
                <w:sz w:val="25"/>
                <w:szCs w:val="25"/>
                <w:color w:val="auto"/>
                <w:vertAlign w:val="superscript"/>
              </w:rPr>
              <w:t>(a)</w:t>
            </w:r>
          </w:p>
        </w:tc>
        <w:tc>
          <w:tcPr>
            <w:tcW w:w="300" w:type="dxa"/>
            <w:vAlign w:val="bottom"/>
          </w:tcPr>
          <w:p>
            <w:pPr>
              <w:spacing w:after="0"/>
              <w:rPr>
                <w:sz w:val="23"/>
                <w:szCs w:val="23"/>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563,879</w:t>
            </w:r>
          </w:p>
        </w:tc>
        <w:tc>
          <w:tcPr>
            <w:tcW w:w="300" w:type="dxa"/>
            <w:vAlign w:val="bottom"/>
          </w:tcPr>
          <w:p>
            <w:pPr>
              <w:spacing w:after="0"/>
              <w:rPr>
                <w:sz w:val="23"/>
                <w:szCs w:val="23"/>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29,975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300" w:type="dxa"/>
            <w:vAlign w:val="bottom"/>
            <w:shd w:val="clear" w:color="auto" w:fill="CEFFE7"/>
          </w:tcPr>
          <w:p>
            <w:pPr>
              <w:spacing w:after="0"/>
              <w:rPr>
                <w:sz w:val="23"/>
                <w:szCs w:val="23"/>
                <w:color w:val="auto"/>
              </w:rPr>
            </w:pPr>
          </w:p>
        </w:tc>
        <w:tc>
          <w:tcPr>
            <w:tcW w:w="142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5,304</w:t>
            </w:r>
          </w:p>
        </w:tc>
        <w:tc>
          <w:tcPr>
            <w:tcW w:w="300" w:type="dxa"/>
            <w:vAlign w:val="bottom"/>
            <w:shd w:val="clear" w:color="auto" w:fill="CEFFE7"/>
          </w:tcPr>
          <w:p>
            <w:pPr>
              <w:spacing w:after="0"/>
              <w:rPr>
                <w:sz w:val="23"/>
                <w:szCs w:val="23"/>
                <w:color w:val="auto"/>
              </w:rPr>
            </w:pPr>
          </w:p>
        </w:tc>
        <w:tc>
          <w:tcPr>
            <w:tcW w:w="154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63,055</w:t>
            </w:r>
          </w:p>
        </w:tc>
        <w:tc>
          <w:tcPr>
            <w:tcW w:w="180" w:type="dxa"/>
            <w:vAlign w:val="bottom"/>
            <w:shd w:val="clear" w:color="auto" w:fill="CEFFE7"/>
          </w:tcPr>
          <w:p>
            <w:pPr>
              <w:spacing w:after="0"/>
              <w:rPr>
                <w:sz w:val="23"/>
                <w:szCs w:val="23"/>
                <w:color w:val="auto"/>
              </w:rPr>
            </w:pPr>
          </w:p>
        </w:tc>
        <w:tc>
          <w:tcPr>
            <w:tcW w:w="18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Mining</w:t>
            </w:r>
          </w:p>
        </w:tc>
        <w:tc>
          <w:tcPr>
            <w:tcW w:w="30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20,498</w:t>
            </w:r>
          </w:p>
        </w:tc>
        <w:tc>
          <w:tcPr>
            <w:tcW w:w="30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23,651</w:t>
            </w:r>
          </w:p>
        </w:tc>
        <w:tc>
          <w:tcPr>
            <w:tcW w:w="18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Oil and Gas </w:t>
            </w:r>
            <w:r>
              <w:rPr>
                <w:rFonts w:ascii="Arial" w:cs="Arial" w:eastAsia="Arial" w:hAnsi="Arial"/>
                <w:sz w:val="25"/>
                <w:szCs w:val="25"/>
                <w:color w:val="auto"/>
                <w:vertAlign w:val="superscript"/>
              </w:rPr>
              <w:t>(e)</w:t>
            </w:r>
          </w:p>
        </w:tc>
        <w:tc>
          <w:tcPr>
            <w:tcW w:w="300" w:type="dxa"/>
            <w:vAlign w:val="bottom"/>
            <w:shd w:val="clear" w:color="auto" w:fill="CEFFE7"/>
          </w:tcPr>
          <w:p>
            <w:pPr>
              <w:spacing w:after="0"/>
              <w:rPr>
                <w:sz w:val="23"/>
                <w:szCs w:val="23"/>
                <w:color w:val="auto"/>
              </w:rPr>
            </w:pPr>
          </w:p>
        </w:tc>
        <w:tc>
          <w:tcPr>
            <w:tcW w:w="142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25,660</w:t>
            </w:r>
          </w:p>
        </w:tc>
        <w:tc>
          <w:tcPr>
            <w:tcW w:w="300" w:type="dxa"/>
            <w:vAlign w:val="bottom"/>
            <w:shd w:val="clear" w:color="auto" w:fill="CEFFE7"/>
          </w:tcPr>
          <w:p>
            <w:pPr>
              <w:spacing w:after="0"/>
              <w:rPr>
                <w:sz w:val="23"/>
                <w:szCs w:val="23"/>
                <w:color w:val="auto"/>
              </w:rPr>
            </w:pPr>
          </w:p>
        </w:tc>
        <w:tc>
          <w:tcPr>
            <w:tcW w:w="154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EFFE7"/>
          </w:tcPr>
          <w:p>
            <w:pPr>
              <w:spacing w:after="0"/>
              <w:rPr>
                <w:sz w:val="23"/>
                <w:szCs w:val="23"/>
                <w:color w:val="auto"/>
              </w:rPr>
            </w:pP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(35,277)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Corporate activities </w:t>
            </w:r>
            <w:r>
              <w:rPr>
                <w:rFonts w:ascii="Arial" w:cs="Arial" w:eastAsia="Arial" w:hAnsi="Arial"/>
                <w:sz w:val="25"/>
                <w:szCs w:val="25"/>
                <w:color w:val="auto"/>
                <w:vertAlign w:val="superscript"/>
              </w:rPr>
              <w:t>(c)(d)</w:t>
            </w:r>
          </w:p>
        </w:tc>
        <w:tc>
          <w:tcPr>
            <w:tcW w:w="300" w:type="dxa"/>
            <w:vAlign w:val="bottom"/>
          </w:tcPr>
          <w:p>
            <w:pPr>
              <w:spacing w:after="0"/>
              <w:rPr>
                <w:sz w:val="23"/>
                <w:szCs w:val="23"/>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(29,397)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8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Inter-company eliminations</w:t>
            </w:r>
          </w:p>
        </w:tc>
        <w:tc>
          <w:tcPr>
            <w:tcW w:w="300" w:type="dxa"/>
            <w:vAlign w:val="bottom"/>
            <w:tcBorders>
              <w:bottom w:val="single" w:sz="8" w:color="CEFFE7"/>
            </w:tcBorders>
            <w:shd w:val="clear" w:color="auto" w:fill="CEFFE7"/>
          </w:tcPr>
          <w:p>
            <w:pPr>
              <w:spacing w:after="0"/>
              <w:rPr>
                <w:sz w:val="23"/>
                <w:szCs w:val="23"/>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3"/>
                <w:szCs w:val="23"/>
                <w:color w:val="auto"/>
              </w:rPr>
            </w:pPr>
          </w:p>
        </w:tc>
        <w:tc>
          <w:tcPr>
            <w:tcW w:w="15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(96,119)</w:t>
            </w:r>
          </w:p>
        </w:tc>
        <w:tc>
          <w:tcPr>
            <w:tcW w:w="18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1,109,186</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54,802</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jc w:val="right"/>
              <w:ind w:right="4852"/>
              <w:spacing w:after="0"/>
              <w:rPr>
                <w:sz w:val="20"/>
                <w:szCs w:val="20"/>
                <w:color w:val="auto"/>
              </w:rPr>
            </w:pPr>
            <w:r>
              <w:rPr>
                <w:rFonts w:ascii="Arial" w:cs="Arial" w:eastAsia="Arial" w:hAnsi="Arial"/>
                <w:sz w:val="16"/>
                <w:szCs w:val="16"/>
                <w:color w:val="auto"/>
                <w:w w:val="89"/>
              </w:rPr>
              <w:t>___________</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Gas Utility revenue increased for the nine months ended September 30, 2017 compared to the same period in the prior year primarily due to the addition of the SourceGas utilities on February 12, 2016.</w:t>
      </w:r>
    </w:p>
    <w:p>
      <w:pPr>
        <w:ind w:left="340" w:right="34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(loss) available for common stock for the three and nine months ended September 30, 2017 and September 30, 2016 was net of net income attributable to noncontrolling interests of $3.9 million and $11 million, and $3.8 million and $6.4 million, respectively.</w:t>
      </w:r>
    </w:p>
    <w:p>
      <w:pPr>
        <w:ind w:left="340" w:right="60" w:hanging="332"/>
        <w:spacing w:after="0" w:line="28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income (loss) available for common stock for the three and nine months ended September 30, 2017 and September 30, 2016 included incremental, non-recurring acquisition costs, net of tax of $0.2 million and $1.5 million, and $4.0 million and $24 million respectively. The nine months ended September 30, 2017 and the three and nine months ended September 30, 2016 included $0.4 million, $1.7 million and $7.4 million, respectively, of after-tax internal labor costs attributable to the acquisition.</w:t>
      </w:r>
    </w:p>
    <w:p>
      <w:pPr>
        <w:spacing w:after="0" w:line="1" w:lineRule="exact"/>
        <w:rPr>
          <w:rFonts w:ascii="Arial" w:cs="Arial" w:eastAsia="Arial" w:hAnsi="Arial"/>
          <w:sz w:val="14"/>
          <w:szCs w:val="14"/>
          <w:color w:val="auto"/>
        </w:rPr>
      </w:pPr>
    </w:p>
    <w:p>
      <w:pPr>
        <w:ind w:left="340" w:right="16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(loss) available for common stock for the nine months ended September 30, 2017 included a $1.4 million tax benefit recognized from carryback claims for specified liability losses involving prior tax years. Net income (loss) available for common stock for the nine months ended September 30, 2016 included tax benefits of approximately $4.4 million as a result of the re-measurement of the liability for uncertain tax positions predicated on an agreement reached with IRS Appeals in early 2016. See Note 18.</w:t>
      </w:r>
    </w:p>
    <w:p>
      <w:pPr>
        <w:spacing w:after="0" w:line="1" w:lineRule="exact"/>
        <w:rPr>
          <w:rFonts w:ascii="Arial" w:cs="Arial" w:eastAsia="Arial" w:hAnsi="Arial"/>
          <w:sz w:val="16"/>
          <w:szCs w:val="16"/>
          <w:color w:val="auto"/>
        </w:rPr>
      </w:pPr>
    </w:p>
    <w:p>
      <w:pPr>
        <w:ind w:left="340" w:right="100" w:hanging="332"/>
        <w:spacing w:after="0" w:line="290" w:lineRule="auto"/>
        <w:tabs>
          <w:tab w:leader="none" w:pos="34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income (loss) available for common stock for the three and nine months ended September 30, 2016 included non-cash after-tax impairments of oil and gas properties of $7.9 million and $33 million, respectively. See Note 17 to the Condensed Consolidated Financial Statements in this Quarterly Report on Form 10-Q.</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68" w:right="25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Segment information and Corporate balances included in the accompanying Condensed Consolidated Balance Sheets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Total Assets (net of inter-company eliminations) as of:</w:t>
            </w:r>
          </w:p>
        </w:tc>
        <w:tc>
          <w:tcPr>
            <w:tcW w:w="200" w:type="dxa"/>
            <w:vAlign w:val="bottom"/>
          </w:tcPr>
          <w:p>
            <w:pPr>
              <w:spacing w:after="0"/>
              <w:rPr>
                <w:sz w:val="20"/>
                <w:szCs w:val="20"/>
                <w:color w:val="auto"/>
              </w:rPr>
            </w:pPr>
          </w:p>
        </w:tc>
        <w:tc>
          <w:tcPr>
            <w:tcW w:w="1880" w:type="dxa"/>
            <w:vAlign w:val="bottom"/>
          </w:tcPr>
          <w:p>
            <w:pPr>
              <w:jc w:val="right"/>
              <w:ind w:right="250"/>
              <w:spacing w:after="0"/>
              <w:rPr>
                <w:sz w:val="20"/>
                <w:szCs w:val="20"/>
                <w:color w:val="auto"/>
              </w:rPr>
            </w:pPr>
            <w:r>
              <w:rPr>
                <w:rFonts w:ascii="Arial" w:cs="Arial" w:eastAsia="Arial" w:hAnsi="Arial"/>
                <w:sz w:val="18"/>
                <w:szCs w:val="18"/>
                <w:color w:val="auto"/>
                <w:w w:val="93"/>
              </w:rPr>
              <w:t>September 30, 2017</w:t>
            </w:r>
          </w:p>
        </w:tc>
        <w:tc>
          <w:tcPr>
            <w:tcW w:w="300" w:type="dxa"/>
            <w:vAlign w:val="bottom"/>
          </w:tcPr>
          <w:p>
            <w:pPr>
              <w:spacing w:after="0"/>
              <w:rPr>
                <w:sz w:val="20"/>
                <w:szCs w:val="20"/>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color w:val="auto"/>
                <w:w w:val="94"/>
              </w:rPr>
              <w:t>December 31, 2016</w:t>
            </w:r>
          </w:p>
        </w:tc>
        <w:tc>
          <w:tcPr>
            <w:tcW w:w="3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color w:val="auto"/>
                <w:w w:val="93"/>
              </w:rPr>
              <w:t>September 30, 2016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Segment:</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Electric </w:t>
            </w:r>
            <w:r>
              <w:rPr>
                <w:rFonts w:ascii="Arial" w:cs="Arial" w:eastAsia="Arial" w:hAnsi="Arial"/>
                <w:sz w:val="25"/>
                <w:szCs w:val="25"/>
                <w:color w:val="auto"/>
                <w:vertAlign w:val="superscript"/>
              </w:rPr>
              <w:t>(a)</w:t>
            </w:r>
          </w:p>
        </w:tc>
        <w:tc>
          <w:tcPr>
            <w:tcW w:w="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2,911,919</w:t>
            </w:r>
          </w:p>
        </w:tc>
        <w:tc>
          <w:tcPr>
            <w:tcW w:w="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2,859,559</w:t>
            </w:r>
          </w:p>
        </w:tc>
        <w:tc>
          <w:tcPr>
            <w:tcW w:w="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2,814,408</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Gas</w:t>
            </w:r>
          </w:p>
        </w:tc>
        <w:tc>
          <w:tcPr>
            <w:tcW w:w="2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3,288,104</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3,307,967</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3,170,571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200" w:type="dxa"/>
            <w:vAlign w:val="bottom"/>
            <w:shd w:val="clear" w:color="auto" w:fill="CEFFE7"/>
          </w:tcPr>
          <w:p>
            <w:pPr>
              <w:spacing w:after="0"/>
              <w:rPr>
                <w:sz w:val="23"/>
                <w:szCs w:val="23"/>
                <w:color w:val="auto"/>
              </w:rPr>
            </w:pPr>
          </w:p>
        </w:tc>
        <w:tc>
          <w:tcPr>
            <w:tcW w:w="18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64,357</w:t>
            </w:r>
          </w:p>
        </w:tc>
        <w:tc>
          <w:tcPr>
            <w:tcW w:w="300" w:type="dxa"/>
            <w:vAlign w:val="bottom"/>
            <w:shd w:val="clear" w:color="auto" w:fill="CEFFE7"/>
          </w:tcPr>
          <w:p>
            <w:pPr>
              <w:spacing w:after="0"/>
              <w:rPr>
                <w:sz w:val="23"/>
                <w:szCs w:val="23"/>
                <w:color w:val="auto"/>
              </w:rPr>
            </w:pPr>
          </w:p>
        </w:tc>
        <w:tc>
          <w:tcPr>
            <w:tcW w:w="18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73,445</w:t>
            </w:r>
          </w:p>
        </w:tc>
        <w:tc>
          <w:tcPr>
            <w:tcW w:w="300" w:type="dxa"/>
            <w:vAlign w:val="bottom"/>
            <w:shd w:val="clear" w:color="auto" w:fill="CEFFE7"/>
          </w:tcPr>
          <w:p>
            <w:pPr>
              <w:spacing w:after="0"/>
              <w:rPr>
                <w:sz w:val="23"/>
                <w:szCs w:val="23"/>
                <w:color w:val="auto"/>
              </w:rPr>
            </w:pPr>
          </w:p>
        </w:tc>
        <w:tc>
          <w:tcPr>
            <w:tcW w:w="18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77,570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66,700</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67,347</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66,804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Oil and Gas </w:t>
            </w:r>
            <w:r>
              <w:rPr>
                <w:rFonts w:ascii="Arial" w:cs="Arial" w:eastAsia="Arial" w:hAnsi="Arial"/>
                <w:sz w:val="25"/>
                <w:szCs w:val="25"/>
                <w:color w:val="auto"/>
                <w:vertAlign w:val="superscript"/>
              </w:rPr>
              <w:t>(b)</w:t>
            </w:r>
          </w:p>
        </w:tc>
        <w:tc>
          <w:tcPr>
            <w:tcW w:w="200" w:type="dxa"/>
            <w:vAlign w:val="bottom"/>
            <w:shd w:val="clear" w:color="auto" w:fill="CEFFE7"/>
          </w:tcPr>
          <w:p>
            <w:pPr>
              <w:spacing w:after="0"/>
              <w:rPr>
                <w:sz w:val="23"/>
                <w:szCs w:val="23"/>
                <w:color w:val="auto"/>
              </w:rPr>
            </w:pPr>
          </w:p>
        </w:tc>
        <w:tc>
          <w:tcPr>
            <w:tcW w:w="18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105,963</w:t>
            </w:r>
          </w:p>
        </w:tc>
        <w:tc>
          <w:tcPr>
            <w:tcW w:w="300" w:type="dxa"/>
            <w:vAlign w:val="bottom"/>
            <w:shd w:val="clear" w:color="auto" w:fill="CEFFE7"/>
          </w:tcPr>
          <w:p>
            <w:pPr>
              <w:spacing w:after="0"/>
              <w:rPr>
                <w:sz w:val="23"/>
                <w:szCs w:val="23"/>
                <w:color w:val="auto"/>
              </w:rPr>
            </w:pPr>
          </w:p>
        </w:tc>
        <w:tc>
          <w:tcPr>
            <w:tcW w:w="18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96,435</w:t>
            </w:r>
          </w:p>
        </w:tc>
        <w:tc>
          <w:tcPr>
            <w:tcW w:w="300" w:type="dxa"/>
            <w:vAlign w:val="bottom"/>
            <w:shd w:val="clear" w:color="auto" w:fill="CEFFE7"/>
          </w:tcPr>
          <w:p>
            <w:pPr>
              <w:spacing w:after="0"/>
              <w:rPr>
                <w:sz w:val="23"/>
                <w:szCs w:val="23"/>
                <w:color w:val="auto"/>
              </w:rPr>
            </w:pPr>
          </w:p>
        </w:tc>
        <w:tc>
          <w:tcPr>
            <w:tcW w:w="18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158,981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Corporate activities</w:t>
            </w:r>
          </w:p>
        </w:tc>
        <w:tc>
          <w:tcPr>
            <w:tcW w:w="2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114,134</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110,691</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132,652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6,551,177</w:t>
            </w:r>
          </w:p>
        </w:tc>
        <w:tc>
          <w:tcPr>
            <w:tcW w:w="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6,515,444</w:t>
            </w:r>
          </w:p>
        </w:tc>
        <w:tc>
          <w:tcPr>
            <w:tcW w:w="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6,420,986</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40" w:hanging="332"/>
        <w:spacing w:after="0" w:line="263" w:lineRule="auto"/>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PPA under which Black Hills Colorado IPP provides generation to support Colorado Electric customers from the Pueblo Airport Generation Station is accounted for as a capital lease. As such, assets owned by our Power Generation segment are recorded at Colorado Electric under accounting for a capital lease.</w:t>
      </w:r>
    </w:p>
    <w:p>
      <w:pPr>
        <w:ind w:left="340" w:right="380" w:hanging="332"/>
        <w:spacing w:after="0" w:line="25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a result of continued low commodity prices and our decision to divest non-core oil and gas assets, we recorded non-cash impairments of $107 million for the year ended December 31, 2016 and $52 million for the nine months ended September 30, 2016. See Note 17 to the Condensed Consolidated Financial Statements in this Quarterly Report on Form 10-Q.</w:t>
      </w:r>
    </w:p>
    <w:p>
      <w:pPr>
        <w:spacing w:after="0" w:line="34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Accounts receivable, net included in the accompanying Condensed Consolidated Balance Sheets (in thousands) as 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September 30, 2017</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42,716</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29,762</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71,984</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49,842</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24,516</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73,168</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1,010</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1,010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3,534</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3,534</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Oil and Gas</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3,590</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3,507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629</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629</w:t>
            </w:r>
          </w:p>
        </w:tc>
      </w:tr>
      <w:tr>
        <w:trPr>
          <w:trHeight w:val="27"/>
        </w:trPr>
        <w:tc>
          <w:tcPr>
            <w:tcW w:w="44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101,321</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54,278</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(1,767)</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153,832</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4"/>
                <w:szCs w:val="24"/>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41,730</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36,463</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77,840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88,168</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88,329</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174,471</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1,420</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1,420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3,352</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3,352</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Oil and Gas</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3,991</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3,978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2,228</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2,228</w:t>
            </w:r>
          </w:p>
        </w:tc>
      </w:tr>
      <w:tr>
        <w:trPr>
          <w:trHeight w:val="27"/>
        </w:trPr>
        <w:tc>
          <w:tcPr>
            <w:tcW w:w="44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140,889</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124,792</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(2,392)</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263,289</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Accounts</w:t>
            </w:r>
          </w:p>
        </w:tc>
        <w:tc>
          <w:tcPr>
            <w:tcW w:w="3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0"/>
                <w:szCs w:val="20"/>
                <w:color w:val="auto"/>
              </w:rPr>
            </w:pP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September 30, 2016</w:t>
            </w:r>
          </w:p>
        </w:tc>
        <w:tc>
          <w:tcPr>
            <w:tcW w:w="200" w:type="dxa"/>
            <w:vAlign w:val="bottom"/>
          </w:tcPr>
          <w:p>
            <w:pPr>
              <w:spacing w:after="0"/>
              <w:rPr>
                <w:sz w:val="23"/>
                <w:szCs w:val="23"/>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color w:val="auto"/>
                <w:w w:val="93"/>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w w:val="95"/>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44,747</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30,970</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75,137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48,057</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23,582</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(1,923)</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69,716</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1,165</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1,165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3,612</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3,612</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Oil and Gas</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3,341</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3,328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1,659</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1,659</w:t>
            </w:r>
          </w:p>
        </w:tc>
      </w:tr>
      <w:tr>
        <w:trPr>
          <w:trHeight w:val="27"/>
        </w:trPr>
        <w:tc>
          <w:tcPr>
            <w:tcW w:w="44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102,581</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54,552</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(2,516)</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154,617</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REGULATORY ACCOUNTING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regulatory assets and liabilities (in thousands)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6"/>
              </w:rPr>
              <w:t>Maximum Amortization</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89"/>
              </w:rPr>
              <w:t>September 30,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2960" w:type="dxa"/>
            <w:vAlign w:val="bottom"/>
            <w:gridSpan w:val="4"/>
          </w:tcPr>
          <w:p>
            <w:pPr>
              <w:ind w:left="20"/>
              <w:spacing w:after="0"/>
              <w:rPr>
                <w:sz w:val="20"/>
                <w:szCs w:val="20"/>
                <w:color w:val="auto"/>
              </w:rPr>
            </w:pPr>
            <w:r>
              <w:rPr>
                <w:rFonts w:ascii="Arial" w:cs="Arial" w:eastAsia="Arial" w:hAnsi="Arial"/>
                <w:sz w:val="18"/>
                <w:szCs w:val="18"/>
                <w:color w:val="auto"/>
                <w:w w:val="89"/>
              </w:rPr>
              <w:t>September 30, 2017 December 31,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Regulatory assets</w:t>
            </w:r>
          </w:p>
        </w:tc>
        <w:tc>
          <w:tcPr>
            <w:tcW w:w="1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CEFFE7"/>
          </w:tcPr>
          <w:p>
            <w:pPr>
              <w:ind w:left="180"/>
              <w:spacing w:after="0"/>
              <w:rPr>
                <w:sz w:val="20"/>
                <w:szCs w:val="20"/>
                <w:color w:val="auto"/>
              </w:rPr>
            </w:pPr>
            <w:r>
              <w:rPr>
                <w:rFonts w:ascii="Arial" w:cs="Arial" w:eastAsia="Arial" w:hAnsi="Arial"/>
                <w:sz w:val="18"/>
                <w:szCs w:val="18"/>
                <w:color w:val="auto"/>
              </w:rPr>
              <w:t>Deferred energy and fuel cost adjustments -</w:t>
            </w:r>
          </w:p>
        </w:tc>
        <w:tc>
          <w:tcPr>
            <w:tcW w:w="194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c>
          <w:tcPr>
            <w:tcW w:w="48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30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EFFE7"/>
          </w:tcPr>
          <w:p>
            <w:pPr>
              <w:ind w:left="180"/>
              <w:spacing w:after="0" w:line="257" w:lineRule="exact"/>
              <w:rPr>
                <w:sz w:val="20"/>
                <w:szCs w:val="20"/>
                <w:color w:val="auto"/>
              </w:rPr>
            </w:pPr>
            <w:r>
              <w:rPr>
                <w:rFonts w:ascii="Arial" w:cs="Arial" w:eastAsia="Arial" w:hAnsi="Arial"/>
                <w:sz w:val="18"/>
                <w:szCs w:val="18"/>
                <w:color w:val="auto"/>
              </w:rPr>
              <w:t xml:space="preserve">current </w:t>
            </w:r>
            <w:r>
              <w:rPr>
                <w:rFonts w:ascii="Arial" w:cs="Arial" w:eastAsia="Arial" w:hAnsi="Arial"/>
                <w:sz w:val="25"/>
                <w:szCs w:val="25"/>
                <w:color w:val="auto"/>
                <w:vertAlign w:val="superscript"/>
              </w:rPr>
              <w:t>(a)(d)</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1</w:t>
            </w:r>
          </w:p>
        </w:tc>
        <w:tc>
          <w:tcPr>
            <w:tcW w:w="460" w:type="dxa"/>
            <w:vAlign w:val="bottom"/>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20,559</w:t>
            </w:r>
          </w:p>
        </w:tc>
        <w:tc>
          <w:tcPr>
            <w:tcW w:w="48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17,491</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16,525</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gas cost adjustments </w:t>
            </w:r>
            <w:r>
              <w:rPr>
                <w:rFonts w:ascii="Arial" w:cs="Arial" w:eastAsia="Arial" w:hAnsi="Arial"/>
                <w:sz w:val="25"/>
                <w:szCs w:val="25"/>
                <w:color w:val="auto"/>
                <w:vertAlign w:val="superscript"/>
              </w:rPr>
              <w:t>(a) (d)</w:t>
            </w:r>
          </w:p>
        </w:tc>
        <w:tc>
          <w:tcPr>
            <w:tcW w:w="19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12,833</w:t>
            </w:r>
          </w:p>
        </w:tc>
        <w:tc>
          <w:tcPr>
            <w:tcW w:w="4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15,329</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12,172</w:t>
            </w:r>
          </w:p>
        </w:tc>
        <w:tc>
          <w:tcPr>
            <w:tcW w:w="0" w:type="dxa"/>
            <w:vAlign w:val="bottom"/>
          </w:tcPr>
          <w:p>
            <w:pPr>
              <w:spacing w:after="0"/>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Gas price derivatives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3</w:t>
            </w:r>
          </w:p>
        </w:tc>
        <w:tc>
          <w:tcPr>
            <w:tcW w:w="460" w:type="dxa"/>
            <w:vAlign w:val="bottom"/>
            <w:shd w:val="clear" w:color="auto" w:fill="CEFFE7"/>
          </w:tcPr>
          <w:p>
            <w:pPr>
              <w:spacing w:after="0"/>
              <w:rPr>
                <w:sz w:val="23"/>
                <w:szCs w:val="23"/>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11,297</w:t>
            </w:r>
          </w:p>
        </w:tc>
        <w:tc>
          <w:tcPr>
            <w:tcW w:w="48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8,843</w:t>
            </w:r>
          </w:p>
        </w:tc>
        <w:tc>
          <w:tcPr>
            <w:tcW w:w="18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14,405</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taxes on AFUDC </w:t>
            </w:r>
            <w:r>
              <w:rPr>
                <w:rFonts w:ascii="Arial" w:cs="Arial" w:eastAsia="Arial" w:hAnsi="Arial"/>
                <w:sz w:val="25"/>
                <w:szCs w:val="25"/>
                <w:color w:val="auto"/>
                <w:vertAlign w:val="superscript"/>
              </w:rPr>
              <w:t>(b)</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15,645</w:t>
            </w:r>
          </w:p>
        </w:tc>
        <w:tc>
          <w:tcPr>
            <w:tcW w:w="4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15,227</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14,093</w:t>
            </w:r>
          </w:p>
        </w:tc>
        <w:tc>
          <w:tcPr>
            <w:tcW w:w="0" w:type="dxa"/>
            <w:vAlign w:val="bottom"/>
          </w:tcPr>
          <w:p>
            <w:pPr>
              <w:spacing w:after="0"/>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Employee benefit plans </w:t>
            </w:r>
            <w:r>
              <w:rPr>
                <w:rFonts w:ascii="Arial" w:cs="Arial" w:eastAsia="Arial" w:hAnsi="Arial"/>
                <w:sz w:val="25"/>
                <w:szCs w:val="25"/>
                <w:color w:val="auto"/>
                <w:vertAlign w:val="superscript"/>
              </w:rPr>
              <w:t>(c)</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12</w:t>
            </w:r>
          </w:p>
        </w:tc>
        <w:tc>
          <w:tcPr>
            <w:tcW w:w="460" w:type="dxa"/>
            <w:vAlign w:val="bottom"/>
            <w:shd w:val="clear" w:color="auto" w:fill="CEFFE7"/>
          </w:tcPr>
          <w:p>
            <w:pPr>
              <w:spacing w:after="0"/>
              <w:rPr>
                <w:sz w:val="23"/>
                <w:szCs w:val="23"/>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105,671</w:t>
            </w:r>
          </w:p>
        </w:tc>
        <w:tc>
          <w:tcPr>
            <w:tcW w:w="48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108,556</w:t>
            </w:r>
          </w:p>
        </w:tc>
        <w:tc>
          <w:tcPr>
            <w:tcW w:w="18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107,578</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Environmental </w:t>
            </w:r>
            <w:r>
              <w:rPr>
                <w:rFonts w:ascii="Arial" w:cs="Arial" w:eastAsia="Arial" w:hAnsi="Arial"/>
                <w:sz w:val="25"/>
                <w:szCs w:val="25"/>
                <w:color w:val="auto"/>
                <w:vertAlign w:val="superscript"/>
              </w:rPr>
              <w:t>(a)</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subject to approval</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1,051</w:t>
            </w:r>
          </w:p>
        </w:tc>
        <w:tc>
          <w:tcPr>
            <w:tcW w:w="4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44</w:t>
            </w:r>
          </w:p>
        </w:tc>
        <w:tc>
          <w:tcPr>
            <w:tcW w:w="460" w:type="dxa"/>
            <w:vAlign w:val="bottom"/>
            <w:shd w:val="clear" w:color="auto" w:fill="CEFFE7"/>
          </w:tcPr>
          <w:p>
            <w:pPr>
              <w:spacing w:after="0"/>
              <w:rPr>
                <w:sz w:val="23"/>
                <w:szCs w:val="23"/>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514</w:t>
            </w:r>
          </w:p>
        </w:tc>
        <w:tc>
          <w:tcPr>
            <w:tcW w:w="48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Loss on reacquired debt </w:t>
            </w:r>
            <w:r>
              <w:rPr>
                <w:rFonts w:ascii="Arial" w:cs="Arial" w:eastAsia="Arial" w:hAnsi="Arial"/>
                <w:sz w:val="25"/>
                <w:szCs w:val="25"/>
                <w:color w:val="auto"/>
                <w:vertAlign w:val="superscript"/>
              </w:rPr>
              <w:t>(a)</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21,067</w:t>
            </w:r>
          </w:p>
        </w:tc>
        <w:tc>
          <w:tcPr>
            <w:tcW w:w="4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22,266</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18,077</w:t>
            </w:r>
          </w:p>
        </w:tc>
        <w:tc>
          <w:tcPr>
            <w:tcW w:w="0" w:type="dxa"/>
            <w:vAlign w:val="bottom"/>
          </w:tcPr>
          <w:p>
            <w:pPr>
              <w:spacing w:after="0"/>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Renewable energy standard adjustment </w:t>
            </w:r>
            <w:r>
              <w:rPr>
                <w:rFonts w:ascii="Arial" w:cs="Arial" w:eastAsia="Arial" w:hAnsi="Arial"/>
                <w:sz w:val="25"/>
                <w:szCs w:val="25"/>
                <w:color w:val="auto"/>
                <w:vertAlign w:val="superscript"/>
              </w:rPr>
              <w:t>(b)</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5</w:t>
            </w:r>
          </w:p>
        </w:tc>
        <w:tc>
          <w:tcPr>
            <w:tcW w:w="460" w:type="dxa"/>
            <w:vAlign w:val="bottom"/>
            <w:shd w:val="clear" w:color="auto" w:fill="CEFFE7"/>
          </w:tcPr>
          <w:p>
            <w:pPr>
              <w:spacing w:after="0"/>
              <w:rPr>
                <w:sz w:val="23"/>
                <w:szCs w:val="23"/>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1,956</w:t>
            </w:r>
          </w:p>
        </w:tc>
        <w:tc>
          <w:tcPr>
            <w:tcW w:w="48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1,605</w:t>
            </w:r>
          </w:p>
        </w:tc>
        <w:tc>
          <w:tcPr>
            <w:tcW w:w="18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taxes on flow through accounting </w:t>
            </w:r>
            <w:r>
              <w:rPr>
                <w:rFonts w:ascii="Arial" w:cs="Arial" w:eastAsia="Arial" w:hAnsi="Arial"/>
                <w:sz w:val="25"/>
                <w:szCs w:val="25"/>
                <w:color w:val="auto"/>
                <w:vertAlign w:val="superscript"/>
              </w:rPr>
              <w:t>(c)</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41,900</w:t>
            </w:r>
          </w:p>
        </w:tc>
        <w:tc>
          <w:tcPr>
            <w:tcW w:w="4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37,498</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33,136</w:t>
            </w:r>
          </w:p>
        </w:tc>
        <w:tc>
          <w:tcPr>
            <w:tcW w:w="0" w:type="dxa"/>
            <w:vAlign w:val="bottom"/>
          </w:tcPr>
          <w:p>
            <w:pPr>
              <w:spacing w:after="0"/>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Decommissioning costs </w:t>
            </w:r>
            <w:r>
              <w:rPr>
                <w:rFonts w:ascii="Arial" w:cs="Arial" w:eastAsia="Arial" w:hAnsi="Arial"/>
                <w:sz w:val="25"/>
                <w:szCs w:val="25"/>
                <w:color w:val="auto"/>
                <w:vertAlign w:val="superscript"/>
              </w:rPr>
              <w:t>(e)</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6</w:t>
            </w:r>
          </w:p>
        </w:tc>
        <w:tc>
          <w:tcPr>
            <w:tcW w:w="460" w:type="dxa"/>
            <w:vAlign w:val="bottom"/>
            <w:shd w:val="clear" w:color="auto" w:fill="CEFFE7"/>
          </w:tcPr>
          <w:p>
            <w:pPr>
              <w:spacing w:after="0"/>
              <w:rPr>
                <w:sz w:val="23"/>
                <w:szCs w:val="23"/>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13,989</w:t>
            </w:r>
          </w:p>
        </w:tc>
        <w:tc>
          <w:tcPr>
            <w:tcW w:w="48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16,859</w:t>
            </w:r>
          </w:p>
        </w:tc>
        <w:tc>
          <w:tcPr>
            <w:tcW w:w="18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17,271</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Gas supply contract termination</w:t>
            </w:r>
          </w:p>
        </w:tc>
        <w:tc>
          <w:tcPr>
            <w:tcW w:w="19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21,402</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26,666</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28,164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Other regulatory assets </w:t>
            </w:r>
            <w:r>
              <w:rPr>
                <w:rFonts w:ascii="Arial" w:cs="Arial" w:eastAsia="Arial" w:hAnsi="Arial"/>
                <w:sz w:val="25"/>
                <w:szCs w:val="25"/>
                <w:color w:val="auto"/>
                <w:vertAlign w:val="superscript"/>
              </w:rPr>
              <w:t>(a) (e)</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30</w:t>
            </w:r>
          </w:p>
        </w:tc>
        <w:tc>
          <w:tcPr>
            <w:tcW w:w="460" w:type="dxa"/>
            <w:vAlign w:val="bottom"/>
            <w:tcBorders>
              <w:bottom w:val="single" w:sz="8" w:color="auto"/>
            </w:tcBorders>
            <w:shd w:val="clear" w:color="auto" w:fill="CEFFE7"/>
          </w:tcPr>
          <w:p>
            <w:pPr>
              <w:spacing w:after="0"/>
              <w:rPr>
                <w:sz w:val="23"/>
                <w:szCs w:val="23"/>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32,710</w:t>
            </w:r>
          </w:p>
        </w:tc>
        <w:tc>
          <w:tcPr>
            <w:tcW w:w="480" w:type="dxa"/>
            <w:vAlign w:val="bottom"/>
            <w:tcBorders>
              <w:bottom w:val="single" w:sz="8" w:color="auto"/>
            </w:tcBorders>
            <w:shd w:val="clear" w:color="auto" w:fill="CEFFE7"/>
          </w:tcPr>
          <w:p>
            <w:pPr>
              <w:spacing w:after="0"/>
              <w:rPr>
                <w:sz w:val="23"/>
                <w:szCs w:val="23"/>
                <w:color w:val="auto"/>
              </w:rPr>
            </w:pP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24,189</w:t>
            </w:r>
          </w:p>
        </w:tc>
        <w:tc>
          <w:tcPr>
            <w:tcW w:w="180" w:type="dxa"/>
            <w:vAlign w:val="bottom"/>
            <w:tcBorders>
              <w:bottom w:val="single" w:sz="8" w:color="auto"/>
            </w:tcBorders>
            <w:shd w:val="clear" w:color="auto" w:fill="CEFFE7"/>
          </w:tcPr>
          <w:p>
            <w:pPr>
              <w:spacing w:after="0"/>
              <w:rPr>
                <w:sz w:val="23"/>
                <w:szCs w:val="23"/>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20,053</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300,594</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296,142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284,801</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EFFE7"/>
            </w:tcBorders>
          </w:tcPr>
          <w:p>
            <w:pPr>
              <w:spacing w:after="0"/>
              <w:rPr>
                <w:sz w:val="5"/>
                <w:szCs w:val="5"/>
                <w:color w:val="auto"/>
              </w:rPr>
            </w:pPr>
          </w:p>
        </w:tc>
        <w:tc>
          <w:tcPr>
            <w:tcW w:w="1940" w:type="dxa"/>
            <w:vAlign w:val="bottom"/>
            <w:tcBorders>
              <w:bottom w:val="single" w:sz="8" w:color="CEFFE7"/>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EFFE7"/>
          </w:tcPr>
          <w:p>
            <w:pPr>
              <w:spacing w:after="0"/>
              <w:rPr>
                <w:sz w:val="19"/>
                <w:szCs w:val="19"/>
                <w:color w:val="auto"/>
              </w:rPr>
            </w:pPr>
          </w:p>
        </w:tc>
        <w:tc>
          <w:tcPr>
            <w:tcW w:w="194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c>
          <w:tcPr>
            <w:tcW w:w="48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30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Deferred energy and gas costs </w:t>
            </w:r>
            <w:r>
              <w:rPr>
                <w:rFonts w:ascii="Arial" w:cs="Arial" w:eastAsia="Arial" w:hAnsi="Arial"/>
                <w:sz w:val="25"/>
                <w:szCs w:val="25"/>
                <w:color w:val="auto"/>
                <w:vertAlign w:val="superscript"/>
              </w:rPr>
              <w:t>(a) (d)</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1</w:t>
            </w:r>
          </w:p>
        </w:tc>
        <w:tc>
          <w:tcPr>
            <w:tcW w:w="460" w:type="dxa"/>
            <w:vAlign w:val="bottom"/>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3,780</w:t>
            </w:r>
          </w:p>
        </w:tc>
        <w:tc>
          <w:tcPr>
            <w:tcW w:w="48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10,368</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15,033</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Employee benefit plan costs and related deferred taxes </w:t>
            </w:r>
            <w:r>
              <w:rPr>
                <w:rFonts w:ascii="Arial" w:cs="Arial" w:eastAsia="Arial" w:hAnsi="Arial"/>
                <w:sz w:val="25"/>
                <w:szCs w:val="25"/>
                <w:color w:val="auto"/>
                <w:vertAlign w:val="superscript"/>
              </w:rPr>
              <w:t>(c)</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66,620</w:t>
            </w:r>
          </w:p>
        </w:tc>
        <w:tc>
          <w:tcPr>
            <w:tcW w:w="4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68,654</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65,575</w:t>
            </w:r>
          </w:p>
        </w:tc>
        <w:tc>
          <w:tcPr>
            <w:tcW w:w="0" w:type="dxa"/>
            <w:vAlign w:val="bottom"/>
          </w:tcPr>
          <w:p>
            <w:pPr>
              <w:spacing w:after="0"/>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Cost of removal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44</w:t>
            </w:r>
          </w:p>
        </w:tc>
        <w:tc>
          <w:tcPr>
            <w:tcW w:w="460" w:type="dxa"/>
            <w:vAlign w:val="bottom"/>
            <w:shd w:val="clear" w:color="auto" w:fill="CEFFE7"/>
          </w:tcPr>
          <w:p>
            <w:pPr>
              <w:spacing w:after="0"/>
              <w:rPr>
                <w:sz w:val="23"/>
                <w:szCs w:val="23"/>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125,360</w:t>
            </w:r>
          </w:p>
        </w:tc>
        <w:tc>
          <w:tcPr>
            <w:tcW w:w="48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118,410</w:t>
            </w:r>
          </w:p>
        </w:tc>
        <w:tc>
          <w:tcPr>
            <w:tcW w:w="18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114,616</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Revenue subject to refund</w:t>
            </w:r>
          </w:p>
        </w:tc>
        <w:tc>
          <w:tcPr>
            <w:tcW w:w="19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1,386</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2,485</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Other regulatory liabilities </w:t>
            </w:r>
            <w:r>
              <w:rPr>
                <w:rFonts w:ascii="Arial" w:cs="Arial" w:eastAsia="Arial" w:hAnsi="Arial"/>
                <w:sz w:val="25"/>
                <w:szCs w:val="25"/>
                <w:color w:val="auto"/>
                <w:vertAlign w:val="superscript"/>
              </w:rPr>
              <w:t>(c)</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25</w:t>
            </w:r>
          </w:p>
        </w:tc>
        <w:tc>
          <w:tcPr>
            <w:tcW w:w="460" w:type="dxa"/>
            <w:vAlign w:val="bottom"/>
            <w:tcBorders>
              <w:bottom w:val="single" w:sz="8" w:color="auto"/>
            </w:tcBorders>
            <w:shd w:val="clear" w:color="auto" w:fill="CEFFE7"/>
          </w:tcPr>
          <w:p>
            <w:pPr>
              <w:spacing w:after="0"/>
              <w:rPr>
                <w:sz w:val="23"/>
                <w:szCs w:val="23"/>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8,085</w:t>
            </w:r>
          </w:p>
        </w:tc>
        <w:tc>
          <w:tcPr>
            <w:tcW w:w="480" w:type="dxa"/>
            <w:vAlign w:val="bottom"/>
            <w:tcBorders>
              <w:bottom w:val="single" w:sz="8" w:color="auto"/>
            </w:tcBorders>
            <w:shd w:val="clear" w:color="auto" w:fill="CEFFE7"/>
          </w:tcPr>
          <w:p>
            <w:pPr>
              <w:spacing w:after="0"/>
              <w:rPr>
                <w:sz w:val="23"/>
                <w:szCs w:val="23"/>
                <w:color w:val="auto"/>
              </w:rPr>
            </w:pP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6,839</w:t>
            </w:r>
          </w:p>
        </w:tc>
        <w:tc>
          <w:tcPr>
            <w:tcW w:w="180" w:type="dxa"/>
            <w:vAlign w:val="bottom"/>
            <w:tcBorders>
              <w:bottom w:val="single" w:sz="8" w:color="auto"/>
            </w:tcBorders>
            <w:shd w:val="clear" w:color="auto" w:fill="CEFFE7"/>
          </w:tcPr>
          <w:p>
            <w:pPr>
              <w:spacing w:after="0"/>
              <w:rPr>
                <w:sz w:val="23"/>
                <w:szCs w:val="23"/>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6,305</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205,231</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206,756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203,421</w:t>
            </w:r>
          </w:p>
        </w:tc>
        <w:tc>
          <w:tcPr>
            <w:tcW w:w="0" w:type="dxa"/>
            <w:vAlign w:val="bottom"/>
          </w:tcPr>
          <w:p>
            <w:pPr>
              <w:spacing w:after="0"/>
              <w:rPr>
                <w:sz w:val="1"/>
                <w:szCs w:val="1"/>
                <w:color w:val="auto"/>
              </w:rPr>
            </w:pPr>
          </w:p>
        </w:tc>
      </w:tr>
      <w:tr>
        <w:trPr>
          <w:trHeight w:val="27"/>
        </w:trPr>
        <w:tc>
          <w:tcPr>
            <w:tcW w:w="50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9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vMerge w:val="continu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04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allowed recovery of costs, but we are not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addition to recovery of costs, we are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addition to recovery or repayment of costs, we are allowed a return on a portion of this amount or a reduction in rate base.</w:t>
      </w:r>
    </w:p>
    <w:p>
      <w:pPr>
        <w:spacing w:after="0" w:line="5" w:lineRule="exact"/>
        <w:rPr>
          <w:rFonts w:ascii="Arial" w:cs="Arial" w:eastAsia="Arial" w:hAnsi="Arial"/>
          <w:sz w:val="16"/>
          <w:szCs w:val="16"/>
          <w:color w:val="auto"/>
        </w:rPr>
      </w:pPr>
    </w:p>
    <w:p>
      <w:pPr>
        <w:ind w:left="340" w:right="40" w:hanging="332"/>
        <w:spacing w:after="0" w:line="24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deferred energy, fuel cost and gas cost adjustments represent the cost of electricity and gas delivered to our electric and gas utility customers that is either higher or lower than current rates and will be recovered or refunded in future rates. Our electric and gas utilities file periodic quarterly, semi-annual, and/or annual filings to recover these costs based on the respective cost mechanisms approved by their applicable state utility commissions.</w:t>
      </w:r>
    </w:p>
    <w:p>
      <w:pPr>
        <w:spacing w:after="0" w:line="1" w:lineRule="exact"/>
        <w:rPr>
          <w:rFonts w:ascii="Arial" w:cs="Arial" w:eastAsia="Arial" w:hAnsi="Arial"/>
          <w:sz w:val="16"/>
          <w:szCs w:val="16"/>
          <w:color w:val="auto"/>
        </w:rPr>
      </w:pPr>
    </w:p>
    <w:p>
      <w:pPr>
        <w:ind w:left="340" w:right="100" w:hanging="332"/>
        <w:spacing w:after="0" w:line="250"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accordance with a settlement agreement approved by the SDPUC on June 16, 2017, South Dakota Electric’s decommissioning costs of approximately $11 million, vegetation management costs of approximately $14 million, and Winter Storm Atlas costs of approximately $2.0 million are being amortized over 6 years, effective July 1, 2017. Decommissioning costs and Winter Storm Atlas costs were previously amortized over a 10 year period ending September 30, 2024. The vegetation management costs were previously</w:t>
      </w:r>
    </w:p>
    <w:p>
      <w:pPr>
        <w:sectPr>
          <w:pgSz w:w="11900" w:h="16838" w:orient="portrait"/>
          <w:cols w:equalWidth="0" w:num="1">
            <w:col w:w="11420"/>
          </w:cols>
          <w:pgMar w:left="240" w:top="74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6" w:right="239" w:bottom="1440" w:gutter="0" w:footer="0" w:header="0"/>
          <w:type w:val="continuous"/>
        </w:sectPr>
      </w:pPr>
    </w:p>
    <w:bookmarkStart w:id="17" w:name="page18"/>
    <w:bookmarkEnd w:id="17"/>
    <w:p>
      <w:pPr>
        <w:ind w:left="340"/>
        <w:spacing w:after="0"/>
        <w:rPr>
          <w:sz w:val="20"/>
          <w:szCs w:val="20"/>
          <w:color w:val="auto"/>
        </w:rPr>
      </w:pPr>
      <w:r>
        <w:rPr>
          <w:rFonts w:ascii="Arial" w:cs="Arial" w:eastAsia="Arial" w:hAnsi="Arial"/>
          <w:sz w:val="16"/>
          <w:szCs w:val="16"/>
          <w:color w:val="auto"/>
        </w:rPr>
        <w:t>unamortized. The change in amortization periods for these costs will increase annual amortization expense by approximately $2.7 million.</w:t>
      </w:r>
    </w:p>
    <w:p>
      <w:pPr>
        <w:spacing w:after="0" w:line="200" w:lineRule="exact"/>
        <w:rPr>
          <w:sz w:val="20"/>
          <w:szCs w:val="20"/>
          <w:color w:val="auto"/>
        </w:rPr>
      </w:pP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7"/>
          <w:szCs w:val="17"/>
          <w:color w:val="auto"/>
        </w:rPr>
        <w:t>MATERIALS, SUPPLIES AND FUEL</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amounts by major classification are included in Materials, supplies and fuel in the accompanying Condensed Consolidated Balance Sheets (in thousands)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color w:val="auto"/>
                <w:w w:val="91"/>
              </w:rPr>
              <w:t>September 30, 2017</w:t>
            </w:r>
          </w:p>
        </w:tc>
        <w:tc>
          <w:tcPr>
            <w:tcW w:w="340" w:type="dxa"/>
            <w:vAlign w:val="bottom"/>
          </w:tcPr>
          <w:p>
            <w:pPr>
              <w:spacing w:after="0"/>
              <w:rPr>
                <w:sz w:val="20"/>
                <w:szCs w:val="20"/>
                <w:color w:val="auto"/>
              </w:rPr>
            </w:pPr>
          </w:p>
        </w:tc>
        <w:tc>
          <w:tcPr>
            <w:tcW w:w="1940" w:type="dxa"/>
            <w:vAlign w:val="bottom"/>
          </w:tcPr>
          <w:p>
            <w:pPr>
              <w:jc w:val="right"/>
              <w:ind w:right="310"/>
              <w:spacing w:after="0"/>
              <w:rPr>
                <w:sz w:val="20"/>
                <w:szCs w:val="20"/>
                <w:color w:val="auto"/>
              </w:rPr>
            </w:pPr>
            <w:r>
              <w:rPr>
                <w:rFonts w:ascii="Arial" w:cs="Arial" w:eastAsia="Arial" w:hAnsi="Arial"/>
                <w:sz w:val="18"/>
                <w:szCs w:val="18"/>
                <w:color w:val="auto"/>
                <w:w w:val="96"/>
              </w:rPr>
              <w:t>December 31, 2016</w:t>
            </w:r>
          </w:p>
        </w:tc>
        <w:tc>
          <w:tcPr>
            <w:tcW w:w="26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w w:val="91"/>
              </w:rPr>
              <w:t>September 30, 2016</w:t>
            </w:r>
          </w:p>
        </w:tc>
      </w:tr>
      <w:tr>
        <w:trPr>
          <w:trHeight w:val="27"/>
        </w:trPr>
        <w:tc>
          <w:tcPr>
            <w:tcW w:w="51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Materials and supplies</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73,938</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68,456</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67,257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Fuel - Electric Utilities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2,993</w:t>
            </w:r>
          </w:p>
        </w:tc>
        <w:tc>
          <w:tcPr>
            <w:tcW w:w="3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3,667</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4,282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1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in storage held for distribution</w:t>
            </w:r>
          </w:p>
        </w:tc>
        <w:tc>
          <w:tcPr>
            <w:tcW w:w="180" w:type="dxa"/>
            <w:vAlign w:val="bottom"/>
            <w:tcBorders>
              <w:bottom w:val="single" w:sz="8" w:color="CEFFE7"/>
            </w:tcBorders>
            <w:shd w:val="clear" w:color="auto" w:fill="CEFFE7"/>
          </w:tcPr>
          <w:p>
            <w:pPr>
              <w:spacing w:after="0"/>
              <w:rPr>
                <w:sz w:val="23"/>
                <w:szCs w:val="23"/>
                <w:color w:val="auto"/>
              </w:rPr>
            </w:pPr>
          </w:p>
        </w:tc>
        <w:tc>
          <w:tcPr>
            <w:tcW w:w="17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49,589</w:t>
            </w:r>
          </w:p>
        </w:tc>
        <w:tc>
          <w:tcPr>
            <w:tcW w:w="340" w:type="dxa"/>
            <w:vAlign w:val="bottom"/>
            <w:tcBorders>
              <w:bottom w:val="single" w:sz="8" w:color="CEFFE7"/>
            </w:tcBorders>
            <w:shd w:val="clear" w:color="auto" w:fill="CEFFE7"/>
          </w:tcPr>
          <w:p>
            <w:pPr>
              <w:spacing w:after="0"/>
              <w:rPr>
                <w:sz w:val="23"/>
                <w:szCs w:val="23"/>
                <w:color w:val="auto"/>
              </w:rPr>
            </w:pPr>
          </w:p>
        </w:tc>
        <w:tc>
          <w:tcPr>
            <w:tcW w:w="19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35,087</w:t>
            </w:r>
          </w:p>
        </w:tc>
        <w:tc>
          <w:tcPr>
            <w:tcW w:w="260" w:type="dxa"/>
            <w:vAlign w:val="bottom"/>
            <w:tcBorders>
              <w:bottom w:val="single" w:sz="8" w:color="CEFFE7"/>
            </w:tcBorders>
            <w:shd w:val="clear" w:color="auto" w:fill="CEFFE7"/>
          </w:tcPr>
          <w:p>
            <w:pPr>
              <w:spacing w:after="0"/>
              <w:rPr>
                <w:sz w:val="23"/>
                <w:szCs w:val="23"/>
                <w:color w:val="auto"/>
              </w:rPr>
            </w:pPr>
          </w:p>
        </w:tc>
        <w:tc>
          <w:tcPr>
            <w:tcW w:w="1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41,936</w:t>
            </w: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 materials, supplies and fuel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126,520</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107,210</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113,475</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7"/>
          <w:szCs w:val="17"/>
          <w:color w:val="auto"/>
        </w:rPr>
        <w:t>EARNINGS PER SHARE</w:t>
      </w:r>
    </w:p>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reconciliation of share amounts used to compute Earnings (loss) per share in the accompanying Condensed Consolidated Statements of Income was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560" w:type="dxa"/>
            <w:vAlign w:val="bottom"/>
            <w:gridSpan w:val="5"/>
          </w:tcPr>
          <w:p>
            <w:pPr>
              <w:ind w:left="440"/>
              <w:spacing w:after="0"/>
              <w:rPr>
                <w:sz w:val="20"/>
                <w:szCs w:val="20"/>
                <w:color w:val="auto"/>
              </w:rPr>
            </w:pPr>
            <w:r>
              <w:rPr>
                <w:rFonts w:ascii="Arial" w:cs="Arial" w:eastAsia="Arial" w:hAnsi="Arial"/>
                <w:sz w:val="18"/>
                <w:szCs w:val="18"/>
                <w:color w:val="auto"/>
              </w:rPr>
              <w:t>Three Months Ended September 30,</w:t>
            </w:r>
          </w:p>
        </w:tc>
        <w:tc>
          <w:tcPr>
            <w:tcW w:w="280" w:type="dxa"/>
            <w:vAlign w:val="bottom"/>
          </w:tcPr>
          <w:p>
            <w:pPr>
              <w:spacing w:after="0"/>
              <w:rPr>
                <w:sz w:val="20"/>
                <w:szCs w:val="20"/>
                <w:color w:val="auto"/>
              </w:rPr>
            </w:pPr>
          </w:p>
        </w:tc>
        <w:tc>
          <w:tcPr>
            <w:tcW w:w="3120" w:type="dxa"/>
            <w:vAlign w:val="bottom"/>
            <w:gridSpan w:val="3"/>
          </w:tcPr>
          <w:p>
            <w:pPr>
              <w:jc w:val="right"/>
              <w:ind w:right="330"/>
              <w:spacing w:after="0"/>
              <w:rPr>
                <w:sz w:val="20"/>
                <w:szCs w:val="20"/>
                <w:color w:val="auto"/>
              </w:rPr>
            </w:pPr>
            <w:r>
              <w:rPr>
                <w:rFonts w:ascii="Arial" w:cs="Arial" w:eastAsia="Arial" w:hAnsi="Arial"/>
                <w:sz w:val="18"/>
                <w:szCs w:val="18"/>
                <w:color w:val="auto"/>
                <w:w w:val="95"/>
              </w:rPr>
              <w:t>Nine Months Ended September 30,</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available for common stock</w:t>
            </w:r>
          </w:p>
        </w:tc>
        <w:tc>
          <w:tcPr>
            <w:tcW w:w="1100" w:type="dxa"/>
            <w:vAlign w:val="bottom"/>
            <w:tcBorders>
              <w:bottom w:val="single" w:sz="8" w:color="auto"/>
            </w:tcBorders>
            <w:shd w:val="clear" w:color="auto" w:fill="CEFFE7"/>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0"/>
              </w:rPr>
              <w:t>27,663</w:t>
            </w:r>
          </w:p>
        </w:tc>
        <w:tc>
          <w:tcPr>
            <w:tcW w:w="44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14,131</w:t>
            </w:r>
          </w:p>
        </w:tc>
        <w:tc>
          <w:tcPr>
            <w:tcW w:w="12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126,381</w:t>
            </w:r>
          </w:p>
        </w:tc>
        <w:tc>
          <w:tcPr>
            <w:tcW w:w="44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54,802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basic</w:t>
            </w:r>
          </w:p>
        </w:tc>
        <w:tc>
          <w:tcPr>
            <w:tcW w:w="110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0"/>
              </w:rPr>
              <w:t>53,243</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52,184</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53,208</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51,583</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Dilutive effect of:</w:t>
            </w: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Equity Units </w:t>
            </w:r>
            <w:r>
              <w:rPr>
                <w:rFonts w:ascii="Arial" w:cs="Arial" w:eastAsia="Arial" w:hAnsi="Arial"/>
                <w:sz w:val="25"/>
                <w:szCs w:val="25"/>
                <w:color w:val="auto"/>
                <w:vertAlign w:val="superscript"/>
              </w:rPr>
              <w:t>(a)</w:t>
            </w:r>
          </w:p>
        </w:tc>
        <w:tc>
          <w:tcPr>
            <w:tcW w:w="1100" w:type="dxa"/>
            <w:vAlign w:val="bottom"/>
            <w:shd w:val="clear" w:color="auto" w:fill="CEFFE7"/>
          </w:tcPr>
          <w:p>
            <w:pPr>
              <w:spacing w:after="0"/>
              <w:rPr>
                <w:sz w:val="23"/>
                <w:szCs w:val="23"/>
                <w:color w:val="auto"/>
              </w:rPr>
            </w:pPr>
          </w:p>
        </w:tc>
        <w:tc>
          <w:tcPr>
            <w:tcW w:w="6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2,015</w:t>
            </w:r>
          </w:p>
        </w:tc>
        <w:tc>
          <w:tcPr>
            <w:tcW w:w="44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1,872</w:t>
            </w:r>
          </w:p>
        </w:tc>
        <w:tc>
          <w:tcPr>
            <w:tcW w:w="44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diluted</w:t>
            </w:r>
          </w:p>
        </w:tc>
        <w:tc>
          <w:tcPr>
            <w:tcW w:w="1100" w:type="dxa"/>
            <w:vAlign w:val="bottom"/>
            <w:tcBorders>
              <w:bottom w:val="single" w:sz="8" w:color="auto"/>
            </w:tcBorders>
            <w:shd w:val="clear" w:color="auto" w:fill="CEFFE7"/>
          </w:tcPr>
          <w:p>
            <w:pPr>
              <w:spacing w:after="0"/>
              <w:rPr>
                <w:sz w:val="22"/>
                <w:szCs w:val="22"/>
                <w:color w:val="auto"/>
              </w:rPr>
            </w:pP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0"/>
              </w:rPr>
              <w:t>55,432</w:t>
            </w:r>
          </w:p>
        </w:tc>
        <w:tc>
          <w:tcPr>
            <w:tcW w:w="440" w:type="dxa"/>
            <w:vAlign w:val="bottom"/>
            <w:tcBorders>
              <w:bottom w:val="single" w:sz="8" w:color="auto"/>
            </w:tcBorders>
            <w:shd w:val="clear" w:color="auto" w:fill="CEFFE7"/>
          </w:tcPr>
          <w:p>
            <w:pPr>
              <w:spacing w:after="0"/>
              <w:rPr>
                <w:sz w:val="22"/>
                <w:szCs w:val="22"/>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53,733</w:t>
            </w:r>
          </w:p>
        </w:tc>
        <w:tc>
          <w:tcPr>
            <w:tcW w:w="12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spacing w:after="0"/>
              <w:rPr>
                <w:sz w:val="22"/>
                <w:szCs w:val="22"/>
                <w:color w:val="auto"/>
              </w:rPr>
            </w:pP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55,254</w:t>
            </w:r>
          </w:p>
        </w:tc>
        <w:tc>
          <w:tcPr>
            <w:tcW w:w="440" w:type="dxa"/>
            <w:vAlign w:val="bottom"/>
            <w:tcBorders>
              <w:bottom w:val="single" w:sz="8" w:color="auto"/>
            </w:tcBorders>
            <w:shd w:val="clear" w:color="auto" w:fill="CEFFE7"/>
          </w:tcPr>
          <w:p>
            <w:pPr>
              <w:spacing w:after="0"/>
              <w:rPr>
                <w:sz w:val="22"/>
                <w:szCs w:val="22"/>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52,893</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4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6"/>
                <w:szCs w:val="16"/>
                <w:color w:val="auto"/>
              </w:rPr>
              <w:t>(a)  Calculated using the treasury stock method.</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following outstanding securities were excluded in the computation of diluted net income (loss) per share as their inclusion would have been anti-dilutive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140" w:type="dxa"/>
            <w:vAlign w:val="bottom"/>
            <w:gridSpan w:val="2"/>
          </w:tcPr>
          <w:p>
            <w:pPr>
              <w:jc w:val="right"/>
              <w:ind w:right="10"/>
              <w:spacing w:after="0"/>
              <w:rPr>
                <w:sz w:val="20"/>
                <w:szCs w:val="20"/>
                <w:color w:val="auto"/>
              </w:rPr>
            </w:pPr>
            <w:r>
              <w:rPr>
                <w:rFonts w:ascii="Arial" w:cs="Arial" w:eastAsia="Arial" w:hAnsi="Arial"/>
                <w:sz w:val="18"/>
                <w:szCs w:val="18"/>
                <w:color w:val="auto"/>
              </w:rPr>
              <w:t>Three Months Ended September 30,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2"/>
          </w:tcPr>
          <w:p>
            <w:pPr>
              <w:jc w:val="right"/>
              <w:ind w:right="330"/>
              <w:spacing w:after="0"/>
              <w:rPr>
                <w:sz w:val="20"/>
                <w:szCs w:val="20"/>
                <w:color w:val="auto"/>
              </w:rPr>
            </w:pPr>
            <w:r>
              <w:rPr>
                <w:rFonts w:ascii="Arial" w:cs="Arial" w:eastAsia="Arial" w:hAnsi="Arial"/>
                <w:sz w:val="18"/>
                <w:szCs w:val="18"/>
                <w:color w:val="auto"/>
              </w:rPr>
              <w:t>Nine Months Ended September 30,</w:t>
            </w:r>
          </w:p>
        </w:tc>
      </w:tr>
      <w:tr>
        <w:trPr>
          <w:trHeight w:val="270"/>
        </w:trPr>
        <w:tc>
          <w:tcPr>
            <w:tcW w:w="556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204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tcPr>
          <w:p>
            <w:pPr>
              <w:jc w:val="right"/>
              <w:ind w:right="870"/>
              <w:spacing w:after="0"/>
              <w:rPr>
                <w:sz w:val="20"/>
                <w:szCs w:val="20"/>
                <w:color w:val="auto"/>
              </w:rPr>
            </w:pPr>
            <w:r>
              <w:rPr>
                <w:rFonts w:ascii="Arial" w:cs="Arial" w:eastAsia="Arial" w:hAnsi="Arial"/>
                <w:sz w:val="18"/>
                <w:szCs w:val="18"/>
                <w:color w:val="auto"/>
              </w:rPr>
              <w:t>2017</w:t>
            </w: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4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18"/>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Equity compensation</w:t>
            </w:r>
          </w:p>
        </w:tc>
        <w:tc>
          <w:tcPr>
            <w:tcW w:w="1100" w:type="dxa"/>
            <w:vAlign w:val="bottom"/>
            <w:tcBorders>
              <w:bottom w:val="single" w:sz="8" w:color="CEFFE7"/>
            </w:tcBorders>
            <w:shd w:val="clear" w:color="auto" w:fill="CEFFE7"/>
          </w:tcPr>
          <w:p>
            <w:pPr>
              <w:spacing w:after="0"/>
              <w:rPr>
                <w:sz w:val="23"/>
                <w:szCs w:val="23"/>
                <w:color w:val="auto"/>
              </w:rPr>
            </w:pPr>
          </w:p>
        </w:tc>
        <w:tc>
          <w:tcPr>
            <w:tcW w:w="204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EFFE7"/>
            </w:tcBorders>
            <w:shd w:val="clear" w:color="auto" w:fill="CEFFE7"/>
          </w:tcPr>
          <w:p>
            <w:pPr>
              <w:spacing w:after="0"/>
              <w:rPr>
                <w:sz w:val="23"/>
                <w:szCs w:val="23"/>
                <w:color w:val="auto"/>
              </w:rPr>
            </w:pPr>
          </w:p>
        </w:tc>
        <w:tc>
          <w:tcPr>
            <w:tcW w:w="1980" w:type="dxa"/>
            <w:vAlign w:val="bottom"/>
            <w:tcBorders>
              <w:bottom w:val="single" w:sz="8" w:color="CEFFE7"/>
            </w:tcBorders>
            <w:shd w:val="clear" w:color="auto" w:fill="CEFFE7"/>
          </w:tcPr>
          <w:p>
            <w:pPr>
              <w:ind w:left="14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4460" w:type="dxa"/>
            <w:vAlign w:val="bottom"/>
          </w:tcPr>
          <w:p>
            <w:pPr>
              <w:ind w:left="180"/>
              <w:spacing w:after="0"/>
              <w:rPr>
                <w:sz w:val="20"/>
                <w:szCs w:val="20"/>
                <w:color w:val="auto"/>
              </w:rPr>
            </w:pPr>
            <w:r>
              <w:rPr>
                <w:rFonts w:ascii="Arial" w:cs="Arial" w:eastAsia="Arial" w:hAnsi="Arial"/>
                <w:sz w:val="18"/>
                <w:szCs w:val="18"/>
                <w:color w:val="auto"/>
              </w:rPr>
              <w:t>Anti-dilutive shares</w:t>
            </w:r>
          </w:p>
        </w:tc>
        <w:tc>
          <w:tcPr>
            <w:tcW w:w="1100" w:type="dxa"/>
            <w:vAlign w:val="bottom"/>
            <w:tcBorders>
              <w:top w:val="single" w:sz="8" w:color="auto"/>
              <w:bottom w:val="single" w:sz="8" w:color="auto"/>
            </w:tcBorders>
          </w:tcPr>
          <w:p>
            <w:pPr>
              <w:spacing w:after="0"/>
              <w:rPr>
                <w:sz w:val="22"/>
                <w:szCs w:val="22"/>
                <w:color w:val="auto"/>
              </w:rPr>
            </w:pPr>
          </w:p>
        </w:tc>
        <w:tc>
          <w:tcPr>
            <w:tcW w:w="20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98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08"/>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40" w:type="dxa"/>
            <w:vAlign w:val="bottom"/>
          </w:tcPr>
          <w:p>
            <w:pPr>
              <w:jc w:val="right"/>
              <w:ind w:right="171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616"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w w:val="98"/>
              </w:rPr>
              <w:t>(8)  NOTES PAYABLE AND LONG-TERM DEBT</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5"/>
        </w:trPr>
        <w:tc>
          <w:tcPr>
            <w:tcW w:w="10020" w:type="dxa"/>
            <w:vAlign w:val="bottom"/>
            <w:gridSpan w:val="11"/>
          </w:tcPr>
          <w:p>
            <w:pPr>
              <w:spacing w:after="0"/>
              <w:rPr>
                <w:sz w:val="20"/>
                <w:szCs w:val="20"/>
                <w:color w:val="auto"/>
              </w:rPr>
            </w:pPr>
            <w:r>
              <w:rPr>
                <w:rFonts w:ascii="Arial" w:cs="Arial" w:eastAsia="Arial" w:hAnsi="Arial"/>
                <w:sz w:val="18"/>
                <w:szCs w:val="18"/>
                <w:color w:val="auto"/>
                <w:w w:val="94"/>
              </w:rPr>
              <w:t>We had the following notes payable outstanding in the accompanying Condensed Consolidated Balance Sheets (in thousands) as of:</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September 30, 2017</w:t>
            </w:r>
          </w:p>
        </w:tc>
        <w:tc>
          <w:tcPr>
            <w:tcW w:w="180" w:type="dxa"/>
            <w:vAlign w:val="bottom"/>
          </w:tcPr>
          <w:p>
            <w:pPr>
              <w:spacing w:after="0"/>
              <w:rPr>
                <w:sz w:val="24"/>
                <w:szCs w:val="24"/>
                <w:color w:val="auto"/>
              </w:rPr>
            </w:pPr>
          </w:p>
        </w:tc>
        <w:tc>
          <w:tcPr>
            <w:tcW w:w="2360" w:type="dxa"/>
            <w:vAlign w:val="bottom"/>
            <w:gridSpan w:val="3"/>
          </w:tcPr>
          <w:p>
            <w:pPr>
              <w:jc w:val="right"/>
              <w:ind w:right="450"/>
              <w:spacing w:after="0"/>
              <w:rPr>
                <w:sz w:val="20"/>
                <w:szCs w:val="20"/>
                <w:color w:val="auto"/>
              </w:rPr>
            </w:pPr>
            <w:r>
              <w:rPr>
                <w:rFonts w:ascii="Arial" w:cs="Arial" w:eastAsia="Arial" w:hAnsi="Arial"/>
                <w:sz w:val="18"/>
                <w:szCs w:val="18"/>
                <w:color w:val="auto"/>
              </w:rPr>
              <w:t>December 31, 2016</w:t>
            </w:r>
          </w:p>
        </w:tc>
        <w:tc>
          <w:tcPr>
            <w:tcW w:w="160" w:type="dxa"/>
            <w:vAlign w:val="bottom"/>
          </w:tcPr>
          <w:p>
            <w:pPr>
              <w:spacing w:after="0"/>
              <w:rPr>
                <w:sz w:val="24"/>
                <w:szCs w:val="24"/>
                <w:color w:val="auto"/>
              </w:rPr>
            </w:pPr>
          </w:p>
        </w:tc>
        <w:tc>
          <w:tcPr>
            <w:tcW w:w="2460" w:type="dxa"/>
            <w:vAlign w:val="bottom"/>
            <w:gridSpan w:val="3"/>
          </w:tcPr>
          <w:p>
            <w:pPr>
              <w:jc w:val="center"/>
              <w:ind w:right="50"/>
              <w:spacing w:after="0"/>
              <w:rPr>
                <w:sz w:val="20"/>
                <w:szCs w:val="20"/>
                <w:color w:val="auto"/>
              </w:rPr>
            </w:pPr>
            <w:r>
              <w:rPr>
                <w:rFonts w:ascii="Arial" w:cs="Arial" w:eastAsia="Arial" w:hAnsi="Arial"/>
                <w:sz w:val="18"/>
                <w:szCs w:val="18"/>
                <w:color w:val="auto"/>
                <w:w w:val="88"/>
              </w:rPr>
              <w:t>September 30, 2016</w:t>
            </w:r>
          </w:p>
        </w:tc>
      </w:tr>
      <w:tr>
        <w:trPr>
          <w:trHeight w:val="27"/>
        </w:trPr>
        <w:tc>
          <w:tcPr>
            <w:tcW w:w="3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2"/>
        </w:trPr>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88"/>
              </w:rPr>
              <w:t>Outstanding</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Letters of Credit</w:t>
            </w:r>
          </w:p>
        </w:tc>
        <w:tc>
          <w:tcPr>
            <w:tcW w:w="1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2"/>
              </w:rPr>
              <w:t>Outstanding</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w w:val="93"/>
              </w:rPr>
              <w:t>Letters of Credit</w:t>
            </w:r>
          </w:p>
        </w:tc>
        <w:tc>
          <w:tcPr>
            <w:tcW w:w="1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w w:val="90"/>
              </w:rPr>
              <w:t>Outstanding</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Letters of Credit</w:t>
            </w:r>
          </w:p>
        </w:tc>
      </w:tr>
      <w:tr>
        <w:trPr>
          <w:trHeight w:val="27"/>
        </w:trPr>
        <w:tc>
          <w:tcPr>
            <w:tcW w:w="36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Revolving Credit Facility</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EFFE7"/>
            </w:tcBorders>
            <w:shd w:val="clear" w:color="auto" w:fill="CEFFE7"/>
          </w:tcPr>
          <w:p>
            <w:pPr>
              <w:jc w:val="center"/>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25,391</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96,600</w:t>
            </w:r>
          </w:p>
        </w:tc>
        <w:tc>
          <w:tcPr>
            <w:tcW w:w="42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36,000</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tcBorders>
              <w:bottom w:val="single" w:sz="8" w:color="CEFFE7"/>
            </w:tcBorders>
            <w:shd w:val="clear" w:color="auto" w:fill="CEFFE7"/>
          </w:tcPr>
          <w:p>
            <w:pPr>
              <w:jc w:val="center"/>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30,500</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CP Program</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225,170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225,170</w:t>
            </w:r>
          </w:p>
        </w:tc>
        <w:tc>
          <w:tcPr>
            <w:tcW w:w="480" w:type="dxa"/>
            <w:vAlign w:val="bottom"/>
            <w:tcBorders>
              <w:bottom w:val="single" w:sz="8" w:color="auto"/>
            </w:tcBorders>
            <w:shd w:val="clear" w:color="auto" w:fill="CEFFE7"/>
          </w:tcPr>
          <w:p>
            <w:pPr>
              <w:jc w:val="center"/>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25,391</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96,600</w:t>
            </w:r>
          </w:p>
        </w:tc>
        <w:tc>
          <w:tcPr>
            <w:tcW w:w="42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36,000</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tcBorders>
              <w:bottom w:val="single" w:sz="8" w:color="auto"/>
            </w:tcBorders>
            <w:shd w:val="clear" w:color="auto" w:fill="CEFFE7"/>
          </w:tcPr>
          <w:p>
            <w:pPr>
              <w:jc w:val="center"/>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30,500</w:t>
            </w: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9, 2016, we amended and restated our corporate Revolving Credit Facility to increase total commitments to $750 million from $500 million and extend the term through August 9, 2021 with two one-year extension options (subject to consent from lenders). This facility is similar to the former agreement, which includes an accordion feature that allows us, with the consent of the administrative agent and issuing agents, to increase total commitments of the facility up to $1.0 billion. Borrowings continue to be available under a base rate or various Eurodollar rate options. The interest costs associated with the letters of credit or borrowings and the commitment fee under the Revolving Credit Facility are determined based upon our most favorable Corporate credit rating from either S&amp;P or Moody’s for our unsecured debt. Based on our credit ratings, the margins for base rate borrowings, Eurodollar borrowings, and letters of credit were 0.250%, 1.250%, and 1.250%, respectively, at September 30, 2017. A 0.200% commitment fee is charged on the unused amount of the Revolving Credit Facility.</w:t>
      </w:r>
    </w:p>
    <w:p>
      <w:pPr>
        <w:spacing w:after="0" w:line="19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December 22, 2016, we implemented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 Our net amount borrowed under the CP Program during the nine months ended September 30, 2017 and our notes outstanding as of September 30, 2017 were $225 million. As of September 30, 2017, the weighted average interest rate on CP Program borrowings was 1.46%.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Covenants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7, 2016, we amended our Revolving Credit Facility and term loan agreements, allowing the exclusion of the Remarketable Junior Subordinated Notes (RSNs) from our Consolidated Indebtedness to Capitalization Ratio covenant calculation. Under the amended and restated Revolving Credit Facility and term loan agreements, we are required to maintain a Consolidated Indebtedness to Capitalization Ratio not to exceed 0.65 to 1.00. Our Consolidated Indebtedness to Capitalization Ratio is calculated by dividing (i) Consolidated Indebtedness, which includes letters of credit and certain guarantees issued and excludes RSNs by (ii) Capital, which includes Consolidated Indebtedness plus Net Worth, which excludes noncontrolling interests in subsidiaries and includes the aggregate outstanding amount of the RSNs.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our Term Loans require compliance with the following financial covenant at the end of each quarter: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As of September 30, 2017</w:t>
            </w:r>
          </w:p>
        </w:tc>
        <w:tc>
          <w:tcPr>
            <w:tcW w:w="2440" w:type="dxa"/>
            <w:vAlign w:val="bottom"/>
            <w:gridSpan w:val="2"/>
          </w:tcPr>
          <w:p>
            <w:pPr>
              <w:jc w:val="right"/>
              <w:ind w:right="270"/>
              <w:spacing w:after="0"/>
              <w:rPr>
                <w:sz w:val="20"/>
                <w:szCs w:val="20"/>
                <w:color w:val="auto"/>
              </w:rPr>
            </w:pPr>
            <w:r>
              <w:rPr>
                <w:rFonts w:ascii="Arial" w:cs="Arial" w:eastAsia="Arial" w:hAnsi="Arial"/>
                <w:sz w:val="18"/>
                <w:szCs w:val="18"/>
                <w:color w:val="auto"/>
              </w:rPr>
              <w:t>Covenant Requirement</w:t>
            </w:r>
          </w:p>
        </w:tc>
      </w:tr>
      <w:tr>
        <w:trPr>
          <w:trHeight w:val="27"/>
        </w:trPr>
        <w:tc>
          <w:tcPr>
            <w:tcW w:w="6280" w:type="dxa"/>
            <w:vAlign w:val="bottom"/>
            <w:tcBorders>
              <w:bottom w:val="single" w:sz="8" w:color="CEFFE7"/>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28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Consolidated Indebtedness to Capitalization Ratio</w:t>
            </w:r>
          </w:p>
        </w:tc>
        <w:tc>
          <w:tcPr>
            <w:tcW w:w="2700" w:type="dxa"/>
            <w:vAlign w:val="bottom"/>
            <w:shd w:val="clear" w:color="auto" w:fill="CEFFE7"/>
          </w:tcPr>
          <w:p>
            <w:pPr>
              <w:jc w:val="right"/>
              <w:ind w:right="1130"/>
              <w:spacing w:after="0"/>
              <w:rPr>
                <w:sz w:val="20"/>
                <w:szCs w:val="20"/>
                <w:color w:val="auto"/>
              </w:rPr>
            </w:pPr>
            <w:r>
              <w:rPr>
                <w:rFonts w:ascii="Arial" w:cs="Arial" w:eastAsia="Arial" w:hAnsi="Arial"/>
                <w:sz w:val="18"/>
                <w:szCs w:val="18"/>
                <w:color w:val="auto"/>
              </w:rPr>
              <w:t>61%</w:t>
            </w:r>
          </w:p>
        </w:tc>
        <w:tc>
          <w:tcPr>
            <w:tcW w:w="1420" w:type="dxa"/>
            <w:vAlign w:val="bottom"/>
            <w:shd w:val="clear" w:color="auto" w:fill="CEFFE7"/>
          </w:tcPr>
          <w:p>
            <w:pPr>
              <w:ind w:left="480"/>
              <w:spacing w:after="0"/>
              <w:rPr>
                <w:sz w:val="20"/>
                <w:szCs w:val="20"/>
                <w:color w:val="auto"/>
              </w:rPr>
            </w:pPr>
            <w:r>
              <w:rPr>
                <w:rFonts w:ascii="Arial" w:cs="Arial" w:eastAsia="Arial" w:hAnsi="Arial"/>
                <w:sz w:val="18"/>
                <w:szCs w:val="18"/>
                <w:color w:val="auto"/>
              </w:rPr>
              <w:t>Less than</w:t>
            </w:r>
          </w:p>
        </w:tc>
        <w:tc>
          <w:tcPr>
            <w:tcW w:w="1020" w:type="dxa"/>
            <w:vAlign w:val="bottom"/>
            <w:shd w:val="clear" w:color="auto" w:fill="CEFFE7"/>
          </w:tcPr>
          <w:p>
            <w:pPr>
              <w:jc w:val="right"/>
              <w:ind w:right="370"/>
              <w:spacing w:after="0"/>
              <w:rPr>
                <w:sz w:val="20"/>
                <w:szCs w:val="20"/>
                <w:color w:val="auto"/>
              </w:rPr>
            </w:pPr>
            <w:r>
              <w:rPr>
                <w:rFonts w:ascii="Arial" w:cs="Arial" w:eastAsia="Arial" w:hAnsi="Arial"/>
                <w:sz w:val="18"/>
                <w:szCs w:val="18"/>
                <w:color w:val="auto"/>
              </w:rPr>
              <w:t>65%</w:t>
            </w:r>
          </w:p>
        </w:tc>
      </w:tr>
      <w:tr>
        <w:trPr>
          <w:trHeight w:val="27"/>
        </w:trPr>
        <w:tc>
          <w:tcPr>
            <w:tcW w:w="6280" w:type="dxa"/>
            <w:vAlign w:val="bottom"/>
            <w:shd w:val="clear" w:color="auto" w:fill="CEFFE7"/>
          </w:tcPr>
          <w:p>
            <w:pPr>
              <w:spacing w:after="0"/>
              <w:rPr>
                <w:sz w:val="2"/>
                <w:szCs w:val="2"/>
                <w:color w:val="auto"/>
              </w:rPr>
            </w:pPr>
          </w:p>
        </w:tc>
        <w:tc>
          <w:tcPr>
            <w:tcW w:w="2700" w:type="dxa"/>
            <w:vAlign w:val="bottom"/>
            <w:shd w:val="clear" w:color="auto" w:fill="CEFFE7"/>
          </w:tcPr>
          <w:p>
            <w:pPr>
              <w:spacing w:after="0"/>
              <w:rPr>
                <w:sz w:val="2"/>
                <w:szCs w:val="2"/>
                <w:color w:val="auto"/>
              </w:rPr>
            </w:pPr>
          </w:p>
        </w:tc>
        <w:tc>
          <w:tcPr>
            <w:tcW w:w="1420" w:type="dxa"/>
            <w:vAlign w:val="bottom"/>
            <w:shd w:val="clear" w:color="auto" w:fill="CEFFE7"/>
          </w:tcPr>
          <w:p>
            <w:pPr>
              <w:spacing w:after="0"/>
              <w:rPr>
                <w:sz w:val="2"/>
                <w:szCs w:val="2"/>
                <w:color w:val="auto"/>
              </w:rPr>
            </w:pPr>
          </w:p>
        </w:tc>
        <w:tc>
          <w:tcPr>
            <w:tcW w:w="102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we were in compliance with this covenant.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May 16, 2017, we paid down $50 million on our Corporate term loan due August 9, 2019. On July 17, 2017, we paid down an additional $50 million on the same term loan. Short-term borrowings from our CP program were used to fund the payments on the Corporate term loan.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71" w:right="239" w:bottom="1440" w:gutter="0" w:footer="0" w:header="0"/>
        </w:sectPr>
      </w:pPr>
    </w:p>
    <w:bookmarkStart w:id="19" w:name="page20"/>
    <w:bookmarkEnd w:id="19"/>
    <w:p>
      <w:pPr>
        <w:spacing w:after="0"/>
        <w:tabs>
          <w:tab w:leader="none" w:pos="3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equity is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398780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87800" cy="17145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Share-based compensation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 reinvestment and stock purchase plan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Redeemable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Cumulative effect of ASU 2016-09 implementation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stock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Distribution to noncontrolling interest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September 30,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2C2C2C"/>
        </w:rPr>
        <w:t>Nine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Share-based compensation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 reinvestment and stock purchase plan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stock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Sale of noncontrolling interest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Distribution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September 30, 2016</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92"/>
              </w:rPr>
              <w:t>Total Stockholders’</w:t>
            </w:r>
          </w:p>
        </w:tc>
        <w:tc>
          <w:tcPr>
            <w:tcW w:w="22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95"/>
              </w:rPr>
              <w:t>Noncontrolling</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Interest</w:t>
            </w:r>
          </w:p>
        </w:tc>
        <w:tc>
          <w:tcPr>
            <w:tcW w:w="28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Total Equity</w:t>
            </w:r>
          </w:p>
        </w:tc>
      </w:tr>
      <w:tr>
        <w:trPr>
          <w:trHeight w:val="27"/>
        </w:trPr>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1,614,639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115,495</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1,730,134</w:t>
            </w:r>
          </w:p>
        </w:tc>
      </w:tr>
      <w:tr>
        <w:trPr>
          <w:trHeight w:val="243"/>
        </w:trPr>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126,381</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10,567</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136,948</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2,317</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2,317</w:t>
            </w:r>
          </w:p>
        </w:tc>
      </w:tr>
      <w:tr>
        <w:trPr>
          <w:trHeight w:val="270"/>
        </w:trPr>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(71,334)</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(71,334)</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5,853</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5,853</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2,300</w:t>
            </w:r>
          </w:p>
        </w:tc>
      </w:tr>
      <w:tr>
        <w:trPr>
          <w:trHeight w:val="270"/>
        </w:trPr>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(886)</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(886)</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3,714</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3,714</w:t>
            </w:r>
          </w:p>
        </w:tc>
      </w:tr>
      <w:tr>
        <w:trPr>
          <w:trHeight w:val="270"/>
        </w:trPr>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(12,884)</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(12,884)</w:t>
            </w:r>
          </w:p>
        </w:tc>
      </w:tr>
      <w:tr>
        <w:trPr>
          <w:trHeight w:val="27"/>
        </w:trPr>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1,682,804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113,178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1,795,982</w:t>
            </w:r>
          </w:p>
        </w:tc>
      </w:tr>
      <w:tr>
        <w:trPr>
          <w:trHeight w:val="27"/>
        </w:trPr>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60"/>
        </w:trPr>
        <w:tc>
          <w:tcPr>
            <w:tcW w:w="140" w:type="dxa"/>
            <w:vAlign w:val="bottom"/>
          </w:tcPr>
          <w:p>
            <w:pPr>
              <w:spacing w:after="0"/>
              <w:rPr>
                <w:sz w:val="24"/>
                <w:szCs w:val="24"/>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92"/>
              </w:rPr>
              <w:t>Total Stockholders’</w:t>
            </w:r>
          </w:p>
        </w:tc>
        <w:tc>
          <w:tcPr>
            <w:tcW w:w="220" w:type="dxa"/>
            <w:vAlign w:val="bottom"/>
          </w:tcPr>
          <w:p>
            <w:pPr>
              <w:spacing w:after="0"/>
              <w:rPr>
                <w:sz w:val="24"/>
                <w:szCs w:val="24"/>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95"/>
              </w:rPr>
              <w:t>Noncontrolling</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14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Interest</w:t>
            </w:r>
          </w:p>
        </w:tc>
        <w:tc>
          <w:tcPr>
            <w:tcW w:w="28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Total Equity</w:t>
            </w:r>
          </w:p>
        </w:tc>
      </w:tr>
      <w:tr>
        <w:trPr>
          <w:trHeight w:val="27"/>
        </w:trPr>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1,465,867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1,465,867</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54,802</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6,402</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61,204</w:t>
            </w:r>
          </w:p>
        </w:tc>
      </w:tr>
      <w:tr>
        <w:trPr>
          <w:trHeight w:val="270"/>
        </w:trPr>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(23,896)</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(23,896)</w:t>
            </w:r>
          </w:p>
        </w:tc>
      </w:tr>
      <w:tr>
        <w:trPr>
          <w:trHeight w:val="270"/>
        </w:trPr>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(65,247)</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(65,247)</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3,822</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3,822</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105,238</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105,238</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2,242</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2,242</w:t>
            </w:r>
          </w:p>
        </w:tc>
      </w:tr>
      <w:tr>
        <w:trPr>
          <w:trHeight w:val="270"/>
        </w:trPr>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61,838</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115,496</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177,334</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(4,516)</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(4,516)</w:t>
            </w:r>
          </w:p>
        </w:tc>
      </w:tr>
      <w:tr>
        <w:trPr>
          <w:trHeight w:val="27"/>
        </w:trPr>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1,604,642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117,382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1,722,024</w:t>
            </w:r>
          </w:p>
        </w:tc>
      </w:tr>
      <w:tr>
        <w:trPr>
          <w:trHeight w:val="27"/>
        </w:trPr>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800" w:space="480"/>
            <w:col w:w="5140"/>
          </w:cols>
          <w:pgMar w:left="240" w:top="57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At-the-Market Equity Offering Program</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August 4, 2017, we renewed the ATM equity offering program initiated in March 2016 which reset the size of the ATM equity offering program to an aggregate value of up to $300 million. The renewed program, which allows us to sell shares of our common stock, is the same as the prior year program other than the aggregate value increased from $200 million to $300 million. The shares may be offered from time to time pursuant to a sales agreement dated August 4, 2017. Shares of common stock are offered pursuant to our shelf registration statement filed with the SEC. We did not issue any common shares during the nine months ended September 30, 2017 under the ATM equity offering program. During the three months ended September 30, 2016, we sold 819,442 shares of common stock for $49 million, net of $0.5 million in commissions, under the ATM equity offering program. During the nine months ended September 30, 2016, we sold and issued under the ATM equity offering program an aggregate of 1,750,091 shares of common stock, with settlement dates through September 30, 2016, for $106 million, net of $1.1 million in commissions.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of Noncontrolling Interest in Subsidiary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Black Hills Colorado IPP owns a 200 MW, combined-cycle natural gas generating facility located in Pueblo, Colorado. On April 14, 2016, Black Hills Electric Generation sold a 49.9%, noncontrolling interest in Black Hills Colorado IPP for $216 million to a third-party buyer. FERC approval of the sale was received on March 29, 2016. Black Hills Electric Generation is the operator of the facility, which is contracted to provide capacity and energy through 2031 to Black Hills Colorado Electric.</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This partial sale was recorded as an equity transaction with no resulting gain or loss on the sale. Further, GAAP requires that noncontrolling interests in subsidiaries and affiliates be reported in the equity section of a company’s balance sheet. Distributions of net income attributable to the noncontrolling interest are due within 30 days following the end of a quarter, but may be withheld as necessary by Black Hills Electric Generation.</w:t>
      </w:r>
    </w:p>
    <w:p>
      <w:pPr>
        <w:spacing w:after="0" w:line="16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Black Hills Colorado IPP has been determined to be a variable interest entity (VIE) in which the Company has a variable interest. Black Hills Electric Generation has been determined to be the primary beneficiary of the VIE as Black Hills Electric Generation is the operator and manager of the generation facility and, as such, has the power to direct the activities that most significantly impact Black Hills Colorado IPP’s economic performance. Black Hills Electric Generation, as the primary beneficiary, continues to consolidate Black Hills Colorado IPP. Black Hills Colorado IPP has not received financial or other support from the Company outside of pre-existing contractual arrangements during the reporting period. Black Hills Colorado IPP does not have any debt and its cash flows from operations are sufficient to support its ongoing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have recorded the following assets and liabilities on our consolidated balance sheets related to the VIE described above as of:</w:t>
      </w:r>
    </w:p>
    <w:p>
      <w:pPr>
        <w:spacing w:after="0" w:line="171" w:lineRule="exact"/>
        <w:rPr>
          <w:sz w:val="20"/>
          <w:szCs w:val="20"/>
          <w:color w:val="auto"/>
        </w:rPr>
      </w:pPr>
    </w:p>
    <w:p>
      <w:pPr>
        <w:ind w:left="5920"/>
        <w:spacing w:after="0"/>
        <w:tabs>
          <w:tab w:leader="none" w:pos="7840" w:val="left"/>
          <w:tab w:leader="none" w:pos="9760" w:val="left"/>
        </w:tabs>
        <w:rPr>
          <w:sz w:val="20"/>
          <w:szCs w:val="20"/>
          <w:color w:val="auto"/>
        </w:rPr>
      </w:pPr>
      <w:r>
        <w:rPr>
          <w:rFonts w:ascii="Arial" w:cs="Arial" w:eastAsia="Arial" w:hAnsi="Arial"/>
          <w:sz w:val="18"/>
          <w:szCs w:val="18"/>
          <w:color w:val="auto"/>
        </w:rPr>
        <w:t>September 30, 2017</w:t>
      </w:r>
      <w:r>
        <w:rPr>
          <w:sz w:val="20"/>
          <w:szCs w:val="20"/>
          <w:color w:val="auto"/>
        </w:rPr>
        <w:tab/>
      </w:r>
      <w:r>
        <w:rPr>
          <w:rFonts w:ascii="Arial" w:cs="Arial" w:eastAsia="Arial" w:hAnsi="Arial"/>
          <w:sz w:val="18"/>
          <w:szCs w:val="18"/>
          <w:color w:val="auto"/>
        </w:rPr>
        <w:t>December 31, 2016</w:t>
      </w:r>
      <w:r>
        <w:rPr>
          <w:sz w:val="20"/>
          <w:szCs w:val="20"/>
          <w:color w:val="auto"/>
        </w:rPr>
        <w:tab/>
      </w:r>
      <w:r>
        <w:rPr>
          <w:rFonts w:ascii="Arial" w:cs="Arial" w:eastAsia="Arial" w:hAnsi="Arial"/>
          <w:sz w:val="16"/>
          <w:szCs w:val="16"/>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Assets</w:t>
            </w: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5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Current assets</w:t>
            </w:r>
          </w:p>
        </w:tc>
        <w:tc>
          <w:tcPr>
            <w:tcW w:w="1240" w:type="dxa"/>
            <w:vAlign w:val="bottom"/>
            <w:tcBorders>
              <w:bottom w:val="single" w:sz="8" w:color="CEFFE7"/>
            </w:tcBorders>
            <w:shd w:val="clear" w:color="auto" w:fill="CEFFE7"/>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14,732</w:t>
            </w:r>
          </w:p>
        </w:tc>
        <w:tc>
          <w:tcPr>
            <w:tcW w:w="3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12,627</w:t>
            </w:r>
          </w:p>
        </w:tc>
        <w:tc>
          <w:tcPr>
            <w:tcW w:w="72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14,191</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Property, plant and equipment of variable interest entities, net</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211,380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218,798</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220,818</w:t>
            </w:r>
          </w:p>
        </w:tc>
      </w:tr>
      <w:tr>
        <w:trPr>
          <w:trHeight w:val="27"/>
        </w:trPr>
        <w:tc>
          <w:tcPr>
            <w:tcW w:w="5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512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c>
          <w:tcPr>
            <w:tcW w:w="72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Current liabilities</w:t>
            </w:r>
          </w:p>
        </w:tc>
        <w:tc>
          <w:tcPr>
            <w:tcW w:w="1240" w:type="dxa"/>
            <w:vAlign w:val="bottom"/>
            <w:tcBorders>
              <w:bottom w:val="single" w:sz="8" w:color="CEFFE7"/>
            </w:tcBorders>
            <w:shd w:val="clear" w:color="auto" w:fill="CEFFE7"/>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3,275</w:t>
            </w:r>
          </w:p>
        </w:tc>
        <w:tc>
          <w:tcPr>
            <w:tcW w:w="3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4,342</w:t>
            </w:r>
          </w:p>
        </w:tc>
        <w:tc>
          <w:tcPr>
            <w:tcW w:w="72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3,353</w:t>
            </w:r>
          </w:p>
        </w:tc>
      </w:tr>
      <w:tr>
        <w:trPr>
          <w:trHeight w:val="675"/>
        </w:trPr>
        <w:tc>
          <w:tcPr>
            <w:tcW w:w="5120" w:type="dxa"/>
            <w:vAlign w:val="bottom"/>
          </w:tcPr>
          <w:p>
            <w:pPr>
              <w:spacing w:after="0"/>
              <w:rPr>
                <w:sz w:val="24"/>
                <w:szCs w:val="24"/>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21</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1" w:name="page22"/>
    <w:bookmarkEnd w:id="21"/>
    <w:p>
      <w:pPr>
        <w:spacing w:after="0"/>
        <w:tabs>
          <w:tab w:leader="none" w:pos="460" w:val="left"/>
        </w:tabs>
        <w:rPr>
          <w:sz w:val="20"/>
          <w:szCs w:val="20"/>
          <w:color w:val="auto"/>
        </w:rPr>
      </w:pPr>
      <w:r>
        <w:rPr>
          <w:rFonts w:ascii="Arial" w:cs="Arial" w:eastAsia="Arial" w:hAnsi="Arial"/>
          <w:sz w:val="18"/>
          <w:szCs w:val="18"/>
          <w:color w:val="auto"/>
        </w:rPr>
        <w:t>(10)</w:t>
        <w:tab/>
        <w:t>RISK MANAGEMENT ACTIVITIES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activities in the regulated and non-regulated energy sectors expose us to a number of risks in the normal operation of our businesses. Depending on the activity, we are exposed to varying degrees of market risk and credit risk. To manage and mitigate these identified risks, we have adopted the Black Hills Corporation Risk Policies and Procedures as discussed in our 2016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Market risk is the potential loss that might occur as a result of an adverse change in market price or rate. We are exposed to the following market risks including, but not limited to commodity price risk associated with our natural long position in crude oil and natural gas reserves and production, our retail natural gas marketing activities, and our fuel procurement for certain of our gas-fired generation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risk is the risk of financial loss resulting from non-performance of contractual obligations by a counterparty.</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 production and generation activities,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prepayments, letters of credit, and other security agreements.</w:t>
      </w:r>
    </w:p>
    <w:p>
      <w:pPr>
        <w:spacing w:after="0" w:line="16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perform ongoing credit evaluations of our customers and adjust credit limits based on payment history and the customer’s current creditworthiness, as determined by review of their current credit information. We maintain a provision for estimated credit losses based upon historical experience and any specific customer collection issue that is identified.</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derivative and hedging activities recorded in the accompanying Condensed Consolidated Balance Sheets, Condensed Consolidated Statements of Income and Condensed Consolidated Statements of Comprehensive Income are detailed below and in Note 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Oil and Gas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produce natural gas, NGLs and crude oil through our exploration and production activities. Our natural long positions, or unhedged open positions, result in commodity price risk and variability to our cash flows.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mitigate commodity price risk and preserve cash flows, we primarily use exchange traded futures, swaps and options to hedge portions of our crude oil and natural gas production. We elect hedge accounting on our futures and swaps. These transactions were designated at inception as cash flow hedges, documented under accounting standards for derivatives and hedging, and initially met prospective effectiveness testing. Effectiveness of our hedging position is evaluated at least quarterly.</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derivatives were marked to fair value and were recorded as Derivative assets or Derivative liabilities on the accompanying Condensed Consolidated Balance Sheets, net of balance sheet offsetting as permitted by GAAP. The effective portion of the gain or loss on these derivatives for which we have elected cash flow hedge accounting is reported in AOCI in the accompanying Condensed Consolidated Balance Sheets and the ineffective portion, if any, is reported in Revenue in the accompanying Condensed Consolidated Statements of Income.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ind w:right="120"/>
        <w:spacing w:after="0" w:line="277" w:lineRule="auto"/>
        <w:rPr>
          <w:sz w:val="20"/>
          <w:szCs w:val="20"/>
          <w:color w:val="auto"/>
        </w:rPr>
      </w:pPr>
      <w:r>
        <w:rPr>
          <w:rFonts w:ascii="Arial" w:cs="Arial" w:eastAsia="Arial" w:hAnsi="Arial"/>
          <w:sz w:val="18"/>
          <w:szCs w:val="18"/>
          <w:color w:val="auto"/>
        </w:rPr>
        <w:t>The contract or notional amounts and terms of the crude oil futures and natural gas futures and swaps held at our Oil and Gas segment are composed of short positions. We had the following short positions as of:</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September 30, 2017</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December 31, 2016</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September 30, 2016</w:t>
            </w:r>
          </w:p>
        </w:tc>
        <w:tc>
          <w:tcPr>
            <w:tcW w:w="860" w:type="dxa"/>
            <w:vAlign w:val="bottom"/>
            <w:tcBorders>
              <w:bottom w:val="single" w:sz="8" w:color="auto"/>
            </w:tcBorders>
          </w:tcPr>
          <w:p>
            <w:pPr>
              <w:spacing w:after="0"/>
              <w:rPr>
                <w:sz w:val="16"/>
                <w:szCs w:val="16"/>
                <w:color w:val="auto"/>
              </w:rPr>
            </w:pPr>
          </w:p>
        </w:tc>
      </w:tr>
      <w:tr>
        <w:trPr>
          <w:trHeight w:val="156"/>
        </w:trPr>
        <w:tc>
          <w:tcPr>
            <w:tcW w:w="2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0"/>
              </w:rPr>
              <w:t>Natural Gas</w:t>
            </w: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3"/>
              </w:rPr>
              <w:t>Natural Gas</w:t>
            </w: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60" w:type="dxa"/>
            <w:vAlign w:val="bottom"/>
          </w:tcPr>
          <w:p>
            <w:pPr>
              <w:jc w:val="center"/>
              <w:ind w:right="84"/>
              <w:spacing w:after="0" w:line="157" w:lineRule="exact"/>
              <w:rPr>
                <w:sz w:val="20"/>
                <w:szCs w:val="20"/>
                <w:color w:val="auto"/>
              </w:rPr>
            </w:pPr>
            <w:r>
              <w:rPr>
                <w:rFonts w:ascii="Arial" w:cs="Arial" w:eastAsia="Arial" w:hAnsi="Arial"/>
                <w:sz w:val="14"/>
                <w:szCs w:val="14"/>
                <w:color w:val="auto"/>
                <w:w w:val="93"/>
              </w:rPr>
              <w:t>Natural Gas</w:t>
            </w:r>
          </w:p>
        </w:tc>
      </w:tr>
      <w:tr>
        <w:trPr>
          <w:trHeight w:val="149"/>
        </w:trPr>
        <w:tc>
          <w:tcPr>
            <w:tcW w:w="2300" w:type="dxa"/>
            <w:vAlign w:val="bottom"/>
          </w:tcPr>
          <w:p>
            <w:pPr>
              <w:spacing w:after="0"/>
              <w:rPr>
                <w:sz w:val="12"/>
                <w:szCs w:val="12"/>
                <w:color w:val="auto"/>
              </w:rPr>
            </w:pPr>
          </w:p>
        </w:tc>
        <w:tc>
          <w:tcPr>
            <w:tcW w:w="880" w:type="dxa"/>
            <w:vAlign w:val="bottom"/>
          </w:tcPr>
          <w:p>
            <w:pPr>
              <w:jc w:val="right"/>
              <w:ind w:right="43"/>
              <w:spacing w:after="0" w:line="149" w:lineRule="exact"/>
              <w:rPr>
                <w:sz w:val="20"/>
                <w:szCs w:val="20"/>
                <w:color w:val="auto"/>
              </w:rPr>
            </w:pPr>
            <w:r>
              <w:rPr>
                <w:rFonts w:ascii="Arial" w:cs="Arial" w:eastAsia="Arial" w:hAnsi="Arial"/>
                <w:sz w:val="14"/>
                <w:szCs w:val="14"/>
                <w:color w:val="auto"/>
              </w:rPr>
              <w:t>Crude Oil</w:t>
            </w:r>
          </w:p>
        </w:tc>
        <w:tc>
          <w:tcPr>
            <w:tcW w:w="1240" w:type="dxa"/>
            <w:vAlign w:val="bottom"/>
          </w:tcPr>
          <w:p>
            <w:pPr>
              <w:jc w:val="right"/>
              <w:ind w:right="304"/>
              <w:spacing w:after="0" w:line="149" w:lineRule="exact"/>
              <w:rPr>
                <w:sz w:val="20"/>
                <w:szCs w:val="20"/>
                <w:color w:val="auto"/>
              </w:rPr>
            </w:pPr>
            <w:r>
              <w:rPr>
                <w:rFonts w:ascii="Arial" w:cs="Arial" w:eastAsia="Arial" w:hAnsi="Arial"/>
                <w:sz w:val="14"/>
                <w:szCs w:val="14"/>
                <w:color w:val="auto"/>
              </w:rPr>
              <w:t>Crude Oil</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Futures and</w:t>
            </w:r>
          </w:p>
        </w:tc>
        <w:tc>
          <w:tcPr>
            <w:tcW w:w="860" w:type="dxa"/>
            <w:vAlign w:val="bottom"/>
          </w:tcPr>
          <w:p>
            <w:pPr>
              <w:jc w:val="right"/>
              <w:ind w:right="43"/>
              <w:spacing w:after="0" w:line="149" w:lineRule="exact"/>
              <w:rPr>
                <w:sz w:val="20"/>
                <w:szCs w:val="20"/>
                <w:color w:val="auto"/>
              </w:rPr>
            </w:pPr>
            <w:r>
              <w:rPr>
                <w:rFonts w:ascii="Arial" w:cs="Arial" w:eastAsia="Arial" w:hAnsi="Arial"/>
                <w:sz w:val="14"/>
                <w:szCs w:val="14"/>
                <w:color w:val="auto"/>
              </w:rPr>
              <w:t>Crude Oil</w:t>
            </w:r>
          </w:p>
        </w:tc>
        <w:tc>
          <w:tcPr>
            <w:tcW w:w="1200" w:type="dxa"/>
            <w:vAlign w:val="bottom"/>
          </w:tcPr>
          <w:p>
            <w:pPr>
              <w:jc w:val="right"/>
              <w:ind w:right="284"/>
              <w:spacing w:after="0" w:line="149" w:lineRule="exact"/>
              <w:rPr>
                <w:sz w:val="20"/>
                <w:szCs w:val="20"/>
                <w:color w:val="auto"/>
              </w:rPr>
            </w:pPr>
            <w:r>
              <w:rPr>
                <w:rFonts w:ascii="Arial" w:cs="Arial" w:eastAsia="Arial" w:hAnsi="Arial"/>
                <w:sz w:val="14"/>
                <w:szCs w:val="14"/>
                <w:color w:val="auto"/>
              </w:rPr>
              <w:t>Crude Oil</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Futures and</w:t>
            </w:r>
          </w:p>
        </w:tc>
        <w:tc>
          <w:tcPr>
            <w:tcW w:w="860" w:type="dxa"/>
            <w:vAlign w:val="bottom"/>
          </w:tcPr>
          <w:p>
            <w:pPr>
              <w:jc w:val="right"/>
              <w:ind w:right="43"/>
              <w:spacing w:after="0" w:line="149" w:lineRule="exact"/>
              <w:rPr>
                <w:sz w:val="20"/>
                <w:szCs w:val="20"/>
                <w:color w:val="auto"/>
              </w:rPr>
            </w:pPr>
            <w:r>
              <w:rPr>
                <w:rFonts w:ascii="Arial" w:cs="Arial" w:eastAsia="Arial" w:hAnsi="Arial"/>
                <w:sz w:val="14"/>
                <w:szCs w:val="14"/>
                <w:color w:val="auto"/>
              </w:rPr>
              <w:t>Crude Oil</w:t>
            </w:r>
          </w:p>
        </w:tc>
        <w:tc>
          <w:tcPr>
            <w:tcW w:w="1220" w:type="dxa"/>
            <w:vAlign w:val="bottom"/>
          </w:tcPr>
          <w:p>
            <w:pPr>
              <w:jc w:val="right"/>
              <w:ind w:right="304"/>
              <w:spacing w:after="0" w:line="149" w:lineRule="exact"/>
              <w:rPr>
                <w:sz w:val="20"/>
                <w:szCs w:val="20"/>
                <w:color w:val="auto"/>
              </w:rPr>
            </w:pPr>
            <w:r>
              <w:rPr>
                <w:rFonts w:ascii="Arial" w:cs="Arial" w:eastAsia="Arial" w:hAnsi="Arial"/>
                <w:sz w:val="14"/>
                <w:szCs w:val="14"/>
                <w:color w:val="auto"/>
              </w:rPr>
              <w:t>Crude Oil</w:t>
            </w:r>
          </w:p>
        </w:tc>
        <w:tc>
          <w:tcPr>
            <w:tcW w:w="860" w:type="dxa"/>
            <w:vAlign w:val="bottom"/>
          </w:tcPr>
          <w:p>
            <w:pPr>
              <w:jc w:val="center"/>
              <w:ind w:right="64"/>
              <w:spacing w:after="0" w:line="149" w:lineRule="exact"/>
              <w:rPr>
                <w:sz w:val="20"/>
                <w:szCs w:val="20"/>
                <w:color w:val="auto"/>
              </w:rPr>
            </w:pPr>
            <w:r>
              <w:rPr>
                <w:rFonts w:ascii="Arial" w:cs="Arial" w:eastAsia="Arial" w:hAnsi="Arial"/>
                <w:sz w:val="14"/>
                <w:szCs w:val="14"/>
                <w:color w:val="auto"/>
                <w:w w:val="90"/>
              </w:rPr>
              <w:t>Futures and</w:t>
            </w:r>
          </w:p>
        </w:tc>
      </w:tr>
      <w:tr>
        <w:trPr>
          <w:trHeight w:val="188"/>
        </w:trPr>
        <w:tc>
          <w:tcPr>
            <w:tcW w:w="2300" w:type="dxa"/>
            <w:vAlign w:val="bottom"/>
          </w:tcPr>
          <w:p>
            <w:pPr>
              <w:spacing w:after="0"/>
              <w:rPr>
                <w:sz w:val="16"/>
                <w:szCs w:val="16"/>
                <w:color w:val="auto"/>
              </w:rPr>
            </w:pPr>
          </w:p>
        </w:tc>
        <w:tc>
          <w:tcPr>
            <w:tcW w:w="880" w:type="dxa"/>
            <w:vAlign w:val="bottom"/>
          </w:tcPr>
          <w:p>
            <w:pPr>
              <w:jc w:val="right"/>
              <w:ind w:right="123"/>
              <w:spacing w:after="0"/>
              <w:rPr>
                <w:sz w:val="20"/>
                <w:szCs w:val="20"/>
                <w:color w:val="auto"/>
              </w:rPr>
            </w:pPr>
            <w:r>
              <w:rPr>
                <w:rFonts w:ascii="Arial" w:cs="Arial" w:eastAsia="Arial" w:hAnsi="Arial"/>
                <w:sz w:val="14"/>
                <w:szCs w:val="14"/>
                <w:color w:val="auto"/>
              </w:rPr>
              <w:t>Futures</w:t>
            </w:r>
          </w:p>
        </w:tc>
        <w:tc>
          <w:tcPr>
            <w:tcW w:w="1240" w:type="dxa"/>
            <w:vAlign w:val="bottom"/>
          </w:tcPr>
          <w:p>
            <w:pPr>
              <w:jc w:val="right"/>
              <w:ind w:right="364"/>
              <w:spacing w:after="0"/>
              <w:rPr>
                <w:sz w:val="20"/>
                <w:szCs w:val="20"/>
                <w:color w:val="auto"/>
              </w:rPr>
            </w:pPr>
            <w:r>
              <w:rPr>
                <w:rFonts w:ascii="Arial" w:cs="Arial" w:eastAsia="Arial" w:hAnsi="Arial"/>
                <w:sz w:val="14"/>
                <w:szCs w:val="14"/>
                <w:color w:val="auto"/>
              </w:rPr>
              <w:t>Options</w:t>
            </w: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Swaps</w:t>
            </w:r>
          </w:p>
        </w:tc>
        <w:tc>
          <w:tcPr>
            <w:tcW w:w="860" w:type="dxa"/>
            <w:vAlign w:val="bottom"/>
          </w:tcPr>
          <w:p>
            <w:pPr>
              <w:jc w:val="right"/>
              <w:ind w:right="103"/>
              <w:spacing w:after="0"/>
              <w:rPr>
                <w:sz w:val="20"/>
                <w:szCs w:val="20"/>
                <w:color w:val="auto"/>
              </w:rPr>
            </w:pPr>
            <w:r>
              <w:rPr>
                <w:rFonts w:ascii="Arial" w:cs="Arial" w:eastAsia="Arial" w:hAnsi="Arial"/>
                <w:sz w:val="14"/>
                <w:szCs w:val="14"/>
                <w:color w:val="auto"/>
              </w:rPr>
              <w:t>Futures</w:t>
            </w:r>
          </w:p>
        </w:tc>
        <w:tc>
          <w:tcPr>
            <w:tcW w:w="1200" w:type="dxa"/>
            <w:vAlign w:val="bottom"/>
          </w:tcPr>
          <w:p>
            <w:pPr>
              <w:jc w:val="right"/>
              <w:ind w:right="344"/>
              <w:spacing w:after="0"/>
              <w:rPr>
                <w:sz w:val="20"/>
                <w:szCs w:val="20"/>
                <w:color w:val="auto"/>
              </w:rPr>
            </w:pPr>
            <w:r>
              <w:rPr>
                <w:rFonts w:ascii="Arial" w:cs="Arial" w:eastAsia="Arial" w:hAnsi="Arial"/>
                <w:sz w:val="14"/>
                <w:szCs w:val="14"/>
                <w:color w:val="auto"/>
              </w:rPr>
              <w:t>Options</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Swaps</w:t>
            </w:r>
          </w:p>
        </w:tc>
        <w:tc>
          <w:tcPr>
            <w:tcW w:w="860" w:type="dxa"/>
            <w:vAlign w:val="bottom"/>
          </w:tcPr>
          <w:p>
            <w:pPr>
              <w:jc w:val="right"/>
              <w:ind w:right="103"/>
              <w:spacing w:after="0"/>
              <w:rPr>
                <w:sz w:val="20"/>
                <w:szCs w:val="20"/>
                <w:color w:val="auto"/>
              </w:rPr>
            </w:pPr>
            <w:r>
              <w:rPr>
                <w:rFonts w:ascii="Arial" w:cs="Arial" w:eastAsia="Arial" w:hAnsi="Arial"/>
                <w:sz w:val="14"/>
                <w:szCs w:val="14"/>
                <w:color w:val="auto"/>
              </w:rPr>
              <w:t>Futures</w:t>
            </w:r>
          </w:p>
        </w:tc>
        <w:tc>
          <w:tcPr>
            <w:tcW w:w="1220" w:type="dxa"/>
            <w:vAlign w:val="bottom"/>
          </w:tcPr>
          <w:p>
            <w:pPr>
              <w:jc w:val="right"/>
              <w:ind w:right="364"/>
              <w:spacing w:after="0"/>
              <w:rPr>
                <w:sz w:val="20"/>
                <w:szCs w:val="20"/>
                <w:color w:val="auto"/>
              </w:rPr>
            </w:pPr>
            <w:r>
              <w:rPr>
                <w:rFonts w:ascii="Arial" w:cs="Arial" w:eastAsia="Arial" w:hAnsi="Arial"/>
                <w:sz w:val="14"/>
                <w:szCs w:val="14"/>
                <w:color w:val="auto"/>
              </w:rPr>
              <w:t>Options</w:t>
            </w:r>
          </w:p>
        </w:tc>
        <w:tc>
          <w:tcPr>
            <w:tcW w:w="860" w:type="dxa"/>
            <w:vAlign w:val="bottom"/>
          </w:tcPr>
          <w:p>
            <w:pPr>
              <w:jc w:val="center"/>
              <w:ind w:right="84"/>
              <w:spacing w:after="0"/>
              <w:rPr>
                <w:sz w:val="20"/>
                <w:szCs w:val="20"/>
                <w:color w:val="auto"/>
              </w:rPr>
            </w:pPr>
            <w:r>
              <w:rPr>
                <w:rFonts w:ascii="Arial" w:cs="Arial" w:eastAsia="Arial" w:hAnsi="Arial"/>
                <w:sz w:val="14"/>
                <w:szCs w:val="14"/>
                <w:color w:val="auto"/>
                <w:w w:val="90"/>
              </w:rPr>
              <w:t>Swaps</w:t>
            </w:r>
          </w:p>
        </w:tc>
      </w:tr>
      <w:tr>
        <w:trPr>
          <w:trHeight w:val="256"/>
        </w:trPr>
        <w:tc>
          <w:tcPr>
            <w:tcW w:w="2300" w:type="dxa"/>
            <w:vAlign w:val="bottom"/>
            <w:tcBorders>
              <w:top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 xml:space="preserve">Notional </w:t>
            </w:r>
            <w:r>
              <w:rPr>
                <w:rFonts w:ascii="Arial" w:cs="Arial" w:eastAsia="Arial" w:hAnsi="Arial"/>
                <w:sz w:val="21"/>
                <w:szCs w:val="21"/>
                <w:color w:val="auto"/>
                <w:vertAlign w:val="superscript"/>
              </w:rPr>
              <w:t>(a)</w:t>
            </w:r>
          </w:p>
        </w:tc>
        <w:tc>
          <w:tcPr>
            <w:tcW w:w="8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54,000</w:t>
            </w:r>
          </w:p>
        </w:tc>
        <w:tc>
          <w:tcPr>
            <w:tcW w:w="1240" w:type="dxa"/>
            <w:vAlign w:val="bottom"/>
            <w:tcBorders>
              <w:top w:val="single" w:sz="8" w:color="auto"/>
            </w:tcBorders>
            <w:shd w:val="clear" w:color="auto" w:fill="CEFFE7"/>
          </w:tcPr>
          <w:p>
            <w:pPr>
              <w:jc w:val="right"/>
              <w:ind w:right="184"/>
              <w:spacing w:after="0"/>
              <w:rPr>
                <w:sz w:val="20"/>
                <w:szCs w:val="20"/>
                <w:color w:val="auto"/>
              </w:rPr>
            </w:pPr>
            <w:r>
              <w:rPr>
                <w:rFonts w:ascii="Arial" w:cs="Arial" w:eastAsia="Arial" w:hAnsi="Arial"/>
                <w:sz w:val="16"/>
                <w:szCs w:val="16"/>
                <w:color w:val="auto"/>
              </w:rPr>
              <w:t>9,000</w:t>
            </w:r>
          </w:p>
        </w:tc>
        <w:tc>
          <w:tcPr>
            <w:tcW w:w="900" w:type="dxa"/>
            <w:vAlign w:val="bottom"/>
            <w:tcBorders>
              <w:top w:val="single" w:sz="8" w:color="auto"/>
            </w:tcBorders>
            <w:shd w:val="clear" w:color="auto" w:fill="CEFFE7"/>
          </w:tcPr>
          <w:p>
            <w:pPr>
              <w:jc w:val="right"/>
              <w:ind w:right="44"/>
              <w:spacing w:after="0"/>
              <w:rPr>
                <w:sz w:val="20"/>
                <w:szCs w:val="20"/>
                <w:color w:val="auto"/>
              </w:rPr>
            </w:pPr>
            <w:r>
              <w:rPr>
                <w:rFonts w:ascii="Arial" w:cs="Arial" w:eastAsia="Arial" w:hAnsi="Arial"/>
                <w:sz w:val="16"/>
                <w:szCs w:val="16"/>
                <w:color w:val="auto"/>
              </w:rPr>
              <w:t>540,000</w:t>
            </w:r>
          </w:p>
        </w:tc>
        <w:tc>
          <w:tcPr>
            <w:tcW w:w="120" w:type="dxa"/>
            <w:vAlign w:val="bottom"/>
            <w:tcBorders>
              <w:top w:val="single" w:sz="8" w:color="CEFFE7"/>
            </w:tcBorders>
            <w:shd w:val="clear" w:color="auto" w:fill="CEFFE7"/>
          </w:tcPr>
          <w:p>
            <w:pPr>
              <w:spacing w:after="0"/>
              <w:rPr>
                <w:sz w:val="22"/>
                <w:szCs w:val="22"/>
                <w:color w:val="auto"/>
              </w:rPr>
            </w:pPr>
          </w:p>
        </w:tc>
        <w:tc>
          <w:tcPr>
            <w:tcW w:w="86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108,000</w:t>
            </w:r>
          </w:p>
        </w:tc>
        <w:tc>
          <w:tcPr>
            <w:tcW w:w="1200" w:type="dxa"/>
            <w:vAlign w:val="bottom"/>
            <w:tcBorders>
              <w:top w:val="single" w:sz="8" w:color="auto"/>
            </w:tcBorders>
            <w:shd w:val="clear" w:color="auto" w:fill="CEFFE7"/>
          </w:tcPr>
          <w:p>
            <w:pPr>
              <w:jc w:val="right"/>
              <w:ind w:right="164"/>
              <w:spacing w:after="0"/>
              <w:rPr>
                <w:sz w:val="20"/>
                <w:szCs w:val="20"/>
                <w:color w:val="auto"/>
              </w:rPr>
            </w:pPr>
            <w:r>
              <w:rPr>
                <w:rFonts w:ascii="Arial" w:cs="Arial" w:eastAsia="Arial" w:hAnsi="Arial"/>
                <w:sz w:val="16"/>
                <w:szCs w:val="16"/>
                <w:color w:val="auto"/>
              </w:rPr>
              <w:t>36,000</w:t>
            </w:r>
          </w:p>
        </w:tc>
        <w:tc>
          <w:tcPr>
            <w:tcW w:w="880" w:type="dxa"/>
            <w:vAlign w:val="bottom"/>
            <w:tcBorders>
              <w:top w:val="single" w:sz="8" w:color="auto"/>
            </w:tcBorders>
            <w:shd w:val="clear" w:color="auto" w:fill="CEFFE7"/>
          </w:tcPr>
          <w:p>
            <w:pPr>
              <w:jc w:val="right"/>
              <w:ind w:right="24"/>
              <w:spacing w:after="0"/>
              <w:rPr>
                <w:sz w:val="20"/>
                <w:szCs w:val="20"/>
                <w:color w:val="auto"/>
              </w:rPr>
            </w:pPr>
            <w:r>
              <w:rPr>
                <w:rFonts w:ascii="Arial" w:cs="Arial" w:eastAsia="Arial" w:hAnsi="Arial"/>
                <w:sz w:val="16"/>
                <w:szCs w:val="16"/>
                <w:color w:val="auto"/>
              </w:rPr>
              <w:t>2,700,000</w:t>
            </w:r>
          </w:p>
        </w:tc>
        <w:tc>
          <w:tcPr>
            <w:tcW w:w="100" w:type="dxa"/>
            <w:vAlign w:val="bottom"/>
            <w:tcBorders>
              <w:top w:val="single" w:sz="8" w:color="CEFFE7"/>
            </w:tcBorders>
            <w:shd w:val="clear" w:color="auto" w:fill="CEFFE7"/>
          </w:tcPr>
          <w:p>
            <w:pPr>
              <w:spacing w:after="0"/>
              <w:rPr>
                <w:sz w:val="22"/>
                <w:szCs w:val="22"/>
                <w:color w:val="auto"/>
              </w:rPr>
            </w:pPr>
          </w:p>
        </w:tc>
        <w:tc>
          <w:tcPr>
            <w:tcW w:w="86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159,000</w:t>
            </w:r>
          </w:p>
        </w:tc>
        <w:tc>
          <w:tcPr>
            <w:tcW w:w="1220" w:type="dxa"/>
            <w:vAlign w:val="bottom"/>
            <w:tcBorders>
              <w:top w:val="single" w:sz="8" w:color="auto"/>
            </w:tcBorders>
            <w:shd w:val="clear" w:color="auto" w:fill="CEFFE7"/>
          </w:tcPr>
          <w:p>
            <w:pPr>
              <w:jc w:val="right"/>
              <w:ind w:right="184"/>
              <w:spacing w:after="0"/>
              <w:rPr>
                <w:sz w:val="20"/>
                <w:szCs w:val="20"/>
                <w:color w:val="auto"/>
              </w:rPr>
            </w:pPr>
            <w:r>
              <w:rPr>
                <w:rFonts w:ascii="Arial" w:cs="Arial" w:eastAsia="Arial" w:hAnsi="Arial"/>
                <w:sz w:val="16"/>
                <w:szCs w:val="16"/>
                <w:color w:val="auto"/>
              </w:rPr>
              <w:t>36,000</w:t>
            </w:r>
          </w:p>
        </w:tc>
        <w:tc>
          <w:tcPr>
            <w:tcW w:w="860" w:type="dxa"/>
            <w:vAlign w:val="bottom"/>
            <w:tcBorders>
              <w:top w:val="single" w:sz="8" w:color="auto"/>
            </w:tcBorders>
            <w:shd w:val="clear" w:color="auto" w:fill="CEFFE7"/>
          </w:tcPr>
          <w:p>
            <w:pPr>
              <w:jc w:val="right"/>
              <w:ind w:right="24"/>
              <w:spacing w:after="0"/>
              <w:rPr>
                <w:sz w:val="20"/>
                <w:szCs w:val="20"/>
                <w:color w:val="auto"/>
              </w:rPr>
            </w:pPr>
            <w:r>
              <w:rPr>
                <w:rFonts w:ascii="Arial" w:cs="Arial" w:eastAsia="Arial" w:hAnsi="Arial"/>
                <w:sz w:val="16"/>
                <w:szCs w:val="16"/>
                <w:color w:val="auto"/>
              </w:rPr>
              <w:t>1,625,000</w:t>
            </w: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Maximum terms in</w:t>
            </w: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2300" w:type="dxa"/>
            <w:vAlign w:val="bottom"/>
          </w:tcPr>
          <w:p>
            <w:pPr>
              <w:ind w:left="40"/>
              <w:spacing w:after="0" w:line="225" w:lineRule="exact"/>
              <w:rPr>
                <w:sz w:val="20"/>
                <w:szCs w:val="20"/>
                <w:color w:val="auto"/>
              </w:rPr>
            </w:pPr>
            <w:r>
              <w:rPr>
                <w:rFonts w:ascii="Arial" w:cs="Arial" w:eastAsia="Arial" w:hAnsi="Arial"/>
                <w:sz w:val="16"/>
                <w:szCs w:val="16"/>
                <w:color w:val="auto"/>
              </w:rPr>
              <w:t xml:space="preserve">months </w:t>
            </w:r>
            <w:r>
              <w:rPr>
                <w:rFonts w:ascii="Arial" w:cs="Arial" w:eastAsia="Arial" w:hAnsi="Arial"/>
                <w:sz w:val="21"/>
                <w:szCs w:val="21"/>
                <w:color w:val="auto"/>
                <w:vertAlign w:val="superscript"/>
              </w:rPr>
              <w:t>(b)</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240" w:type="dxa"/>
            <w:vAlign w:val="bottom"/>
          </w:tcPr>
          <w:p>
            <w:pPr>
              <w:jc w:val="right"/>
              <w:ind w:right="184"/>
              <w:spacing w:after="0"/>
              <w:rPr>
                <w:sz w:val="20"/>
                <w:szCs w:val="20"/>
                <w:color w:val="auto"/>
              </w:rPr>
            </w:pPr>
            <w:r>
              <w:rPr>
                <w:rFonts w:ascii="Arial" w:cs="Arial" w:eastAsia="Arial" w:hAnsi="Arial"/>
                <w:sz w:val="16"/>
                <w:szCs w:val="16"/>
                <w:color w:val="auto"/>
              </w:rPr>
              <w:t>3</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1200" w:type="dxa"/>
            <w:vAlign w:val="bottom"/>
          </w:tcPr>
          <w:p>
            <w:pPr>
              <w:jc w:val="right"/>
              <w:ind w:right="164"/>
              <w:spacing w:after="0"/>
              <w:rPr>
                <w:sz w:val="20"/>
                <w:szCs w:val="20"/>
                <w:color w:val="auto"/>
              </w:rPr>
            </w:pPr>
            <w:r>
              <w:rPr>
                <w:rFonts w:ascii="Arial" w:cs="Arial" w:eastAsia="Arial" w:hAnsi="Arial"/>
                <w:sz w:val="16"/>
                <w:szCs w:val="16"/>
                <w:color w:val="auto"/>
              </w:rPr>
              <w:t>12</w:t>
            </w: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1220" w:type="dxa"/>
            <w:vAlign w:val="bottom"/>
          </w:tcPr>
          <w:p>
            <w:pPr>
              <w:jc w:val="right"/>
              <w:ind w:right="184"/>
              <w:spacing w:after="0"/>
              <w:rPr>
                <w:sz w:val="20"/>
                <w:szCs w:val="20"/>
                <w:color w:val="auto"/>
              </w:rPr>
            </w:pPr>
            <w:r>
              <w:rPr>
                <w:rFonts w:ascii="Arial" w:cs="Arial" w:eastAsia="Arial" w:hAnsi="Arial"/>
                <w:sz w:val="16"/>
                <w:szCs w:val="16"/>
                <w:color w:val="auto"/>
              </w:rPr>
              <w:t>15</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15</w:t>
            </w:r>
          </w:p>
        </w:tc>
      </w:tr>
      <w:tr>
        <w:trPr>
          <w:trHeight w:val="230"/>
        </w:trPr>
        <w:tc>
          <w:tcPr>
            <w:tcW w:w="2300" w:type="dxa"/>
            <w:vAlign w:val="bottom"/>
          </w:tcPr>
          <w:p>
            <w:pPr>
              <w:jc w:val="right"/>
              <w:ind w:right="1317"/>
              <w:spacing w:after="0"/>
              <w:rPr>
                <w:sz w:val="20"/>
                <w:szCs w:val="20"/>
                <w:color w:val="auto"/>
              </w:rPr>
            </w:pPr>
            <w:r>
              <w:rPr>
                <w:rFonts w:ascii="Arial" w:cs="Arial" w:eastAsia="Arial" w:hAnsi="Arial"/>
                <w:sz w:val="18"/>
                <w:szCs w:val="18"/>
                <w:color w:val="auto"/>
                <w:w w:val="87"/>
              </w:rPr>
              <w:t>__________</w:t>
            </w: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Crude oil futures and call options in Bbls, natural gas in MMBtus.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Term reflects the maximum forward period hedged.</w:t>
      </w:r>
    </w:p>
    <w:p>
      <w:pPr>
        <w:spacing w:after="0" w:line="1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Based on September 30, 2017 prices, a $0.1 million gain would be realized, reported in pre-tax earnings and reclassified from AOCI during the next 12 months. Concurrent with the divestiture of our Oil and Gas Business, our existing oil and gas derivative contracts are expected to be unwound within the next six months. Accordingly, we have de-designated our hedge positions in our Oil and Gas Business effective November 1, 2017. See Note 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Utilities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volatility in natural gas prices. Therefore, as allowed or required by state utility commissions, we have entered into commission-approved hedging programs utilizing natural gas futures, options, and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17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state commission guidelines. When the related costs are recovered through our rates, the hedging activity is recognized in the Condensed Consolidated Statements of Income.</w:t>
      </w:r>
    </w:p>
    <w:p>
      <w:pPr>
        <w:spacing w:after="0" w:line="14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and/or sales during time frames ranging from October 2017 through December 2020. A portion of our over-the-counter swaps have been designated as cash flow hedges to mitigate the commodity price risk associated with forward contracts to deliver gas to our Choice Gas Program customers. The effective portion of the gain or loss on these designated derivatives is reported in AOCI in the accompanying Condensed Consolidated Balance Sheets and the ineffective portion, if any, is reported in Fuel, purchased power and cost of natural gas sold in the accompanying Condensed Consolidated Statements of Income. Effectiveness of our hedging position is evaluated at inception of the hedge, upon occurrence of a triggering event and as of the end of each quarter.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right="360"/>
        <w:spacing w:after="0" w:line="277" w:lineRule="auto"/>
        <w:rPr>
          <w:sz w:val="20"/>
          <w:szCs w:val="20"/>
          <w:color w:val="auto"/>
        </w:rPr>
      </w:pPr>
      <w:r>
        <w:rPr>
          <w:rFonts w:ascii="Arial" w:cs="Arial" w:eastAsia="Arial" w:hAnsi="Arial"/>
          <w:sz w:val="18"/>
          <w:szCs w:val="18"/>
          <w:color w:val="auto"/>
        </w:rPr>
        <w:t>The contract or notional amounts and terms of the natural gas derivative commodity instruments held at our Utilities are composed of both long and short positions. We were in a net long position as of:</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760" w:type="dxa"/>
            <w:vAlign w:val="bottom"/>
            <w:gridSpan w:val="2"/>
          </w:tcPr>
          <w:p>
            <w:pPr>
              <w:ind w:left="680"/>
              <w:spacing w:after="0"/>
              <w:rPr>
                <w:sz w:val="20"/>
                <w:szCs w:val="20"/>
                <w:color w:val="auto"/>
              </w:rPr>
            </w:pPr>
            <w:r>
              <w:rPr>
                <w:rFonts w:ascii="Arial" w:cs="Arial" w:eastAsia="Arial" w:hAnsi="Arial"/>
                <w:sz w:val="16"/>
                <w:szCs w:val="16"/>
                <w:color w:val="auto"/>
              </w:rPr>
              <w:t>September 30, 2017</w:t>
            </w:r>
          </w:p>
        </w:tc>
        <w:tc>
          <w:tcPr>
            <w:tcW w:w="2740" w:type="dxa"/>
            <w:vAlign w:val="bottom"/>
            <w:gridSpan w:val="2"/>
          </w:tcPr>
          <w:p>
            <w:pPr>
              <w:ind w:left="680"/>
              <w:spacing w:after="0"/>
              <w:rPr>
                <w:sz w:val="20"/>
                <w:szCs w:val="20"/>
                <w:color w:val="auto"/>
              </w:rPr>
            </w:pPr>
            <w:r>
              <w:rPr>
                <w:rFonts w:ascii="Arial" w:cs="Arial" w:eastAsia="Arial" w:hAnsi="Arial"/>
                <w:sz w:val="16"/>
                <w:szCs w:val="16"/>
                <w:color w:val="auto"/>
              </w:rPr>
              <w:t>December 31, 2016</w:t>
            </w:r>
          </w:p>
        </w:tc>
        <w:tc>
          <w:tcPr>
            <w:tcW w:w="2580" w:type="dxa"/>
            <w:vAlign w:val="bottom"/>
            <w:gridSpan w:val="2"/>
          </w:tcPr>
          <w:p>
            <w:pPr>
              <w:ind w:left="640"/>
              <w:spacing w:after="0"/>
              <w:rPr>
                <w:sz w:val="20"/>
                <w:szCs w:val="20"/>
                <w:color w:val="auto"/>
              </w:rPr>
            </w:pPr>
            <w:r>
              <w:rPr>
                <w:rFonts w:ascii="Arial" w:cs="Arial" w:eastAsia="Arial" w:hAnsi="Arial"/>
                <w:sz w:val="16"/>
                <w:szCs w:val="16"/>
                <w:color w:val="auto"/>
              </w:rPr>
              <w:t>September 30, 2016</w:t>
            </w: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98"/>
              </w:rPr>
              <w:t>Maximum</w:t>
            </w:r>
          </w:p>
        </w:tc>
        <w:tc>
          <w:tcPr>
            <w:tcW w:w="1480" w:type="dxa"/>
            <w:vAlign w:val="bottom"/>
          </w:tcPr>
          <w:p>
            <w:pPr>
              <w:spacing w:after="0"/>
              <w:rPr>
                <w:sz w:val="18"/>
                <w:szCs w:val="18"/>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color w:val="auto"/>
                <w:w w:val="95"/>
              </w:rPr>
              <w:t>Maximum</w:t>
            </w:r>
          </w:p>
        </w:tc>
        <w:tc>
          <w:tcPr>
            <w:tcW w:w="1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Maximum</w:t>
            </w:r>
          </w:p>
        </w:tc>
      </w:tr>
      <w:tr>
        <w:trPr>
          <w:trHeight w:val="203"/>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color w:val="auto"/>
              </w:rPr>
              <w:t>Notional</w:t>
            </w:r>
          </w:p>
        </w:tc>
        <w:tc>
          <w:tcPr>
            <w:tcW w:w="1280" w:type="dxa"/>
            <w:vAlign w:val="bottom"/>
          </w:tcPr>
          <w:p>
            <w:pPr>
              <w:jc w:val="center"/>
              <w:ind w:right="19"/>
              <w:spacing w:after="0"/>
              <w:rPr>
                <w:sz w:val="20"/>
                <w:szCs w:val="20"/>
                <w:color w:val="auto"/>
              </w:rPr>
            </w:pPr>
            <w:r>
              <w:rPr>
                <w:rFonts w:ascii="Arial" w:cs="Arial" w:eastAsia="Arial" w:hAnsi="Arial"/>
                <w:sz w:val="16"/>
                <w:szCs w:val="16"/>
                <w:color w:val="auto"/>
                <w:w w:val="90"/>
              </w:rPr>
              <w:t>Term</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Notional</w:t>
            </w:r>
          </w:p>
        </w:tc>
        <w:tc>
          <w:tcPr>
            <w:tcW w:w="1260" w:type="dxa"/>
            <w:vAlign w:val="bottom"/>
          </w:tcPr>
          <w:p>
            <w:pPr>
              <w:jc w:val="center"/>
              <w:ind w:right="39"/>
              <w:spacing w:after="0"/>
              <w:rPr>
                <w:sz w:val="20"/>
                <w:szCs w:val="20"/>
                <w:color w:val="auto"/>
              </w:rPr>
            </w:pPr>
            <w:r>
              <w:rPr>
                <w:rFonts w:ascii="Arial" w:cs="Arial" w:eastAsia="Arial" w:hAnsi="Arial"/>
                <w:sz w:val="16"/>
                <w:szCs w:val="16"/>
                <w:color w:val="auto"/>
                <w:w w:val="90"/>
              </w:rPr>
              <w:t>Term</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Notional</w:t>
            </w: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Term</w:t>
            </w:r>
          </w:p>
        </w:tc>
      </w:tr>
      <w:tr>
        <w:trPr>
          <w:trHeight w:val="239"/>
        </w:trPr>
        <w:tc>
          <w:tcPr>
            <w:tcW w:w="20" w:type="dxa"/>
            <w:vAlign w:val="bottom"/>
          </w:tcPr>
          <w:p>
            <w:pPr>
              <w:spacing w:after="0"/>
              <w:rPr>
                <w:sz w:val="20"/>
                <w:szCs w:val="20"/>
                <w:color w:val="auto"/>
              </w:rPr>
            </w:pPr>
          </w:p>
        </w:tc>
        <w:tc>
          <w:tcPr>
            <w:tcW w:w="3320" w:type="dxa"/>
            <w:vAlign w:val="bottom"/>
            <w:tcBorders>
              <w:bottom w:val="single" w:sz="8" w:color="CEFFE7"/>
            </w:tcBorders>
          </w:tcPr>
          <w:p>
            <w:pPr>
              <w:spacing w:after="0"/>
              <w:rPr>
                <w:sz w:val="20"/>
                <w:szCs w:val="20"/>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(MMBtus)</w:t>
            </w:r>
          </w:p>
        </w:tc>
        <w:tc>
          <w:tcPr>
            <w:tcW w:w="1280" w:type="dxa"/>
            <w:vAlign w:val="bottom"/>
            <w:tcBorders>
              <w:bottom w:val="single" w:sz="8" w:color="auto"/>
            </w:tcBorders>
          </w:tcPr>
          <w:p>
            <w:pPr>
              <w:jc w:val="center"/>
              <w:ind w:right="39"/>
              <w:spacing w:after="0" w:line="239" w:lineRule="exact"/>
              <w:rPr>
                <w:sz w:val="20"/>
                <w:szCs w:val="20"/>
                <w:color w:val="auto"/>
              </w:rPr>
            </w:pPr>
            <w:r>
              <w:rPr>
                <w:rFonts w:ascii="Arial" w:cs="Arial" w:eastAsia="Arial" w:hAnsi="Arial"/>
                <w:sz w:val="16"/>
                <w:szCs w:val="16"/>
                <w:color w:val="auto"/>
                <w:w w:val="84"/>
              </w:rPr>
              <w:t xml:space="preserve">(months) </w:t>
            </w:r>
            <w:r>
              <w:rPr>
                <w:rFonts w:ascii="Arial" w:cs="Arial" w:eastAsia="Arial" w:hAnsi="Arial"/>
                <w:sz w:val="21"/>
                <w:szCs w:val="21"/>
                <w:color w:val="auto"/>
                <w:w w:val="84"/>
                <w:vertAlign w:val="superscript"/>
              </w:rPr>
              <w:t>(a)</w:t>
            </w: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(MMBtus)</w:t>
            </w:r>
          </w:p>
        </w:tc>
        <w:tc>
          <w:tcPr>
            <w:tcW w:w="1260" w:type="dxa"/>
            <w:vAlign w:val="bottom"/>
            <w:tcBorders>
              <w:bottom w:val="single" w:sz="8" w:color="auto"/>
            </w:tcBorders>
          </w:tcPr>
          <w:p>
            <w:pPr>
              <w:jc w:val="center"/>
              <w:ind w:right="39"/>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(MMBtus)</w:t>
            </w:r>
          </w:p>
        </w:tc>
        <w:tc>
          <w:tcPr>
            <w:tcW w:w="1140" w:type="dxa"/>
            <w:vAlign w:val="bottom"/>
            <w:tcBorders>
              <w:bottom w:val="single" w:sz="8" w:color="auto"/>
            </w:tcBorders>
          </w:tcPr>
          <w:p>
            <w:pPr>
              <w:jc w:val="center"/>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r>
      <w:tr>
        <w:trPr>
          <w:trHeight w:val="244"/>
        </w:trPr>
        <w:tc>
          <w:tcPr>
            <w:tcW w:w="20" w:type="dxa"/>
            <w:vAlign w:val="bottom"/>
          </w:tcPr>
          <w:p>
            <w:pPr>
              <w:spacing w:after="0"/>
              <w:rPr>
                <w:sz w:val="21"/>
                <w:szCs w:val="21"/>
                <w:color w:val="auto"/>
              </w:rPr>
            </w:pPr>
          </w:p>
        </w:tc>
        <w:tc>
          <w:tcPr>
            <w:tcW w:w="3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futures purchased</w:t>
            </w:r>
          </w:p>
        </w:tc>
        <w:tc>
          <w:tcPr>
            <w:tcW w:w="14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10,250,000</w:t>
            </w:r>
          </w:p>
        </w:tc>
        <w:tc>
          <w:tcPr>
            <w:tcW w:w="128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39</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14,770,000</w:t>
            </w:r>
          </w:p>
        </w:tc>
        <w:tc>
          <w:tcPr>
            <w:tcW w:w="1260" w:type="dxa"/>
            <w:vAlign w:val="bottom"/>
            <w:tcBorders>
              <w:bottom w:val="single" w:sz="8" w:color="CEFFE7"/>
            </w:tcBorders>
            <w:shd w:val="clear" w:color="auto" w:fill="CEFFE7"/>
          </w:tcPr>
          <w:p>
            <w:pPr>
              <w:jc w:val="center"/>
              <w:ind w:right="19"/>
              <w:spacing w:after="0"/>
              <w:rPr>
                <w:sz w:val="20"/>
                <w:szCs w:val="20"/>
                <w:color w:val="auto"/>
              </w:rPr>
            </w:pPr>
            <w:r>
              <w:rPr>
                <w:rFonts w:ascii="Arial" w:cs="Arial" w:eastAsia="Arial" w:hAnsi="Arial"/>
                <w:sz w:val="16"/>
                <w:szCs w:val="16"/>
                <w:color w:val="auto"/>
                <w:w w:val="89"/>
              </w:rPr>
              <w:t>48</w:t>
            </w:r>
          </w:p>
        </w:tc>
        <w:tc>
          <w:tcPr>
            <w:tcW w:w="14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17,740,000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51</w:t>
            </w:r>
          </w:p>
        </w:tc>
      </w:tr>
      <w:tr>
        <w:trPr>
          <w:trHeight w:val="237"/>
        </w:trPr>
        <w:tc>
          <w:tcPr>
            <w:tcW w:w="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7,360,000</w:t>
            </w: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89"/>
              </w:rPr>
              <w:t>17</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3,020,000</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w w:val="89"/>
              </w:rPr>
              <w:t>5</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6,540,000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17</w:t>
            </w: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basis swaps purchased</w:t>
            </w:r>
          </w:p>
        </w:tc>
        <w:tc>
          <w:tcPr>
            <w:tcW w:w="14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9,170,000</w:t>
            </w:r>
          </w:p>
        </w:tc>
        <w:tc>
          <w:tcPr>
            <w:tcW w:w="128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39</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12,250,000</w:t>
            </w:r>
          </w:p>
        </w:tc>
        <w:tc>
          <w:tcPr>
            <w:tcW w:w="1260" w:type="dxa"/>
            <w:vAlign w:val="bottom"/>
            <w:tcBorders>
              <w:bottom w:val="single" w:sz="8" w:color="CEFFE7"/>
            </w:tcBorders>
            <w:shd w:val="clear" w:color="auto" w:fill="CEFFE7"/>
          </w:tcPr>
          <w:p>
            <w:pPr>
              <w:jc w:val="center"/>
              <w:ind w:right="19"/>
              <w:spacing w:after="0"/>
              <w:rPr>
                <w:sz w:val="20"/>
                <w:szCs w:val="20"/>
                <w:color w:val="auto"/>
              </w:rPr>
            </w:pPr>
            <w:r>
              <w:rPr>
                <w:rFonts w:ascii="Arial" w:cs="Arial" w:eastAsia="Arial" w:hAnsi="Arial"/>
                <w:sz w:val="16"/>
                <w:szCs w:val="16"/>
                <w:color w:val="auto"/>
                <w:w w:val="89"/>
              </w:rPr>
              <w:t>48</w:t>
            </w:r>
          </w:p>
        </w:tc>
        <w:tc>
          <w:tcPr>
            <w:tcW w:w="14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13,650,000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51</w:t>
            </w:r>
          </w:p>
        </w:tc>
      </w:tr>
      <w:tr>
        <w:trPr>
          <w:trHeight w:val="270"/>
        </w:trPr>
        <w:tc>
          <w:tcPr>
            <w:tcW w:w="20" w:type="dxa"/>
            <w:vAlign w:val="bottom"/>
          </w:tcPr>
          <w:p>
            <w:pPr>
              <w:spacing w:after="0"/>
              <w:rPr>
                <w:sz w:val="23"/>
                <w:szCs w:val="23"/>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4,600,000</w:t>
            </w: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89"/>
              </w:rPr>
              <w:t>20</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4,622,302</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w w:val="89"/>
              </w:rPr>
              <w:t>28</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4,749,000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w:t>
            </w: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physical contracts, net</w:t>
            </w:r>
          </w:p>
        </w:tc>
        <w:tc>
          <w:tcPr>
            <w:tcW w:w="14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21,071,714</w:t>
            </w:r>
          </w:p>
        </w:tc>
        <w:tc>
          <w:tcPr>
            <w:tcW w:w="128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38</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21,504,378</w:t>
            </w:r>
          </w:p>
        </w:tc>
        <w:tc>
          <w:tcPr>
            <w:tcW w:w="1260" w:type="dxa"/>
            <w:vAlign w:val="bottom"/>
            <w:tcBorders>
              <w:bottom w:val="single" w:sz="8" w:color="CEFFE7"/>
            </w:tcBorders>
            <w:shd w:val="clear" w:color="auto" w:fill="CEFFE7"/>
          </w:tcPr>
          <w:p>
            <w:pPr>
              <w:jc w:val="center"/>
              <w:ind w:right="19"/>
              <w:spacing w:after="0"/>
              <w:rPr>
                <w:sz w:val="20"/>
                <w:szCs w:val="20"/>
                <w:color w:val="auto"/>
              </w:rPr>
            </w:pPr>
            <w:r>
              <w:rPr>
                <w:rFonts w:ascii="Arial" w:cs="Arial" w:eastAsia="Arial" w:hAnsi="Arial"/>
                <w:sz w:val="16"/>
                <w:szCs w:val="16"/>
                <w:color w:val="auto"/>
                <w:w w:val="89"/>
              </w:rPr>
              <w:t>10</w:t>
            </w:r>
          </w:p>
        </w:tc>
        <w:tc>
          <w:tcPr>
            <w:tcW w:w="14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15,666,202</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13</w:t>
            </w:r>
          </w:p>
        </w:tc>
      </w:tr>
      <w:tr>
        <w:trPr>
          <w:trHeight w:val="22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__________</w:t>
            </w:r>
          </w:p>
        </w:tc>
        <w:tc>
          <w:tcPr>
            <w:tcW w:w="1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Term reflects the maximum forward period hedged.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2,260,000 MMBtus were designated as cash flow hedges for the natural gas fixed for float swaps purchased.</w:t>
      </w:r>
    </w:p>
    <w:p>
      <w:pPr>
        <w:spacing w:after="0" w:line="2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Based on September 30, 2017 prices, a $0.3 million loss would be realized, reported in pre-tax earnings and reclassified from AOCI during the next 12 months. As market prices fluctuate, estimated and actual realized gains or losses will change during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October 2015 and January 2016, we entered into forward starting interest rate swaps with a notional value totaling $400 million to reduce the interest rate risk associated with the anticipated issuance of senior notes. These swaps were settled at a loss of $29 million in connection with the issuance of our $400 million of unsecured ten-year senior notes on August 10, 2016. The effective portion of the loss in the amount of $28 million was recognized as a component of AOCI and will be recognized as a component of interest expense over the ten-year life of the $400 million unsecured senior note issued on August 19, 2016. Amortization of approximately $2.9 million, which includes the amortization of the $28 million loss currently deferred in AOCI will be recognized, reported in pre-tax earnings and reclassified from AOCI during the next 12 months. The ineffective portion of $1.0 million, related to the timing of the debt issuance, was recognized in earnings as a component of interest expense in 2016. The contract or notional amounts, terms of our interest rate swaps and the interest rate swaps balances reflected on the Condensed Consolidated Balance Sheets were as follows (dollars in thousands) as of:</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September 30, 2017</w:t>
            </w:r>
          </w:p>
        </w:tc>
        <w:tc>
          <w:tcPr>
            <w:tcW w:w="180" w:type="dxa"/>
            <w:vAlign w:val="bottom"/>
          </w:tcPr>
          <w:p>
            <w:pPr>
              <w:spacing w:after="0"/>
              <w:rPr>
                <w:sz w:val="17"/>
                <w:szCs w:val="17"/>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December 31, 2016</w:t>
            </w:r>
          </w:p>
        </w:tc>
        <w:tc>
          <w:tcPr>
            <w:tcW w:w="200" w:type="dxa"/>
            <w:vAlign w:val="bottom"/>
          </w:tcPr>
          <w:p>
            <w:pPr>
              <w:spacing w:after="0"/>
              <w:rPr>
                <w:sz w:val="17"/>
                <w:szCs w:val="17"/>
                <w:color w:val="auto"/>
              </w:rPr>
            </w:pPr>
          </w:p>
        </w:tc>
        <w:tc>
          <w:tcPr>
            <w:tcW w:w="1700" w:type="dxa"/>
            <w:vAlign w:val="bottom"/>
          </w:tcPr>
          <w:p>
            <w:pPr>
              <w:jc w:val="center"/>
              <w:ind w:right="119"/>
              <w:spacing w:after="0"/>
              <w:rPr>
                <w:sz w:val="20"/>
                <w:szCs w:val="20"/>
                <w:color w:val="auto"/>
              </w:rPr>
            </w:pPr>
            <w:r>
              <w:rPr>
                <w:rFonts w:ascii="Arial" w:cs="Arial" w:eastAsia="Arial" w:hAnsi="Arial"/>
                <w:sz w:val="16"/>
                <w:szCs w:val="16"/>
                <w:color w:val="auto"/>
                <w:w w:val="89"/>
              </w:rPr>
              <w:t>September 30, 2016</w:t>
            </w:r>
          </w:p>
        </w:tc>
      </w:tr>
      <w:tr>
        <w:trPr>
          <w:trHeight w:val="33"/>
        </w:trPr>
        <w:tc>
          <w:tcPr>
            <w:tcW w:w="2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3"/>
        </w:trPr>
        <w:tc>
          <w:tcPr>
            <w:tcW w:w="2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6"/>
                <w:szCs w:val="16"/>
                <w:color w:val="auto"/>
                <w:w w:val="88"/>
              </w:rPr>
              <w:t>Designated</w:t>
            </w:r>
          </w:p>
        </w:tc>
        <w:tc>
          <w:tcPr>
            <w:tcW w:w="18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6"/>
                <w:szCs w:val="16"/>
                <w:color w:val="auto"/>
                <w:w w:val="88"/>
              </w:rPr>
              <w:t>Designated</w:t>
            </w:r>
          </w:p>
        </w:tc>
        <w:tc>
          <w:tcPr>
            <w:tcW w:w="200" w:type="dxa"/>
            <w:vAlign w:val="bottom"/>
          </w:tcPr>
          <w:p>
            <w:pPr>
              <w:spacing w:after="0"/>
              <w:rPr>
                <w:sz w:val="18"/>
                <w:szCs w:val="18"/>
                <w:color w:val="auto"/>
              </w:rPr>
            </w:pPr>
          </w:p>
        </w:tc>
        <w:tc>
          <w:tcPr>
            <w:tcW w:w="1700" w:type="dxa"/>
            <w:vAlign w:val="bottom"/>
          </w:tcPr>
          <w:p>
            <w:pPr>
              <w:jc w:val="center"/>
              <w:ind w:right="159"/>
              <w:spacing w:after="0"/>
              <w:rPr>
                <w:sz w:val="20"/>
                <w:szCs w:val="20"/>
                <w:color w:val="auto"/>
              </w:rPr>
            </w:pPr>
            <w:r>
              <w:rPr>
                <w:rFonts w:ascii="Arial" w:cs="Arial" w:eastAsia="Arial" w:hAnsi="Arial"/>
                <w:sz w:val="16"/>
                <w:szCs w:val="16"/>
                <w:color w:val="auto"/>
                <w:w w:val="91"/>
              </w:rPr>
              <w:t>Designated</w:t>
            </w:r>
          </w:p>
        </w:tc>
      </w:tr>
      <w:tr>
        <w:trPr>
          <w:trHeight w:val="203"/>
        </w:trPr>
        <w:tc>
          <w:tcPr>
            <w:tcW w:w="2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Interest Rate</w:t>
            </w:r>
          </w:p>
        </w:tc>
        <w:tc>
          <w:tcPr>
            <w:tcW w:w="180" w:type="dxa"/>
            <w:vAlign w:val="bottom"/>
          </w:tcPr>
          <w:p>
            <w:pPr>
              <w:spacing w:after="0"/>
              <w:rPr>
                <w:sz w:val="17"/>
                <w:szCs w:val="17"/>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Interest Rate</w:t>
            </w:r>
          </w:p>
        </w:tc>
        <w:tc>
          <w:tcPr>
            <w:tcW w:w="200" w:type="dxa"/>
            <w:vAlign w:val="bottom"/>
          </w:tcPr>
          <w:p>
            <w:pPr>
              <w:spacing w:after="0"/>
              <w:rPr>
                <w:sz w:val="17"/>
                <w:szCs w:val="17"/>
                <w:color w:val="auto"/>
              </w:rPr>
            </w:pPr>
          </w:p>
        </w:tc>
        <w:tc>
          <w:tcPr>
            <w:tcW w:w="1700" w:type="dxa"/>
            <w:vAlign w:val="bottom"/>
          </w:tcPr>
          <w:p>
            <w:pPr>
              <w:jc w:val="center"/>
              <w:ind w:right="159"/>
              <w:spacing w:after="0"/>
              <w:rPr>
                <w:sz w:val="20"/>
                <w:szCs w:val="20"/>
                <w:color w:val="auto"/>
              </w:rPr>
            </w:pPr>
            <w:r>
              <w:rPr>
                <w:rFonts w:ascii="Arial" w:cs="Arial" w:eastAsia="Arial" w:hAnsi="Arial"/>
                <w:sz w:val="16"/>
                <w:szCs w:val="16"/>
                <w:color w:val="auto"/>
                <w:w w:val="89"/>
              </w:rPr>
              <w:t>Interest Rate</w:t>
            </w:r>
          </w:p>
        </w:tc>
      </w:tr>
      <w:tr>
        <w:trPr>
          <w:trHeight w:val="239"/>
        </w:trPr>
        <w:tc>
          <w:tcPr>
            <w:tcW w:w="200" w:type="dxa"/>
            <w:vAlign w:val="bottom"/>
          </w:tcPr>
          <w:p>
            <w:pPr>
              <w:spacing w:after="0"/>
              <w:rPr>
                <w:sz w:val="20"/>
                <w:szCs w:val="20"/>
                <w:color w:val="auto"/>
              </w:rPr>
            </w:pPr>
          </w:p>
        </w:tc>
        <w:tc>
          <w:tcPr>
            <w:tcW w:w="5220" w:type="dxa"/>
            <w:vAlign w:val="bottom"/>
            <w:tcBorders>
              <w:bottom w:val="single" w:sz="8" w:color="CEFFE7"/>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87"/>
              </w:rPr>
              <w:t>Swaps</w:t>
            </w:r>
          </w:p>
        </w:tc>
        <w:tc>
          <w:tcPr>
            <w:tcW w:w="100" w:type="dxa"/>
            <w:vAlign w:val="bottom"/>
            <w:tcBorders>
              <w:bottom w:val="single" w:sz="8" w:color="CEFFE7"/>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19"/>
              <w:spacing w:after="0" w:line="239" w:lineRule="exact"/>
              <w:rPr>
                <w:sz w:val="20"/>
                <w:szCs w:val="20"/>
                <w:color w:val="auto"/>
              </w:rPr>
            </w:pPr>
            <w:r>
              <w:rPr>
                <w:rFonts w:ascii="Arial" w:cs="Arial" w:eastAsia="Arial" w:hAnsi="Arial"/>
                <w:sz w:val="16"/>
                <w:szCs w:val="16"/>
                <w:color w:val="auto"/>
                <w:w w:val="84"/>
              </w:rPr>
              <w:t xml:space="preserve">Swap </w:t>
            </w:r>
            <w:r>
              <w:rPr>
                <w:rFonts w:ascii="Arial" w:cs="Arial" w:eastAsia="Arial" w:hAnsi="Arial"/>
                <w:sz w:val="21"/>
                <w:szCs w:val="21"/>
                <w:color w:val="auto"/>
                <w:w w:val="84"/>
                <w:vertAlign w:val="superscript"/>
              </w:rPr>
              <w:t>(a)</w:t>
            </w:r>
          </w:p>
        </w:tc>
        <w:tc>
          <w:tcPr>
            <w:tcW w:w="100" w:type="dxa"/>
            <w:vAlign w:val="bottom"/>
            <w:tcBorders>
              <w:bottom w:val="single" w:sz="8" w:color="CEFFE7"/>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19"/>
              <w:spacing w:after="0" w:line="239" w:lineRule="exact"/>
              <w:rPr>
                <w:sz w:val="20"/>
                <w:szCs w:val="20"/>
                <w:color w:val="auto"/>
              </w:rPr>
            </w:pPr>
            <w:r>
              <w:rPr>
                <w:rFonts w:ascii="Arial" w:cs="Arial" w:eastAsia="Arial" w:hAnsi="Arial"/>
                <w:sz w:val="16"/>
                <w:szCs w:val="16"/>
                <w:color w:val="auto"/>
                <w:w w:val="83"/>
              </w:rPr>
              <w:t xml:space="preserve">Swaps </w:t>
            </w:r>
            <w:r>
              <w:rPr>
                <w:rFonts w:ascii="Arial" w:cs="Arial" w:eastAsia="Arial" w:hAnsi="Arial"/>
                <w:sz w:val="21"/>
                <w:szCs w:val="21"/>
                <w:color w:val="auto"/>
                <w:w w:val="83"/>
                <w:vertAlign w:val="superscript"/>
              </w:rPr>
              <w:t>(a)</w:t>
            </w:r>
          </w:p>
        </w:tc>
      </w:tr>
      <w:tr>
        <w:trPr>
          <w:trHeight w:val="230"/>
        </w:trPr>
        <w:tc>
          <w:tcPr>
            <w:tcW w:w="200" w:type="dxa"/>
            <w:vAlign w:val="bottom"/>
          </w:tcPr>
          <w:p>
            <w:pPr>
              <w:spacing w:after="0"/>
              <w:rPr>
                <w:sz w:val="20"/>
                <w:szCs w:val="20"/>
                <w:color w:val="auto"/>
              </w:rPr>
            </w:pPr>
          </w:p>
        </w:tc>
        <w:tc>
          <w:tcPr>
            <w:tcW w:w="5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Notional</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EFFE7"/>
            </w:tcBorders>
            <w:gridSpan w:val="2"/>
            <w:shd w:val="clear" w:color="auto" w:fill="CEFFE7"/>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EFFE7"/>
            </w:tcBorders>
            <w:shd w:val="clear" w:color="auto" w:fill="CEFFE7"/>
          </w:tcPr>
          <w:p>
            <w:pPr>
              <w:spacing w:after="0"/>
              <w:rPr>
                <w:sz w:val="20"/>
                <w:szCs w:val="20"/>
                <w:color w:val="auto"/>
              </w:rPr>
            </w:pP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75,000</w:t>
            </w:r>
          </w:p>
        </w:tc>
      </w:tr>
      <w:tr>
        <w:trPr>
          <w:trHeight w:val="237"/>
        </w:trPr>
        <w:tc>
          <w:tcPr>
            <w:tcW w:w="2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6"/>
                <w:szCs w:val="16"/>
                <w:color w:val="auto"/>
              </w:rPr>
              <w:t>Weighted average fixed interest rate</w:t>
            </w:r>
          </w:p>
        </w:tc>
        <w:tc>
          <w:tcPr>
            <w:tcW w:w="180" w:type="dxa"/>
            <w:vAlign w:val="bottom"/>
          </w:tcPr>
          <w:p>
            <w:pPr>
              <w:spacing w:after="0"/>
              <w:rPr>
                <w:sz w:val="20"/>
                <w:szCs w:val="20"/>
                <w:color w:val="auto"/>
              </w:rPr>
            </w:pPr>
          </w:p>
        </w:tc>
        <w:tc>
          <w:tcPr>
            <w:tcW w:w="1820" w:type="dxa"/>
            <w:vAlign w:val="bottom"/>
            <w:gridSpan w:val="2"/>
          </w:tcPr>
          <w:p>
            <w:pPr>
              <w:ind w:left="1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33"/>
        </w:trPr>
        <w:tc>
          <w:tcPr>
            <w:tcW w:w="2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0" w:type="dxa"/>
            <w:vAlign w:val="bottom"/>
          </w:tcPr>
          <w:p>
            <w:pPr>
              <w:spacing w:after="0"/>
              <w:rPr>
                <w:sz w:val="21"/>
                <w:szCs w:val="21"/>
                <w:color w:val="auto"/>
              </w:rPr>
            </w:pPr>
          </w:p>
        </w:tc>
        <w:tc>
          <w:tcPr>
            <w:tcW w:w="5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Maximum terms in months</w:t>
            </w:r>
          </w:p>
        </w:tc>
        <w:tc>
          <w:tcPr>
            <w:tcW w:w="18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4</w:t>
            </w:r>
          </w:p>
        </w:tc>
      </w:tr>
      <w:tr>
        <w:trPr>
          <w:trHeight w:val="237"/>
        </w:trPr>
        <w:tc>
          <w:tcPr>
            <w:tcW w:w="2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6"/>
                <w:szCs w:val="16"/>
                <w:color w:val="auto"/>
              </w:rPr>
              <w:t>Derivative liabilities, current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9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654</w:t>
            </w:r>
          </w:p>
        </w:tc>
      </w:tr>
      <w:tr>
        <w:trPr>
          <w:trHeight w:val="249"/>
        </w:trPr>
        <w:tc>
          <w:tcPr>
            <w:tcW w:w="5420" w:type="dxa"/>
            <w:vAlign w:val="bottom"/>
            <w:gridSpan w:val="2"/>
          </w:tcPr>
          <w:p>
            <w:pPr>
              <w:jc w:val="right"/>
              <w:ind w:right="4439"/>
              <w:spacing w:after="0"/>
              <w:rPr>
                <w:sz w:val="20"/>
                <w:szCs w:val="20"/>
                <w:color w:val="auto"/>
              </w:rPr>
            </w:pPr>
            <w:r>
              <w:rPr>
                <w:rFonts w:ascii="Arial" w:cs="Arial" w:eastAsia="Arial" w:hAnsi="Arial"/>
                <w:sz w:val="18"/>
                <w:szCs w:val="18"/>
                <w:color w:val="auto"/>
                <w:w w:val="87"/>
              </w:rPr>
              <w:t>__________</w:t>
            </w: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ind w:left="340" w:right="200" w:hanging="332"/>
        <w:spacing w:after="0" w:line="263"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$25 million in swaps expired in October 2016 and the $50 million in swaps expired in January 2017. These swaps were designated to borrowings on our Revolving Credit Facility and were priced using three-month LIBOR, matching the floating portion of the related borrowings.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auto"/>
        </w:rPr>
        <w:t>Cash Flow Hedges</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impacts of cash flow hedges on our Condensed Consolidated Statements of Income is presented below for the three and nine months ended September 30, 2017 and 2016 (in thousands). Note that this presentation does not reflect gains or losses arising from the underlying physical transactions; therefore, it is not indicative of the economic gross profit we realized when the underlying physical and financial transactions were settled.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4720" w:type="dxa"/>
            <w:vAlign w:val="bottom"/>
            <w:gridSpan w:val="3"/>
          </w:tcPr>
          <w:p>
            <w:pPr>
              <w:ind w:left="1760"/>
              <w:spacing w:after="0"/>
              <w:rPr>
                <w:sz w:val="20"/>
                <w:szCs w:val="20"/>
                <w:color w:val="auto"/>
              </w:rPr>
            </w:pPr>
            <w:r>
              <w:rPr>
                <w:rFonts w:ascii="Arial" w:cs="Arial" w:eastAsia="Arial" w:hAnsi="Arial"/>
                <w:sz w:val="16"/>
                <w:szCs w:val="16"/>
                <w:b w:val="1"/>
                <w:bCs w:val="1"/>
                <w:color w:val="auto"/>
                <w:w w:val="94"/>
              </w:rPr>
              <w:t>Three Months Ended September 30, 2017</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5"/>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4"/>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5"/>
              </w:rPr>
              <w:t>Amount of</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9"/>
              <w:spacing w:after="0"/>
              <w:rPr>
                <w:sz w:val="20"/>
                <w:szCs w:val="20"/>
                <w:color w:val="auto"/>
              </w:rPr>
            </w:pPr>
            <w:r>
              <w:rPr>
                <w:rFonts w:ascii="Arial" w:cs="Arial" w:eastAsia="Arial" w:hAnsi="Arial"/>
                <w:sz w:val="16"/>
                <w:szCs w:val="16"/>
                <w:color w:val="auto"/>
                <w:w w:val="92"/>
              </w:rPr>
              <w:t>Gain/(Loss) Reclassified</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4"/>
              </w:rPr>
              <w:t>Location of</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7"/>
              </w:rPr>
              <w:t>from AOCI</w:t>
            </w: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5"/>
              </w:rPr>
              <w:t>Derivative</w:t>
            </w:r>
          </w:p>
        </w:tc>
      </w:tr>
      <w:tr>
        <w:trPr>
          <w:trHeight w:val="203"/>
        </w:trPr>
        <w:tc>
          <w:tcPr>
            <w:tcW w:w="2520" w:type="dxa"/>
            <w:vAlign w:val="bottom"/>
          </w:tcPr>
          <w:p>
            <w:pPr>
              <w:jc w:val="center"/>
              <w:spacing w:after="0"/>
              <w:rPr>
                <w:sz w:val="20"/>
                <w:szCs w:val="20"/>
                <w:color w:val="auto"/>
              </w:rPr>
            </w:pPr>
            <w:r>
              <w:rPr>
                <w:rFonts w:ascii="Arial" w:cs="Arial" w:eastAsia="Arial" w:hAnsi="Arial"/>
                <w:sz w:val="16"/>
                <w:szCs w:val="16"/>
                <w:color w:val="auto"/>
                <w:w w:val="93"/>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4"/>
              </w:rPr>
              <w:t>into Income</w:t>
            </w: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7"/>
              </w:rPr>
              <w:t>(Ineffective</w:t>
            </w:r>
          </w:p>
        </w:tc>
      </w:tr>
      <w:tr>
        <w:trPr>
          <w:trHeight w:val="206"/>
        </w:trPr>
        <w:tc>
          <w:tcPr>
            <w:tcW w:w="252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Income</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0"/>
              </w:rPr>
              <w:t>(Settlements)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2"/>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40"/>
              <w:spacing w:after="0"/>
              <w:rPr>
                <w:sz w:val="20"/>
                <w:szCs w:val="20"/>
                <w:color w:val="auto"/>
              </w:rPr>
            </w:pPr>
            <w:r>
              <w:rPr>
                <w:rFonts w:ascii="Arial" w:cs="Arial" w:eastAsia="Arial" w:hAnsi="Arial"/>
                <w:sz w:val="16"/>
                <w:szCs w:val="16"/>
                <w:color w:val="auto"/>
              </w:rPr>
              <w:t>Revenue</w:t>
            </w:r>
          </w:p>
        </w:tc>
        <w:tc>
          <w:tcPr>
            <w:tcW w:w="20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2500" w:type="dxa"/>
            <w:vAlign w:val="bottom"/>
          </w:tcPr>
          <w:p>
            <w:pPr>
              <w:ind w:left="1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20"/>
                <w:szCs w:val="20"/>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2520" w:type="dxa"/>
            <w:vAlign w:val="bottom"/>
            <w:shd w:val="clear" w:color="auto" w:fill="CEFFE7"/>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shd w:val="clear" w:color="auto" w:fill="CEFFE7"/>
          </w:tcPr>
          <w:p>
            <w:pPr>
              <w:ind w:left="140"/>
              <w:spacing w:after="0"/>
              <w:rPr>
                <w:sz w:val="20"/>
                <w:szCs w:val="20"/>
                <w:color w:val="auto"/>
              </w:rPr>
            </w:pPr>
            <w:r>
              <w:rPr>
                <w:rFonts w:ascii="Arial" w:cs="Arial" w:eastAsia="Arial" w:hAnsi="Arial"/>
                <w:sz w:val="16"/>
                <w:szCs w:val="16"/>
                <w:color w:val="auto"/>
                <w:w w:val="96"/>
              </w:rPr>
              <w:t>Fuel, purchased power and cost of</w:t>
            </w:r>
          </w:p>
        </w:tc>
        <w:tc>
          <w:tcPr>
            <w:tcW w:w="200" w:type="dxa"/>
            <w:vAlign w:val="bottom"/>
            <w:shd w:val="clear" w:color="auto" w:fill="CEFFE7"/>
          </w:tcPr>
          <w:p>
            <w:pPr>
              <w:spacing w:after="0"/>
              <w:rPr>
                <w:sz w:val="19"/>
                <w:szCs w:val="19"/>
                <w:color w:val="auto"/>
              </w:rPr>
            </w:pPr>
          </w:p>
        </w:tc>
        <w:tc>
          <w:tcPr>
            <w:tcW w:w="1980" w:type="dxa"/>
            <w:vAlign w:val="bottom"/>
            <w:shd w:val="clear" w:color="auto" w:fill="CEFFE7"/>
          </w:tcPr>
          <w:p>
            <w:pPr>
              <w:spacing w:after="0"/>
              <w:rPr>
                <w:sz w:val="19"/>
                <w:szCs w:val="19"/>
                <w:color w:val="auto"/>
              </w:rPr>
            </w:pPr>
          </w:p>
        </w:tc>
        <w:tc>
          <w:tcPr>
            <w:tcW w:w="25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40" w:type="dxa"/>
            <w:vAlign w:val="bottom"/>
            <w:shd w:val="clear" w:color="auto" w:fill="CEFFE7"/>
          </w:tcPr>
          <w:p>
            <w:pPr>
              <w:spacing w:after="0"/>
              <w:rPr>
                <w:sz w:val="19"/>
                <w:szCs w:val="19"/>
                <w:color w:val="auto"/>
              </w:rPr>
            </w:pPr>
          </w:p>
        </w:tc>
        <w:tc>
          <w:tcPr>
            <w:tcW w:w="1440" w:type="dxa"/>
            <w:vAlign w:val="bottom"/>
            <w:shd w:val="clear" w:color="auto" w:fill="CEFFE7"/>
          </w:tcPr>
          <w:p>
            <w:pPr>
              <w:spacing w:after="0"/>
              <w:rPr>
                <w:sz w:val="19"/>
                <w:szCs w:val="19"/>
                <w:color w:val="auto"/>
              </w:rPr>
            </w:pPr>
          </w:p>
        </w:tc>
      </w:tr>
      <w:tr>
        <w:trPr>
          <w:trHeight w:val="239"/>
        </w:trPr>
        <w:tc>
          <w:tcPr>
            <w:tcW w:w="2520" w:type="dxa"/>
            <w:vAlign w:val="bottom"/>
            <w:tcBorders>
              <w:bottom w:val="single" w:sz="8" w:color="CEFFE7"/>
            </w:tcBorders>
            <w:shd w:val="clear" w:color="auto" w:fill="CEFFE7"/>
          </w:tcPr>
          <w:p>
            <w:pPr>
              <w:spacing w:after="0"/>
              <w:rPr>
                <w:sz w:val="20"/>
                <w:szCs w:val="20"/>
                <w:color w:val="auto"/>
              </w:rPr>
            </w:pP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natural gas sold</w:t>
            </w:r>
          </w:p>
        </w:tc>
        <w:tc>
          <w:tcPr>
            <w:tcW w:w="200" w:type="dxa"/>
            <w:vAlign w:val="bottom"/>
            <w:tcBorders>
              <w:bottom w:val="single" w:sz="8" w:color="CEFFE7"/>
            </w:tcBorders>
            <w:shd w:val="clear" w:color="auto" w:fill="CEFFE7"/>
          </w:tcPr>
          <w:p>
            <w:pPr>
              <w:spacing w:after="0"/>
              <w:rPr>
                <w:sz w:val="20"/>
                <w:szCs w:val="20"/>
                <w:color w:val="auto"/>
              </w:rPr>
            </w:pP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(34)</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natural gas sold</w:t>
            </w:r>
          </w:p>
        </w:tc>
        <w:tc>
          <w:tcPr>
            <w:tcW w:w="24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44"/>
        </w:trPr>
        <w:tc>
          <w:tcPr>
            <w:tcW w:w="2520" w:type="dxa"/>
            <w:vAlign w:val="bottom"/>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25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4720" w:type="dxa"/>
            <w:vAlign w:val="bottom"/>
            <w:gridSpan w:val="3"/>
          </w:tcPr>
          <w:p>
            <w:pPr>
              <w:ind w:left="1760"/>
              <w:spacing w:after="0"/>
              <w:rPr>
                <w:sz w:val="20"/>
                <w:szCs w:val="20"/>
                <w:color w:val="auto"/>
              </w:rPr>
            </w:pPr>
            <w:r>
              <w:rPr>
                <w:rFonts w:ascii="Arial" w:cs="Arial" w:eastAsia="Arial" w:hAnsi="Arial"/>
                <w:sz w:val="16"/>
                <w:szCs w:val="16"/>
                <w:b w:val="1"/>
                <w:bCs w:val="1"/>
                <w:color w:val="auto"/>
                <w:w w:val="94"/>
              </w:rPr>
              <w:t>Three Months Ended September 30, 2016</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5"/>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4"/>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5"/>
              </w:rPr>
              <w:t>Amount of</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9"/>
              <w:spacing w:after="0"/>
              <w:rPr>
                <w:sz w:val="20"/>
                <w:szCs w:val="20"/>
                <w:color w:val="auto"/>
              </w:rPr>
            </w:pPr>
            <w:r>
              <w:rPr>
                <w:rFonts w:ascii="Arial" w:cs="Arial" w:eastAsia="Arial" w:hAnsi="Arial"/>
                <w:sz w:val="16"/>
                <w:szCs w:val="16"/>
                <w:color w:val="auto"/>
                <w:w w:val="92"/>
              </w:rPr>
              <w:t>Gain/(Loss) Reclassified</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4"/>
              </w:rPr>
              <w:t>Location of</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7"/>
              </w:rPr>
              <w:t>from AOCI</w:t>
            </w: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5"/>
              </w:rPr>
              <w:t>Derivative</w:t>
            </w:r>
          </w:p>
        </w:tc>
      </w:tr>
      <w:tr>
        <w:trPr>
          <w:trHeight w:val="203"/>
        </w:trPr>
        <w:tc>
          <w:tcPr>
            <w:tcW w:w="2520" w:type="dxa"/>
            <w:vAlign w:val="bottom"/>
          </w:tcPr>
          <w:p>
            <w:pPr>
              <w:jc w:val="center"/>
              <w:spacing w:after="0"/>
              <w:rPr>
                <w:sz w:val="20"/>
                <w:szCs w:val="20"/>
                <w:color w:val="auto"/>
              </w:rPr>
            </w:pPr>
            <w:r>
              <w:rPr>
                <w:rFonts w:ascii="Arial" w:cs="Arial" w:eastAsia="Arial" w:hAnsi="Arial"/>
                <w:sz w:val="16"/>
                <w:szCs w:val="16"/>
                <w:color w:val="auto"/>
                <w:w w:val="93"/>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4"/>
              </w:rPr>
              <w:t>into Income</w:t>
            </w: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7"/>
              </w:rPr>
              <w:t>(Ineffective</w:t>
            </w:r>
          </w:p>
        </w:tc>
      </w:tr>
      <w:tr>
        <w:trPr>
          <w:trHeight w:val="206"/>
        </w:trPr>
        <w:tc>
          <w:tcPr>
            <w:tcW w:w="252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Income</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0"/>
              </w:rPr>
              <w:t>(Settlements)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2"/>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(840)</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40"/>
              <w:spacing w:after="0"/>
              <w:rPr>
                <w:sz w:val="20"/>
                <w:szCs w:val="20"/>
                <w:color w:val="auto"/>
              </w:rPr>
            </w:pPr>
            <w:r>
              <w:rPr>
                <w:rFonts w:ascii="Arial" w:cs="Arial" w:eastAsia="Arial" w:hAnsi="Arial"/>
                <w:sz w:val="16"/>
                <w:szCs w:val="16"/>
                <w:color w:val="auto"/>
              </w:rPr>
              <w:t>Revenue</w:t>
            </w:r>
          </w:p>
        </w:tc>
        <w:tc>
          <w:tcPr>
            <w:tcW w:w="20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2,201</w:t>
            </w:r>
          </w:p>
        </w:tc>
        <w:tc>
          <w:tcPr>
            <w:tcW w:w="2500" w:type="dxa"/>
            <w:vAlign w:val="bottom"/>
          </w:tcPr>
          <w:p>
            <w:pPr>
              <w:ind w:left="1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20"/>
                <w:szCs w:val="20"/>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2520" w:type="dxa"/>
            <w:vAlign w:val="bottom"/>
            <w:shd w:val="clear" w:color="auto" w:fill="CEFFE7"/>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shd w:val="clear" w:color="auto" w:fill="CEFFE7"/>
          </w:tcPr>
          <w:p>
            <w:pPr>
              <w:ind w:left="140"/>
              <w:spacing w:after="0"/>
              <w:rPr>
                <w:sz w:val="20"/>
                <w:szCs w:val="20"/>
                <w:color w:val="auto"/>
              </w:rPr>
            </w:pPr>
            <w:r>
              <w:rPr>
                <w:rFonts w:ascii="Arial" w:cs="Arial" w:eastAsia="Arial" w:hAnsi="Arial"/>
                <w:sz w:val="16"/>
                <w:szCs w:val="16"/>
                <w:color w:val="auto"/>
                <w:w w:val="96"/>
              </w:rPr>
              <w:t>Fuel, purchased power and cost of</w:t>
            </w:r>
          </w:p>
        </w:tc>
        <w:tc>
          <w:tcPr>
            <w:tcW w:w="200" w:type="dxa"/>
            <w:vAlign w:val="bottom"/>
            <w:shd w:val="clear" w:color="auto" w:fill="CEFFE7"/>
          </w:tcPr>
          <w:p>
            <w:pPr>
              <w:spacing w:after="0"/>
              <w:rPr>
                <w:sz w:val="19"/>
                <w:szCs w:val="19"/>
                <w:color w:val="auto"/>
              </w:rPr>
            </w:pPr>
          </w:p>
        </w:tc>
        <w:tc>
          <w:tcPr>
            <w:tcW w:w="1980" w:type="dxa"/>
            <w:vAlign w:val="bottom"/>
            <w:shd w:val="clear" w:color="auto" w:fill="CEFFE7"/>
          </w:tcPr>
          <w:p>
            <w:pPr>
              <w:spacing w:after="0"/>
              <w:rPr>
                <w:sz w:val="19"/>
                <w:szCs w:val="19"/>
                <w:color w:val="auto"/>
              </w:rPr>
            </w:pPr>
          </w:p>
        </w:tc>
        <w:tc>
          <w:tcPr>
            <w:tcW w:w="25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40" w:type="dxa"/>
            <w:vAlign w:val="bottom"/>
            <w:shd w:val="clear" w:color="auto" w:fill="CEFFE7"/>
          </w:tcPr>
          <w:p>
            <w:pPr>
              <w:spacing w:after="0"/>
              <w:rPr>
                <w:sz w:val="19"/>
                <w:szCs w:val="19"/>
                <w:color w:val="auto"/>
              </w:rPr>
            </w:pPr>
          </w:p>
        </w:tc>
        <w:tc>
          <w:tcPr>
            <w:tcW w:w="1440" w:type="dxa"/>
            <w:vAlign w:val="bottom"/>
            <w:shd w:val="clear" w:color="auto" w:fill="CEFFE7"/>
          </w:tcPr>
          <w:p>
            <w:pPr>
              <w:spacing w:after="0"/>
              <w:rPr>
                <w:sz w:val="19"/>
                <w:szCs w:val="19"/>
                <w:color w:val="auto"/>
              </w:rPr>
            </w:pPr>
          </w:p>
        </w:tc>
      </w:tr>
      <w:tr>
        <w:trPr>
          <w:trHeight w:val="239"/>
        </w:trPr>
        <w:tc>
          <w:tcPr>
            <w:tcW w:w="2520" w:type="dxa"/>
            <w:vAlign w:val="bottom"/>
            <w:tcBorders>
              <w:bottom w:val="single" w:sz="8" w:color="CEFFE7"/>
            </w:tcBorders>
            <w:shd w:val="clear" w:color="auto" w:fill="CEFFE7"/>
          </w:tcPr>
          <w:p>
            <w:pPr>
              <w:spacing w:after="0"/>
              <w:rPr>
                <w:sz w:val="20"/>
                <w:szCs w:val="20"/>
                <w:color w:val="auto"/>
              </w:rPr>
            </w:pP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natural gas sold</w:t>
            </w:r>
          </w:p>
        </w:tc>
        <w:tc>
          <w:tcPr>
            <w:tcW w:w="200" w:type="dxa"/>
            <w:vAlign w:val="bottom"/>
            <w:tcBorders>
              <w:bottom w:val="single" w:sz="8" w:color="CEFFE7"/>
            </w:tcBorders>
            <w:shd w:val="clear" w:color="auto" w:fill="CEFFE7"/>
          </w:tcPr>
          <w:p>
            <w:pPr>
              <w:spacing w:after="0"/>
              <w:rPr>
                <w:sz w:val="20"/>
                <w:szCs w:val="20"/>
                <w:color w:val="auto"/>
              </w:rPr>
            </w:pPr>
          </w:p>
        </w:tc>
        <w:tc>
          <w:tcPr>
            <w:tcW w:w="19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128</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natural gas sold</w:t>
            </w:r>
          </w:p>
        </w:tc>
        <w:tc>
          <w:tcPr>
            <w:tcW w:w="24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44"/>
        </w:trPr>
        <w:tc>
          <w:tcPr>
            <w:tcW w:w="2520" w:type="dxa"/>
            <w:vAlign w:val="bottom"/>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1,489</w:t>
            </w:r>
          </w:p>
        </w:tc>
        <w:tc>
          <w:tcPr>
            <w:tcW w:w="25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4720" w:type="dxa"/>
            <w:vAlign w:val="bottom"/>
            <w:gridSpan w:val="3"/>
          </w:tcPr>
          <w:p>
            <w:pPr>
              <w:ind w:left="1800"/>
              <w:spacing w:after="0"/>
              <w:rPr>
                <w:sz w:val="20"/>
                <w:szCs w:val="20"/>
                <w:color w:val="auto"/>
              </w:rPr>
            </w:pPr>
            <w:r>
              <w:rPr>
                <w:rFonts w:ascii="Arial" w:cs="Arial" w:eastAsia="Arial" w:hAnsi="Arial"/>
                <w:sz w:val="16"/>
                <w:szCs w:val="16"/>
                <w:b w:val="1"/>
                <w:bCs w:val="1"/>
                <w:color w:val="auto"/>
                <w:w w:val="95"/>
              </w:rPr>
              <w:t>Nine Months Ended September 30, 2017</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5"/>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4"/>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5"/>
              </w:rPr>
              <w:t>Amount of</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9"/>
              <w:spacing w:after="0"/>
              <w:rPr>
                <w:sz w:val="20"/>
                <w:szCs w:val="20"/>
                <w:color w:val="auto"/>
              </w:rPr>
            </w:pPr>
            <w:r>
              <w:rPr>
                <w:rFonts w:ascii="Arial" w:cs="Arial" w:eastAsia="Arial" w:hAnsi="Arial"/>
                <w:sz w:val="16"/>
                <w:szCs w:val="16"/>
                <w:color w:val="auto"/>
                <w:w w:val="92"/>
              </w:rPr>
              <w:t>Gain/(Loss) Reclassified</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4"/>
              </w:rPr>
              <w:t>Location of</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7"/>
              </w:rPr>
              <w:t>from AOCI</w:t>
            </w: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5"/>
              </w:rPr>
              <w:t>Derivative</w:t>
            </w:r>
          </w:p>
        </w:tc>
      </w:tr>
      <w:tr>
        <w:trPr>
          <w:trHeight w:val="203"/>
        </w:trPr>
        <w:tc>
          <w:tcPr>
            <w:tcW w:w="2520" w:type="dxa"/>
            <w:vAlign w:val="bottom"/>
          </w:tcPr>
          <w:p>
            <w:pPr>
              <w:jc w:val="center"/>
              <w:spacing w:after="0"/>
              <w:rPr>
                <w:sz w:val="20"/>
                <w:szCs w:val="20"/>
                <w:color w:val="auto"/>
              </w:rPr>
            </w:pPr>
            <w:r>
              <w:rPr>
                <w:rFonts w:ascii="Arial" w:cs="Arial" w:eastAsia="Arial" w:hAnsi="Arial"/>
                <w:sz w:val="16"/>
                <w:szCs w:val="16"/>
                <w:color w:val="auto"/>
                <w:w w:val="93"/>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4"/>
              </w:rPr>
              <w:t>into Income</w:t>
            </w: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7"/>
              </w:rPr>
              <w:t>(Ineffective</w:t>
            </w:r>
          </w:p>
        </w:tc>
      </w:tr>
      <w:tr>
        <w:trPr>
          <w:trHeight w:val="206"/>
        </w:trPr>
        <w:tc>
          <w:tcPr>
            <w:tcW w:w="252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Income</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0"/>
              </w:rPr>
              <w:t>(Settlements)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2"/>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(2,228)</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40"/>
              <w:spacing w:after="0"/>
              <w:rPr>
                <w:sz w:val="20"/>
                <w:szCs w:val="20"/>
                <w:color w:val="auto"/>
              </w:rPr>
            </w:pPr>
            <w:r>
              <w:rPr>
                <w:rFonts w:ascii="Arial" w:cs="Arial" w:eastAsia="Arial" w:hAnsi="Arial"/>
                <w:sz w:val="16"/>
                <w:szCs w:val="16"/>
                <w:color w:val="auto"/>
              </w:rPr>
              <w:t>Revenue</w:t>
            </w:r>
          </w:p>
        </w:tc>
        <w:tc>
          <w:tcPr>
            <w:tcW w:w="20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954</w:t>
            </w:r>
          </w:p>
        </w:tc>
        <w:tc>
          <w:tcPr>
            <w:tcW w:w="2500" w:type="dxa"/>
            <w:vAlign w:val="bottom"/>
          </w:tcPr>
          <w:p>
            <w:pPr>
              <w:ind w:left="1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20"/>
                <w:szCs w:val="20"/>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2520" w:type="dxa"/>
            <w:vAlign w:val="bottom"/>
            <w:shd w:val="clear" w:color="auto" w:fill="CEFFE7"/>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shd w:val="clear" w:color="auto" w:fill="CEFFE7"/>
          </w:tcPr>
          <w:p>
            <w:pPr>
              <w:ind w:left="140"/>
              <w:spacing w:after="0"/>
              <w:rPr>
                <w:sz w:val="20"/>
                <w:szCs w:val="20"/>
                <w:color w:val="auto"/>
              </w:rPr>
            </w:pPr>
            <w:r>
              <w:rPr>
                <w:rFonts w:ascii="Arial" w:cs="Arial" w:eastAsia="Arial" w:hAnsi="Arial"/>
                <w:sz w:val="16"/>
                <w:szCs w:val="16"/>
                <w:color w:val="auto"/>
                <w:w w:val="96"/>
              </w:rPr>
              <w:t>Fuel, purchased power and cost of</w:t>
            </w:r>
          </w:p>
        </w:tc>
        <w:tc>
          <w:tcPr>
            <w:tcW w:w="200" w:type="dxa"/>
            <w:vAlign w:val="bottom"/>
            <w:shd w:val="clear" w:color="auto" w:fill="CEFFE7"/>
          </w:tcPr>
          <w:p>
            <w:pPr>
              <w:spacing w:after="0"/>
              <w:rPr>
                <w:sz w:val="19"/>
                <w:szCs w:val="19"/>
                <w:color w:val="auto"/>
              </w:rPr>
            </w:pPr>
          </w:p>
        </w:tc>
        <w:tc>
          <w:tcPr>
            <w:tcW w:w="1980" w:type="dxa"/>
            <w:vAlign w:val="bottom"/>
            <w:shd w:val="clear" w:color="auto" w:fill="CEFFE7"/>
          </w:tcPr>
          <w:p>
            <w:pPr>
              <w:spacing w:after="0"/>
              <w:rPr>
                <w:sz w:val="19"/>
                <w:szCs w:val="19"/>
                <w:color w:val="auto"/>
              </w:rPr>
            </w:pPr>
          </w:p>
        </w:tc>
        <w:tc>
          <w:tcPr>
            <w:tcW w:w="25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40" w:type="dxa"/>
            <w:vAlign w:val="bottom"/>
            <w:shd w:val="clear" w:color="auto" w:fill="CEFFE7"/>
          </w:tcPr>
          <w:p>
            <w:pPr>
              <w:spacing w:after="0"/>
              <w:rPr>
                <w:sz w:val="19"/>
                <w:szCs w:val="19"/>
                <w:color w:val="auto"/>
              </w:rPr>
            </w:pPr>
          </w:p>
        </w:tc>
        <w:tc>
          <w:tcPr>
            <w:tcW w:w="1440" w:type="dxa"/>
            <w:vAlign w:val="bottom"/>
            <w:shd w:val="clear" w:color="auto" w:fill="CEFFE7"/>
          </w:tcPr>
          <w:p>
            <w:pPr>
              <w:spacing w:after="0"/>
              <w:rPr>
                <w:sz w:val="19"/>
                <w:szCs w:val="19"/>
                <w:color w:val="auto"/>
              </w:rPr>
            </w:pPr>
          </w:p>
        </w:tc>
      </w:tr>
      <w:tr>
        <w:trPr>
          <w:trHeight w:val="239"/>
        </w:trPr>
        <w:tc>
          <w:tcPr>
            <w:tcW w:w="2520" w:type="dxa"/>
            <w:vAlign w:val="bottom"/>
            <w:tcBorders>
              <w:bottom w:val="single" w:sz="8" w:color="CEFFE7"/>
            </w:tcBorders>
            <w:shd w:val="clear" w:color="auto" w:fill="CEFFE7"/>
          </w:tcPr>
          <w:p>
            <w:pPr>
              <w:spacing w:after="0"/>
              <w:rPr>
                <w:sz w:val="20"/>
                <w:szCs w:val="20"/>
                <w:color w:val="auto"/>
              </w:rPr>
            </w:pP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natural gas sold</w:t>
            </w:r>
          </w:p>
        </w:tc>
        <w:tc>
          <w:tcPr>
            <w:tcW w:w="200" w:type="dxa"/>
            <w:vAlign w:val="bottom"/>
            <w:tcBorders>
              <w:bottom w:val="single" w:sz="8" w:color="CEFFE7"/>
            </w:tcBorders>
            <w:shd w:val="clear" w:color="auto" w:fill="CEFFE7"/>
          </w:tcPr>
          <w:p>
            <w:pPr>
              <w:spacing w:after="0"/>
              <w:rPr>
                <w:sz w:val="20"/>
                <w:szCs w:val="20"/>
                <w:color w:val="auto"/>
              </w:rPr>
            </w:pP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(20)</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natural gas sold</w:t>
            </w:r>
          </w:p>
        </w:tc>
        <w:tc>
          <w:tcPr>
            <w:tcW w:w="24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44"/>
        </w:trPr>
        <w:tc>
          <w:tcPr>
            <w:tcW w:w="2520" w:type="dxa"/>
            <w:vAlign w:val="bottom"/>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(1,294)</w:t>
            </w:r>
          </w:p>
        </w:tc>
        <w:tc>
          <w:tcPr>
            <w:tcW w:w="25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4720" w:type="dxa"/>
            <w:vAlign w:val="bottom"/>
            <w:gridSpan w:val="3"/>
          </w:tcPr>
          <w:p>
            <w:pPr>
              <w:ind w:left="1800"/>
              <w:spacing w:after="0"/>
              <w:rPr>
                <w:sz w:val="20"/>
                <w:szCs w:val="20"/>
                <w:color w:val="auto"/>
              </w:rPr>
            </w:pPr>
            <w:r>
              <w:rPr>
                <w:rFonts w:ascii="Arial" w:cs="Arial" w:eastAsia="Arial" w:hAnsi="Arial"/>
                <w:sz w:val="16"/>
                <w:szCs w:val="16"/>
                <w:b w:val="1"/>
                <w:bCs w:val="1"/>
                <w:color w:val="2C2C2C"/>
                <w:w w:val="95"/>
              </w:rPr>
              <w:t>Nine Months Ended September 30, 2016</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5"/>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4"/>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5"/>
              </w:rPr>
              <w:t>Amount of</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9"/>
              <w:spacing w:after="0"/>
              <w:rPr>
                <w:sz w:val="20"/>
                <w:szCs w:val="20"/>
                <w:color w:val="auto"/>
              </w:rPr>
            </w:pPr>
            <w:r>
              <w:rPr>
                <w:rFonts w:ascii="Arial" w:cs="Arial" w:eastAsia="Arial" w:hAnsi="Arial"/>
                <w:sz w:val="16"/>
                <w:szCs w:val="16"/>
                <w:color w:val="auto"/>
                <w:w w:val="92"/>
              </w:rPr>
              <w:t>Gain/(Loss) Reclassified</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4"/>
              </w:rPr>
              <w:t>Location of</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7"/>
              </w:rPr>
              <w:t>from AOCI</w:t>
            </w: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5"/>
              </w:rPr>
              <w:t>Derivative</w:t>
            </w:r>
          </w:p>
        </w:tc>
      </w:tr>
      <w:tr>
        <w:trPr>
          <w:trHeight w:val="203"/>
        </w:trPr>
        <w:tc>
          <w:tcPr>
            <w:tcW w:w="2520" w:type="dxa"/>
            <w:vAlign w:val="bottom"/>
          </w:tcPr>
          <w:p>
            <w:pPr>
              <w:jc w:val="center"/>
              <w:spacing w:after="0"/>
              <w:rPr>
                <w:sz w:val="20"/>
                <w:szCs w:val="20"/>
                <w:color w:val="auto"/>
              </w:rPr>
            </w:pPr>
            <w:r>
              <w:rPr>
                <w:rFonts w:ascii="Arial" w:cs="Arial" w:eastAsia="Arial" w:hAnsi="Arial"/>
                <w:sz w:val="16"/>
                <w:szCs w:val="16"/>
                <w:color w:val="auto"/>
                <w:w w:val="93"/>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4"/>
              </w:rPr>
              <w:t>into Income</w:t>
            </w: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7"/>
              </w:rPr>
              <w:t>(Ineffective</w:t>
            </w:r>
          </w:p>
        </w:tc>
      </w:tr>
      <w:tr>
        <w:trPr>
          <w:trHeight w:val="206"/>
        </w:trPr>
        <w:tc>
          <w:tcPr>
            <w:tcW w:w="252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Income</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0"/>
              </w:rPr>
              <w:t>(Settlements)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2"/>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(2,530)</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40"/>
              <w:spacing w:after="0"/>
              <w:rPr>
                <w:sz w:val="20"/>
                <w:szCs w:val="20"/>
                <w:color w:val="auto"/>
              </w:rPr>
            </w:pPr>
            <w:r>
              <w:rPr>
                <w:rFonts w:ascii="Arial" w:cs="Arial" w:eastAsia="Arial" w:hAnsi="Arial"/>
                <w:sz w:val="16"/>
                <w:szCs w:val="16"/>
                <w:color w:val="auto"/>
              </w:rPr>
              <w:t>Revenue</w:t>
            </w:r>
          </w:p>
        </w:tc>
        <w:tc>
          <w:tcPr>
            <w:tcW w:w="20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9,140</w:t>
            </w:r>
          </w:p>
        </w:tc>
        <w:tc>
          <w:tcPr>
            <w:tcW w:w="2500" w:type="dxa"/>
            <w:vAlign w:val="bottom"/>
          </w:tcPr>
          <w:p>
            <w:pPr>
              <w:ind w:left="1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20"/>
                <w:szCs w:val="20"/>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2520" w:type="dxa"/>
            <w:vAlign w:val="bottom"/>
            <w:shd w:val="clear" w:color="auto" w:fill="CEFFE7"/>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shd w:val="clear" w:color="auto" w:fill="CEFFE7"/>
          </w:tcPr>
          <w:p>
            <w:pPr>
              <w:ind w:left="140"/>
              <w:spacing w:after="0"/>
              <w:rPr>
                <w:sz w:val="20"/>
                <w:szCs w:val="20"/>
                <w:color w:val="auto"/>
              </w:rPr>
            </w:pPr>
            <w:r>
              <w:rPr>
                <w:rFonts w:ascii="Arial" w:cs="Arial" w:eastAsia="Arial" w:hAnsi="Arial"/>
                <w:sz w:val="16"/>
                <w:szCs w:val="16"/>
                <w:color w:val="auto"/>
                <w:w w:val="96"/>
              </w:rPr>
              <w:t>Fuel, purchased power and cost of</w:t>
            </w:r>
          </w:p>
        </w:tc>
        <w:tc>
          <w:tcPr>
            <w:tcW w:w="200" w:type="dxa"/>
            <w:vAlign w:val="bottom"/>
            <w:shd w:val="clear" w:color="auto" w:fill="CEFFE7"/>
          </w:tcPr>
          <w:p>
            <w:pPr>
              <w:spacing w:after="0"/>
              <w:rPr>
                <w:sz w:val="19"/>
                <w:szCs w:val="19"/>
                <w:color w:val="auto"/>
              </w:rPr>
            </w:pPr>
          </w:p>
        </w:tc>
        <w:tc>
          <w:tcPr>
            <w:tcW w:w="1980" w:type="dxa"/>
            <w:vAlign w:val="bottom"/>
            <w:shd w:val="clear" w:color="auto" w:fill="CEFFE7"/>
          </w:tcPr>
          <w:p>
            <w:pPr>
              <w:spacing w:after="0"/>
              <w:rPr>
                <w:sz w:val="19"/>
                <w:szCs w:val="19"/>
                <w:color w:val="auto"/>
              </w:rPr>
            </w:pPr>
          </w:p>
        </w:tc>
        <w:tc>
          <w:tcPr>
            <w:tcW w:w="25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40" w:type="dxa"/>
            <w:vAlign w:val="bottom"/>
            <w:shd w:val="clear" w:color="auto" w:fill="CEFFE7"/>
          </w:tcPr>
          <w:p>
            <w:pPr>
              <w:spacing w:after="0"/>
              <w:rPr>
                <w:sz w:val="19"/>
                <w:szCs w:val="19"/>
                <w:color w:val="auto"/>
              </w:rPr>
            </w:pPr>
          </w:p>
        </w:tc>
        <w:tc>
          <w:tcPr>
            <w:tcW w:w="1440" w:type="dxa"/>
            <w:vAlign w:val="bottom"/>
            <w:shd w:val="clear" w:color="auto" w:fill="CEFFE7"/>
          </w:tcPr>
          <w:p>
            <w:pPr>
              <w:spacing w:after="0"/>
              <w:rPr>
                <w:sz w:val="19"/>
                <w:szCs w:val="19"/>
                <w:color w:val="auto"/>
              </w:rPr>
            </w:pPr>
          </w:p>
        </w:tc>
      </w:tr>
      <w:tr>
        <w:trPr>
          <w:trHeight w:val="239"/>
        </w:trPr>
        <w:tc>
          <w:tcPr>
            <w:tcW w:w="2520" w:type="dxa"/>
            <w:vAlign w:val="bottom"/>
            <w:tcBorders>
              <w:bottom w:val="single" w:sz="8" w:color="CEFFE7"/>
            </w:tcBorders>
            <w:shd w:val="clear" w:color="auto" w:fill="CEFFE7"/>
          </w:tcPr>
          <w:p>
            <w:pPr>
              <w:spacing w:after="0"/>
              <w:rPr>
                <w:sz w:val="20"/>
                <w:szCs w:val="20"/>
                <w:color w:val="auto"/>
              </w:rPr>
            </w:pP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natural gas sold</w:t>
            </w:r>
          </w:p>
        </w:tc>
        <w:tc>
          <w:tcPr>
            <w:tcW w:w="200" w:type="dxa"/>
            <w:vAlign w:val="bottom"/>
            <w:tcBorders>
              <w:bottom w:val="single" w:sz="8" w:color="CEFFE7"/>
            </w:tcBorders>
            <w:shd w:val="clear" w:color="auto" w:fill="CEFFE7"/>
          </w:tcPr>
          <w:p>
            <w:pPr>
              <w:spacing w:after="0"/>
              <w:rPr>
                <w:sz w:val="20"/>
                <w:szCs w:val="20"/>
                <w:color w:val="auto"/>
              </w:rPr>
            </w:pP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(23)</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natural gas sold</w:t>
            </w:r>
          </w:p>
        </w:tc>
        <w:tc>
          <w:tcPr>
            <w:tcW w:w="24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44"/>
        </w:trPr>
        <w:tc>
          <w:tcPr>
            <w:tcW w:w="2520" w:type="dxa"/>
            <w:vAlign w:val="bottom"/>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6,587</w:t>
            </w:r>
          </w:p>
        </w:tc>
        <w:tc>
          <w:tcPr>
            <w:tcW w:w="25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following table summarizes the gains and losses arising from hedging transactions that were recognized as a component of other comprehensive income (loss) for the three and nine months ended September 30, 2017 and 2016. The amounts included in the table below exclude gains and losses arising from ineffectiveness because these amounts, if any, are immediately recognized in the Consolidated Statements of Income as incurred.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760" w:type="dxa"/>
            <w:vAlign w:val="bottom"/>
            <w:gridSpan w:val="5"/>
          </w:tcPr>
          <w:p>
            <w:pPr>
              <w:jc w:val="center"/>
              <w:spacing w:after="0"/>
              <w:rPr>
                <w:sz w:val="20"/>
                <w:szCs w:val="20"/>
                <w:color w:val="auto"/>
              </w:rPr>
            </w:pPr>
            <w:r>
              <w:rPr>
                <w:rFonts w:ascii="Arial" w:cs="Arial" w:eastAsia="Arial" w:hAnsi="Arial"/>
                <w:sz w:val="18"/>
                <w:szCs w:val="18"/>
                <w:color w:val="auto"/>
                <w:w w:val="89"/>
              </w:rPr>
              <w:t>Three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860" w:type="dxa"/>
            <w:vAlign w:val="bottom"/>
            <w:gridSpan w:val="2"/>
          </w:tcPr>
          <w:p>
            <w:pPr>
              <w:jc w:val="right"/>
              <w:ind w:right="10"/>
              <w:spacing w:after="0"/>
              <w:rPr>
                <w:sz w:val="20"/>
                <w:szCs w:val="20"/>
                <w:color w:val="auto"/>
              </w:rPr>
            </w:pPr>
            <w:r>
              <w:rPr>
                <w:rFonts w:ascii="Arial" w:cs="Arial" w:eastAsia="Arial" w:hAnsi="Arial"/>
                <w:sz w:val="18"/>
                <w:szCs w:val="18"/>
                <w:color w:val="auto"/>
              </w:rPr>
              <w:t>2017</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jc w:val="right"/>
              <w:ind w:right="63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Increase (decrease) in fair value:</w:t>
            </w:r>
          </w:p>
        </w:tc>
        <w:tc>
          <w:tcPr>
            <w:tcW w:w="26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96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8"/>
                <w:szCs w:val="18"/>
                <w:color w:val="auto"/>
              </w:rPr>
              <w:t>Interest rate swaps</w:t>
            </w:r>
          </w:p>
        </w:tc>
        <w:tc>
          <w:tcPr>
            <w:tcW w:w="3860" w:type="dxa"/>
            <w:vAlign w:val="bottom"/>
            <w:tcBorders>
              <w:bottom w:val="single" w:sz="8" w:color="CEFFE7"/>
            </w:tcBorders>
            <w:gridSpan w:val="2"/>
            <w:shd w:val="clear" w:color="auto" w:fill="CEFFE7"/>
          </w:tcPr>
          <w:p>
            <w:pPr>
              <w:jc w:val="right"/>
              <w:ind w:right="9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(787)</w:t>
            </w: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Forward commodity contracts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w:t>
            </w:r>
          </w:p>
        </w:tc>
        <w:tc>
          <w:tcPr>
            <w:tcW w:w="6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Recognition of (gains) losses in earnings due to settlements:</w:t>
            </w:r>
          </w:p>
        </w:tc>
        <w:tc>
          <w:tcPr>
            <w:tcW w:w="26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713</w:t>
            </w:r>
          </w:p>
        </w:tc>
        <w:tc>
          <w:tcPr>
            <w:tcW w:w="6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EFFE7"/>
            </w:tcBorders>
            <w:shd w:val="clear" w:color="auto" w:fill="CEFFE7"/>
          </w:tcPr>
          <w:p>
            <w:pPr>
              <w:spacing w:after="0"/>
              <w:rPr>
                <w:sz w:val="23"/>
                <w:szCs w:val="23"/>
                <w:color w:val="auto"/>
              </w:rPr>
            </w:pPr>
          </w:p>
        </w:tc>
        <w:tc>
          <w:tcPr>
            <w:tcW w:w="496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8"/>
                <w:szCs w:val="18"/>
                <w:color w:val="auto"/>
              </w:rPr>
              <w:t>Forward commodity contracts</w:t>
            </w:r>
          </w:p>
        </w:tc>
        <w:tc>
          <w:tcPr>
            <w:tcW w:w="266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spacing w:after="0"/>
              <w:rPr>
                <w:sz w:val="23"/>
                <w:szCs w:val="23"/>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(261)</w:t>
            </w:r>
          </w:p>
        </w:tc>
        <w:tc>
          <w:tcPr>
            <w:tcW w:w="68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(2,329)</w:t>
            </w:r>
          </w:p>
        </w:tc>
        <w:tc>
          <w:tcPr>
            <w:tcW w:w="2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Total other comprehensive income (loss) from hedging</w:t>
            </w:r>
          </w:p>
        </w:tc>
        <w:tc>
          <w:tcPr>
            <w:tcW w:w="266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198</w:t>
            </w:r>
          </w:p>
        </w:tc>
        <w:tc>
          <w:tcPr>
            <w:tcW w:w="6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74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760" w:type="dxa"/>
            <w:vAlign w:val="bottom"/>
            <w:gridSpan w:val="5"/>
          </w:tcPr>
          <w:p>
            <w:pPr>
              <w:jc w:val="center"/>
              <w:ind w:right="20"/>
              <w:spacing w:after="0"/>
              <w:rPr>
                <w:sz w:val="20"/>
                <w:szCs w:val="20"/>
                <w:color w:val="auto"/>
              </w:rPr>
            </w:pPr>
            <w:r>
              <w:rPr>
                <w:rFonts w:ascii="Arial" w:cs="Arial" w:eastAsia="Arial" w:hAnsi="Arial"/>
                <w:sz w:val="18"/>
                <w:szCs w:val="18"/>
                <w:color w:val="auto"/>
                <w:w w:val="90"/>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860" w:type="dxa"/>
            <w:vAlign w:val="bottom"/>
            <w:gridSpan w:val="2"/>
          </w:tcPr>
          <w:p>
            <w:pPr>
              <w:jc w:val="right"/>
              <w:ind w:right="30"/>
              <w:spacing w:after="0"/>
              <w:rPr>
                <w:sz w:val="20"/>
                <w:szCs w:val="20"/>
                <w:color w:val="auto"/>
              </w:rPr>
            </w:pPr>
            <w:r>
              <w:rPr>
                <w:rFonts w:ascii="Arial" w:cs="Arial" w:eastAsia="Arial" w:hAnsi="Arial"/>
                <w:sz w:val="18"/>
                <w:szCs w:val="18"/>
                <w:color w:val="auto"/>
              </w:rPr>
              <w:t>2017</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Increase (decrease) in fair value:</w:t>
            </w:r>
          </w:p>
        </w:tc>
        <w:tc>
          <w:tcPr>
            <w:tcW w:w="26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9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Interest rate swaps</w:t>
            </w:r>
          </w:p>
        </w:tc>
        <w:tc>
          <w:tcPr>
            <w:tcW w:w="3860" w:type="dxa"/>
            <w:vAlign w:val="bottom"/>
            <w:tcBorders>
              <w:bottom w:val="single" w:sz="8" w:color="CEFFE7"/>
            </w:tcBorders>
            <w:gridSpan w:val="2"/>
            <w:shd w:val="clear" w:color="auto" w:fill="CEFFE7"/>
          </w:tcPr>
          <w:p>
            <w:pPr>
              <w:jc w:val="right"/>
              <w:ind w:right="10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(31,452)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Forward commodity contracts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1,197</w:t>
            </w:r>
          </w:p>
        </w:tc>
        <w:tc>
          <w:tcPr>
            <w:tcW w:w="6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9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Recognition of (gains) losses in earnings due to settlements:</w:t>
            </w:r>
          </w:p>
        </w:tc>
        <w:tc>
          <w:tcPr>
            <w:tcW w:w="26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Interest rate swaps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2,228</w:t>
            </w:r>
          </w:p>
        </w:tc>
        <w:tc>
          <w:tcPr>
            <w:tcW w:w="6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9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Forward commodity contracts</w:t>
            </w:r>
          </w:p>
        </w:tc>
        <w:tc>
          <w:tcPr>
            <w:tcW w:w="266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spacing w:after="0"/>
              <w:rPr>
                <w:sz w:val="23"/>
                <w:szCs w:val="23"/>
                <w:color w:val="auto"/>
              </w:rPr>
            </w:pPr>
          </w:p>
        </w:tc>
        <w:tc>
          <w:tcPr>
            <w:tcW w:w="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(934)</w:t>
            </w:r>
          </w:p>
        </w:tc>
        <w:tc>
          <w:tcPr>
            <w:tcW w:w="68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4,459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Total other comprehensive income (loss) from hedging</w:t>
            </w:r>
          </w:p>
        </w:tc>
        <w:tc>
          <w:tcPr>
            <w:tcW w:w="266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2,491</w:t>
            </w:r>
          </w:p>
        </w:tc>
        <w:tc>
          <w:tcPr>
            <w:tcW w:w="6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60" w:type="dxa"/>
            <w:vAlign w:val="bottom"/>
            <w:vMerge w:val="restart"/>
          </w:tcPr>
          <w:p>
            <w:pPr>
              <w:jc w:val="right"/>
              <w:ind w:right="1770"/>
              <w:spacing w:after="0"/>
              <w:rPr>
                <w:sz w:val="20"/>
                <w:szCs w:val="20"/>
                <w:color w:val="auto"/>
              </w:rPr>
            </w:pPr>
            <w:r>
              <w:rPr>
                <w:rFonts w:ascii="Arial" w:cs="Arial" w:eastAsia="Arial" w:hAnsi="Arial"/>
                <w:sz w:val="18"/>
                <w:szCs w:val="18"/>
                <w:color w:val="auto"/>
              </w:rPr>
              <w:t>26</w:t>
            </w: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auto"/>
        </w:rPr>
        <w:t>Derivatives Not Designated as Hedge Instruments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summarizes the impacts of derivative instruments not designated as hedge instruments on our Consolidated Statements of Income for the three and nine months ended September 30, 2017 and 2016 (in thousands). Note that this presentation does not reflect gains or losses arising from the underlying physical transactions; therefore, it is not indicative of the economic gross profit we realized when the underlying physical and financial transactions were settled.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4"/>
          </w:tcPr>
          <w:p>
            <w:pPr>
              <w:ind w:left="400"/>
              <w:spacing w:after="0"/>
              <w:rPr>
                <w:sz w:val="20"/>
                <w:szCs w:val="20"/>
                <w:color w:val="auto"/>
              </w:rPr>
            </w:pPr>
            <w:r>
              <w:rPr>
                <w:rFonts w:ascii="Arial" w:cs="Arial" w:eastAsia="Arial" w:hAnsi="Arial"/>
                <w:sz w:val="18"/>
                <w:szCs w:val="18"/>
                <w:color w:val="auto"/>
              </w:rPr>
              <w:t>Three Months Ended September 30,</w:t>
            </w:r>
          </w:p>
        </w:tc>
      </w:tr>
      <w:tr>
        <w:trPr>
          <w:trHeight w:val="270"/>
        </w:trPr>
        <w:tc>
          <w:tcPr>
            <w:tcW w:w="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center"/>
              <w:ind w:right="270"/>
              <w:spacing w:after="0"/>
              <w:rPr>
                <w:sz w:val="20"/>
                <w:szCs w:val="20"/>
                <w:color w:val="auto"/>
              </w:rPr>
            </w:pPr>
            <w:r>
              <w:rPr>
                <w:rFonts w:ascii="Arial" w:cs="Arial" w:eastAsia="Arial" w:hAnsi="Arial"/>
                <w:sz w:val="18"/>
                <w:szCs w:val="18"/>
                <w:color w:val="auto"/>
                <w:w w:val="89"/>
              </w:rPr>
              <w:t>2017</w:t>
            </w:r>
          </w:p>
        </w:tc>
        <w:tc>
          <w:tcPr>
            <w:tcW w:w="360" w:type="dxa"/>
            <w:vAlign w:val="bottom"/>
          </w:tcPr>
          <w:p>
            <w:pPr>
              <w:spacing w:after="0"/>
              <w:rPr>
                <w:sz w:val="23"/>
                <w:szCs w:val="23"/>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89"/>
              </w:rPr>
              <w:t>2016</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tcPr>
          <w:p>
            <w:pPr>
              <w:ind w:left="500"/>
              <w:spacing w:after="0"/>
              <w:rPr>
                <w:sz w:val="20"/>
                <w:szCs w:val="20"/>
                <w:color w:val="auto"/>
              </w:rPr>
            </w:pPr>
            <w:r>
              <w:rPr>
                <w:rFonts w:ascii="Arial" w:cs="Arial" w:eastAsia="Arial" w:hAnsi="Arial"/>
                <w:sz w:val="18"/>
                <w:szCs w:val="18"/>
                <w:color w:val="auto"/>
                <w:w w:val="94"/>
              </w:rPr>
              <w:t>Location of Gain/(Loss)</w:t>
            </w:r>
          </w:p>
        </w:tc>
        <w:tc>
          <w:tcPr>
            <w:tcW w:w="1920" w:type="dxa"/>
            <w:vAlign w:val="bottom"/>
            <w:gridSpan w:val="2"/>
          </w:tcPr>
          <w:p>
            <w:pPr>
              <w:jc w:val="center"/>
              <w:ind w:right="10"/>
              <w:spacing w:after="0"/>
              <w:rPr>
                <w:sz w:val="20"/>
                <w:szCs w:val="20"/>
                <w:color w:val="auto"/>
              </w:rPr>
            </w:pPr>
            <w:r>
              <w:rPr>
                <w:rFonts w:ascii="Arial" w:cs="Arial" w:eastAsia="Arial" w:hAnsi="Arial"/>
                <w:sz w:val="18"/>
                <w:szCs w:val="18"/>
                <w:color w:val="auto"/>
                <w:w w:val="94"/>
              </w:rPr>
              <w:t>Amount of Gain/(Loss)</w:t>
            </w:r>
          </w:p>
        </w:tc>
        <w:tc>
          <w:tcPr>
            <w:tcW w:w="1940" w:type="dxa"/>
            <w:vAlign w:val="bottom"/>
            <w:gridSpan w:val="3"/>
          </w:tcPr>
          <w:p>
            <w:pPr>
              <w:jc w:val="center"/>
              <w:ind w:left="30"/>
              <w:spacing w:after="0"/>
              <w:rPr>
                <w:sz w:val="20"/>
                <w:szCs w:val="20"/>
                <w:color w:val="auto"/>
              </w:rPr>
            </w:pPr>
            <w:r>
              <w:rPr>
                <w:rFonts w:ascii="Arial" w:cs="Arial" w:eastAsia="Arial" w:hAnsi="Arial"/>
                <w:sz w:val="18"/>
                <w:szCs w:val="18"/>
                <w:color w:val="auto"/>
                <w:w w:val="94"/>
              </w:rPr>
              <w:t>Amount of Gain/(Loss)</w:t>
            </w: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jc w:val="center"/>
              <w:ind w:left="370"/>
              <w:spacing w:after="0"/>
              <w:rPr>
                <w:sz w:val="20"/>
                <w:szCs w:val="20"/>
                <w:color w:val="auto"/>
              </w:rPr>
            </w:pPr>
            <w:r>
              <w:rPr>
                <w:rFonts w:ascii="Arial" w:cs="Arial" w:eastAsia="Arial" w:hAnsi="Arial"/>
                <w:sz w:val="18"/>
                <w:szCs w:val="18"/>
                <w:color w:val="auto"/>
                <w:w w:val="91"/>
              </w:rPr>
              <w:t>on Derivatives</w:t>
            </w:r>
          </w:p>
        </w:tc>
        <w:tc>
          <w:tcPr>
            <w:tcW w:w="240" w:type="dxa"/>
            <w:vAlign w:val="bottom"/>
          </w:tcPr>
          <w:p>
            <w:pPr>
              <w:spacing w:after="0"/>
              <w:rPr>
                <w:sz w:val="18"/>
                <w:szCs w:val="18"/>
                <w:color w:val="auto"/>
              </w:rPr>
            </w:pPr>
          </w:p>
        </w:tc>
        <w:tc>
          <w:tcPr>
            <w:tcW w:w="1680" w:type="dxa"/>
            <w:vAlign w:val="bottom"/>
          </w:tcPr>
          <w:p>
            <w:pPr>
              <w:jc w:val="center"/>
              <w:ind w:right="250"/>
              <w:spacing w:after="0"/>
              <w:rPr>
                <w:sz w:val="20"/>
                <w:szCs w:val="20"/>
                <w:color w:val="auto"/>
              </w:rPr>
            </w:pPr>
            <w:r>
              <w:rPr>
                <w:rFonts w:ascii="Arial" w:cs="Arial" w:eastAsia="Arial" w:hAnsi="Arial"/>
                <w:sz w:val="18"/>
                <w:szCs w:val="18"/>
                <w:color w:val="auto"/>
                <w:w w:val="92"/>
              </w:rPr>
              <w:t>on Derivatives</w:t>
            </w:r>
          </w:p>
        </w:tc>
        <w:tc>
          <w:tcPr>
            <w:tcW w:w="36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on Derivatives</w:t>
            </w:r>
          </w:p>
        </w:tc>
      </w:tr>
      <w:tr>
        <w:trPr>
          <w:trHeight w:val="230"/>
        </w:trPr>
        <w:tc>
          <w:tcPr>
            <w:tcW w:w="40" w:type="dxa"/>
            <w:vAlign w:val="bottom"/>
          </w:tcPr>
          <w:p>
            <w:pPr>
              <w:spacing w:after="0"/>
              <w:rPr>
                <w:sz w:val="20"/>
                <w:szCs w:val="20"/>
                <w:color w:val="auto"/>
              </w:rPr>
            </w:pPr>
          </w:p>
        </w:tc>
        <w:tc>
          <w:tcPr>
            <w:tcW w:w="5220" w:type="dxa"/>
            <w:vAlign w:val="bottom"/>
          </w:tcPr>
          <w:p>
            <w:pPr>
              <w:ind w:left="940"/>
              <w:spacing w:after="0"/>
              <w:rPr>
                <w:sz w:val="20"/>
                <w:szCs w:val="20"/>
                <w:color w:val="auto"/>
              </w:rPr>
            </w:pPr>
            <w:r>
              <w:rPr>
                <w:rFonts w:ascii="Arial" w:cs="Arial" w:eastAsia="Arial" w:hAnsi="Arial"/>
                <w:sz w:val="18"/>
                <w:szCs w:val="18"/>
                <w:color w:val="auto"/>
              </w:rPr>
              <w:t>Derivatives Not Designated as Hedging Instruments</w:t>
            </w:r>
          </w:p>
        </w:tc>
        <w:tc>
          <w:tcPr>
            <w:tcW w:w="2300" w:type="dxa"/>
            <w:vAlign w:val="bottom"/>
          </w:tcPr>
          <w:p>
            <w:pPr>
              <w:jc w:val="center"/>
              <w:ind w:left="350"/>
              <w:spacing w:after="0"/>
              <w:rPr>
                <w:sz w:val="20"/>
                <w:szCs w:val="20"/>
                <w:color w:val="auto"/>
              </w:rPr>
            </w:pPr>
            <w:r>
              <w:rPr>
                <w:rFonts w:ascii="Arial" w:cs="Arial" w:eastAsia="Arial" w:hAnsi="Arial"/>
                <w:sz w:val="18"/>
                <w:szCs w:val="18"/>
                <w:color w:val="auto"/>
                <w:w w:val="90"/>
              </w:rPr>
              <w:t>Recognized in Income</w:t>
            </w:r>
          </w:p>
        </w:tc>
        <w:tc>
          <w:tcPr>
            <w:tcW w:w="192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Recognized in Income</w:t>
            </w:r>
          </w:p>
        </w:tc>
        <w:tc>
          <w:tcPr>
            <w:tcW w:w="194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Recognized in Income</w:t>
            </w:r>
          </w:p>
        </w:tc>
      </w:tr>
      <w:tr>
        <w:trPr>
          <w:trHeight w:val="27"/>
        </w:trPr>
        <w:tc>
          <w:tcPr>
            <w:tcW w:w="4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tcBorders>
              <w:bottom w:val="single" w:sz="8" w:color="CEFFE7"/>
              <w:right w:val="single" w:sz="8" w:color="CEFFE7"/>
            </w:tcBorders>
            <w:shd w:val="clear" w:color="auto" w:fill="CEFFE7"/>
          </w:tcPr>
          <w:p>
            <w:pPr>
              <w:ind w:left="4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FFFE7"/>
            </w:tcBorders>
            <w:shd w:val="clear" w:color="auto" w:fill="CFFFE7"/>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FFFE7"/>
            </w:tcBorders>
            <w:shd w:val="clear" w:color="auto" w:fill="CFFFE7"/>
          </w:tcPr>
          <w:p>
            <w:pPr>
              <w:jc w:val="right"/>
              <w:ind w:right="50"/>
              <w:spacing w:after="0"/>
              <w:rPr>
                <w:sz w:val="20"/>
                <w:szCs w:val="20"/>
                <w:color w:val="auto"/>
              </w:rPr>
            </w:pPr>
            <w:r>
              <w:rPr>
                <w:rFonts w:ascii="Arial" w:cs="Arial" w:eastAsia="Arial" w:hAnsi="Arial"/>
                <w:sz w:val="18"/>
                <w:szCs w:val="18"/>
                <w:color w:val="auto"/>
              </w:rPr>
              <w:t>(53)</w:t>
            </w:r>
          </w:p>
        </w:tc>
        <w:tc>
          <w:tcPr>
            <w:tcW w:w="360" w:type="dxa"/>
            <w:vAlign w:val="bottom"/>
            <w:tcBorders>
              <w:bottom w:val="single" w:sz="8" w:color="CFFFE7"/>
            </w:tcBorders>
            <w:shd w:val="clear" w:color="auto" w:fill="CFFFE7"/>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FFFE7"/>
            </w:tcBorders>
            <w:gridSpan w:val="2"/>
            <w:shd w:val="clear" w:color="auto" w:fill="CFFFE7"/>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tcPr>
          <w:p>
            <w:pPr>
              <w:ind w:left="480"/>
              <w:spacing w:after="0"/>
              <w:rPr>
                <w:sz w:val="20"/>
                <w:szCs w:val="20"/>
                <w:color w:val="auto"/>
              </w:rPr>
            </w:pPr>
            <w:r>
              <w:rPr>
                <w:rFonts w:ascii="Arial" w:cs="Arial" w:eastAsia="Arial" w:hAnsi="Arial"/>
                <w:sz w:val="18"/>
                <w:szCs w:val="18"/>
                <w:color w:val="auto"/>
                <w:w w:val="97"/>
              </w:rPr>
              <w:t>Fuel, purchased power</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w w:val="97"/>
              </w:rPr>
              <w:t>and cost of natural gas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rPr>
              <w:t>sold</w:t>
            </w:r>
          </w:p>
        </w:tc>
        <w:tc>
          <w:tcPr>
            <w:tcW w:w="240" w:type="dxa"/>
            <w:vAlign w:val="bottom"/>
          </w:tcPr>
          <w:p>
            <w:pPr>
              <w:spacing w:after="0"/>
              <w:rPr>
                <w:sz w:val="20"/>
                <w:szCs w:val="20"/>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20"/>
                <w:szCs w:val="20"/>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5220" w:type="dxa"/>
            <w:vAlign w:val="bottom"/>
            <w:tcBorders>
              <w:bottom w:val="single" w:sz="8" w:color="CEFFE7"/>
            </w:tcBorders>
          </w:tcPr>
          <w:p>
            <w:pPr>
              <w:spacing w:after="0"/>
              <w:rPr>
                <w:sz w:val="2"/>
                <w:szCs w:val="2"/>
                <w:color w:val="auto"/>
              </w:rPr>
            </w:pPr>
          </w:p>
        </w:tc>
        <w:tc>
          <w:tcPr>
            <w:tcW w:w="23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EFFE7"/>
            </w:tcBorders>
            <w:shd w:val="clear" w:color="auto" w:fill="CEFFE7"/>
          </w:tcPr>
          <w:p>
            <w:pPr>
              <w:spacing w:after="0"/>
              <w:rPr>
                <w:sz w:val="22"/>
                <w:szCs w:val="22"/>
                <w:color w:val="auto"/>
              </w:rPr>
            </w:pPr>
          </w:p>
        </w:tc>
        <w:tc>
          <w:tcPr>
            <w:tcW w:w="5220" w:type="dxa"/>
            <w:vAlign w:val="bottom"/>
            <w:tcBorders>
              <w:bottom w:val="single" w:sz="8" w:color="CEFFE7"/>
            </w:tcBorders>
            <w:shd w:val="clear" w:color="auto" w:fill="CEFFE7"/>
          </w:tcPr>
          <w:p>
            <w:pPr>
              <w:spacing w:after="0"/>
              <w:rPr>
                <w:sz w:val="22"/>
                <w:szCs w:val="22"/>
                <w:color w:val="auto"/>
              </w:rPr>
            </w:pPr>
          </w:p>
        </w:tc>
        <w:tc>
          <w:tcPr>
            <w:tcW w:w="2300" w:type="dxa"/>
            <w:vAlign w:val="bottom"/>
            <w:tcBorders>
              <w:bottom w:val="single" w:sz="8" w:color="CEFFE7"/>
              <w:right w:val="single" w:sz="8" w:color="CEFFE7"/>
            </w:tcBorders>
            <w:shd w:val="clear" w:color="auto" w:fill="CEFFE7"/>
          </w:tcPr>
          <w:p>
            <w:pPr>
              <w:spacing w:after="0"/>
              <w:rPr>
                <w:sz w:val="22"/>
                <w:szCs w:val="22"/>
                <w:color w:val="auto"/>
              </w:rPr>
            </w:pP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(375)</w:t>
            </w:r>
          </w:p>
        </w:tc>
        <w:tc>
          <w:tcPr>
            <w:tcW w:w="3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(342)</w:t>
            </w:r>
          </w:p>
        </w:tc>
        <w:tc>
          <w:tcPr>
            <w:tcW w:w="20" w:type="dxa"/>
            <w:vAlign w:val="bottom"/>
            <w:tcBorders>
              <w:bottom w:val="single" w:sz="8" w:color="CEFFE7"/>
            </w:tcBorders>
            <w:shd w:val="clear" w:color="auto" w:fill="CEFFE7"/>
          </w:tcPr>
          <w:p>
            <w:pPr>
              <w:spacing w:after="0"/>
              <w:rPr>
                <w:sz w:val="22"/>
                <w:szCs w:val="22"/>
                <w:color w:val="auto"/>
              </w:rPr>
            </w:pPr>
          </w:p>
        </w:tc>
      </w:tr>
      <w:tr>
        <w:trPr>
          <w:trHeight w:val="20"/>
        </w:trPr>
        <w:tc>
          <w:tcPr>
            <w:tcW w:w="40" w:type="dxa"/>
            <w:vAlign w:val="bottom"/>
            <w:tcBorders>
              <w:top w:val="single" w:sz="8" w:color="CEFFE7"/>
            </w:tcBorders>
          </w:tcPr>
          <w:p>
            <w:pPr>
              <w:spacing w:after="0" w:line="20" w:lineRule="exact"/>
              <w:rPr>
                <w:sz w:val="1"/>
                <w:szCs w:val="1"/>
                <w:color w:val="auto"/>
              </w:rPr>
            </w:pPr>
          </w:p>
        </w:tc>
        <w:tc>
          <w:tcPr>
            <w:tcW w:w="5220" w:type="dxa"/>
            <w:vAlign w:val="bottom"/>
            <w:tcBorders>
              <w:top w:val="single" w:sz="8" w:color="CEFFE7"/>
            </w:tcBorders>
          </w:tcPr>
          <w:p>
            <w:pPr>
              <w:spacing w:after="0" w:line="20" w:lineRule="exact"/>
              <w:rPr>
                <w:sz w:val="1"/>
                <w:szCs w:val="1"/>
                <w:color w:val="auto"/>
              </w:rPr>
            </w:pPr>
          </w:p>
        </w:tc>
        <w:tc>
          <w:tcPr>
            <w:tcW w:w="230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4"/>
          </w:tcPr>
          <w:p>
            <w:pPr>
              <w:ind w:left="420"/>
              <w:spacing w:after="0"/>
              <w:rPr>
                <w:sz w:val="20"/>
                <w:szCs w:val="20"/>
                <w:color w:val="auto"/>
              </w:rPr>
            </w:pPr>
            <w:r>
              <w:rPr>
                <w:rFonts w:ascii="Arial" w:cs="Arial" w:eastAsia="Arial" w:hAnsi="Arial"/>
                <w:sz w:val="18"/>
                <w:szCs w:val="18"/>
                <w:color w:val="auto"/>
              </w:rPr>
              <w:t>Nine Months Ended September 30,</w:t>
            </w:r>
          </w:p>
        </w:tc>
      </w:tr>
      <w:tr>
        <w:trPr>
          <w:trHeight w:val="270"/>
        </w:trPr>
        <w:tc>
          <w:tcPr>
            <w:tcW w:w="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center"/>
              <w:ind w:right="270"/>
              <w:spacing w:after="0"/>
              <w:rPr>
                <w:sz w:val="20"/>
                <w:szCs w:val="20"/>
                <w:color w:val="auto"/>
              </w:rPr>
            </w:pPr>
            <w:r>
              <w:rPr>
                <w:rFonts w:ascii="Arial" w:cs="Arial" w:eastAsia="Arial" w:hAnsi="Arial"/>
                <w:sz w:val="18"/>
                <w:szCs w:val="18"/>
                <w:color w:val="auto"/>
                <w:w w:val="89"/>
              </w:rPr>
              <w:t>2017</w:t>
            </w:r>
          </w:p>
        </w:tc>
        <w:tc>
          <w:tcPr>
            <w:tcW w:w="360" w:type="dxa"/>
            <w:vAlign w:val="bottom"/>
          </w:tcPr>
          <w:p>
            <w:pPr>
              <w:spacing w:after="0"/>
              <w:rPr>
                <w:sz w:val="23"/>
                <w:szCs w:val="23"/>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color w:val="auto"/>
                <w:w w:val="89"/>
              </w:rPr>
              <w:t>2016</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tcPr>
          <w:p>
            <w:pPr>
              <w:ind w:left="500"/>
              <w:spacing w:after="0"/>
              <w:rPr>
                <w:sz w:val="20"/>
                <w:szCs w:val="20"/>
                <w:color w:val="auto"/>
              </w:rPr>
            </w:pPr>
            <w:r>
              <w:rPr>
                <w:rFonts w:ascii="Arial" w:cs="Arial" w:eastAsia="Arial" w:hAnsi="Arial"/>
                <w:sz w:val="18"/>
                <w:szCs w:val="18"/>
                <w:color w:val="auto"/>
                <w:w w:val="94"/>
              </w:rPr>
              <w:t>Location of Gain/(Loss)</w:t>
            </w:r>
          </w:p>
        </w:tc>
        <w:tc>
          <w:tcPr>
            <w:tcW w:w="192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Amount of Gain/(Loss)</w:t>
            </w:r>
          </w:p>
        </w:tc>
        <w:tc>
          <w:tcPr>
            <w:tcW w:w="1940" w:type="dxa"/>
            <w:vAlign w:val="bottom"/>
            <w:gridSpan w:val="3"/>
          </w:tcPr>
          <w:p>
            <w:pPr>
              <w:jc w:val="center"/>
              <w:spacing w:after="0"/>
              <w:rPr>
                <w:sz w:val="20"/>
                <w:szCs w:val="20"/>
                <w:color w:val="auto"/>
              </w:rPr>
            </w:pPr>
            <w:r>
              <w:rPr>
                <w:rFonts w:ascii="Arial" w:cs="Arial" w:eastAsia="Arial" w:hAnsi="Arial"/>
                <w:sz w:val="18"/>
                <w:szCs w:val="18"/>
                <w:color w:val="auto"/>
                <w:w w:val="94"/>
              </w:rPr>
              <w:t>Amount of Gain/(Loss)</w:t>
            </w: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jc w:val="center"/>
              <w:ind w:left="350"/>
              <w:spacing w:after="0"/>
              <w:rPr>
                <w:sz w:val="20"/>
                <w:szCs w:val="20"/>
                <w:color w:val="auto"/>
              </w:rPr>
            </w:pPr>
            <w:r>
              <w:rPr>
                <w:rFonts w:ascii="Arial" w:cs="Arial" w:eastAsia="Arial" w:hAnsi="Arial"/>
                <w:sz w:val="18"/>
                <w:szCs w:val="18"/>
                <w:color w:val="auto"/>
                <w:w w:val="92"/>
              </w:rPr>
              <w:t>on Derivatives</w:t>
            </w:r>
          </w:p>
        </w:tc>
        <w:tc>
          <w:tcPr>
            <w:tcW w:w="240" w:type="dxa"/>
            <w:vAlign w:val="bottom"/>
          </w:tcPr>
          <w:p>
            <w:pPr>
              <w:spacing w:after="0"/>
              <w:rPr>
                <w:sz w:val="18"/>
                <w:szCs w:val="18"/>
                <w:color w:val="auto"/>
              </w:rPr>
            </w:pPr>
          </w:p>
        </w:tc>
        <w:tc>
          <w:tcPr>
            <w:tcW w:w="1680" w:type="dxa"/>
            <w:vAlign w:val="bottom"/>
          </w:tcPr>
          <w:p>
            <w:pPr>
              <w:jc w:val="center"/>
              <w:ind w:right="290"/>
              <w:spacing w:after="0"/>
              <w:rPr>
                <w:sz w:val="20"/>
                <w:szCs w:val="20"/>
                <w:color w:val="auto"/>
              </w:rPr>
            </w:pPr>
            <w:r>
              <w:rPr>
                <w:rFonts w:ascii="Arial" w:cs="Arial" w:eastAsia="Arial" w:hAnsi="Arial"/>
                <w:sz w:val="18"/>
                <w:szCs w:val="18"/>
                <w:color w:val="auto"/>
                <w:w w:val="92"/>
              </w:rPr>
              <w:t>on Derivatives</w:t>
            </w:r>
          </w:p>
        </w:tc>
        <w:tc>
          <w:tcPr>
            <w:tcW w:w="3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on Derivatives</w:t>
            </w:r>
          </w:p>
        </w:tc>
      </w:tr>
      <w:tr>
        <w:trPr>
          <w:trHeight w:val="230"/>
        </w:trPr>
        <w:tc>
          <w:tcPr>
            <w:tcW w:w="40" w:type="dxa"/>
            <w:vAlign w:val="bottom"/>
          </w:tcPr>
          <w:p>
            <w:pPr>
              <w:spacing w:after="0"/>
              <w:rPr>
                <w:sz w:val="20"/>
                <w:szCs w:val="20"/>
                <w:color w:val="auto"/>
              </w:rPr>
            </w:pPr>
          </w:p>
        </w:tc>
        <w:tc>
          <w:tcPr>
            <w:tcW w:w="5220" w:type="dxa"/>
            <w:vAlign w:val="bottom"/>
          </w:tcPr>
          <w:p>
            <w:pPr>
              <w:ind w:left="960"/>
              <w:spacing w:after="0"/>
              <w:rPr>
                <w:sz w:val="20"/>
                <w:szCs w:val="20"/>
                <w:color w:val="auto"/>
              </w:rPr>
            </w:pPr>
            <w:r>
              <w:rPr>
                <w:rFonts w:ascii="Arial" w:cs="Arial" w:eastAsia="Arial" w:hAnsi="Arial"/>
                <w:sz w:val="18"/>
                <w:szCs w:val="18"/>
                <w:color w:val="auto"/>
              </w:rPr>
              <w:t>Derivatives Not Designated as Hedging Instruments</w:t>
            </w:r>
          </w:p>
        </w:tc>
        <w:tc>
          <w:tcPr>
            <w:tcW w:w="2300" w:type="dxa"/>
            <w:vAlign w:val="bottom"/>
          </w:tcPr>
          <w:p>
            <w:pPr>
              <w:jc w:val="center"/>
              <w:ind w:left="350"/>
              <w:spacing w:after="0"/>
              <w:rPr>
                <w:sz w:val="20"/>
                <w:szCs w:val="20"/>
                <w:color w:val="auto"/>
              </w:rPr>
            </w:pPr>
            <w:r>
              <w:rPr>
                <w:rFonts w:ascii="Arial" w:cs="Arial" w:eastAsia="Arial" w:hAnsi="Arial"/>
                <w:sz w:val="18"/>
                <w:szCs w:val="18"/>
                <w:color w:val="auto"/>
                <w:w w:val="90"/>
              </w:rPr>
              <w:t>Recognized in Income</w:t>
            </w:r>
          </w:p>
        </w:tc>
        <w:tc>
          <w:tcPr>
            <w:tcW w:w="192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Recognized in Income</w:t>
            </w:r>
          </w:p>
        </w:tc>
        <w:tc>
          <w:tcPr>
            <w:tcW w:w="1940" w:type="dxa"/>
            <w:vAlign w:val="bottom"/>
            <w:gridSpan w:val="3"/>
          </w:tcPr>
          <w:p>
            <w:pPr>
              <w:jc w:val="center"/>
              <w:spacing w:after="0"/>
              <w:rPr>
                <w:sz w:val="20"/>
                <w:szCs w:val="20"/>
                <w:color w:val="auto"/>
              </w:rPr>
            </w:pPr>
            <w:r>
              <w:rPr>
                <w:rFonts w:ascii="Arial" w:cs="Arial" w:eastAsia="Arial" w:hAnsi="Arial"/>
                <w:sz w:val="18"/>
                <w:szCs w:val="18"/>
                <w:color w:val="auto"/>
                <w:w w:val="90"/>
              </w:rPr>
              <w:t>Recognized in Income</w:t>
            </w:r>
          </w:p>
        </w:tc>
      </w:tr>
      <w:tr>
        <w:trPr>
          <w:trHeight w:val="27"/>
        </w:trPr>
        <w:tc>
          <w:tcPr>
            <w:tcW w:w="4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5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Commodity derivatives</w:t>
            </w:r>
          </w:p>
        </w:tc>
        <w:tc>
          <w:tcPr>
            <w:tcW w:w="2300" w:type="dxa"/>
            <w:vAlign w:val="bottom"/>
            <w:tcBorders>
              <w:bottom w:val="single" w:sz="8" w:color="CEFFE7"/>
              <w:right w:val="single" w:sz="8" w:color="CFFFE7"/>
            </w:tcBorders>
            <w:shd w:val="clear" w:color="auto" w:fill="CEFFE7"/>
          </w:tcPr>
          <w:p>
            <w:pPr>
              <w:ind w:left="4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FFFE7"/>
            </w:tcBorders>
            <w:shd w:val="clear" w:color="auto" w:fill="CFFFE7"/>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FFFE7"/>
            </w:tcBorders>
            <w:shd w:val="clear" w:color="auto" w:fill="CFFFE7"/>
          </w:tcPr>
          <w:p>
            <w:pPr>
              <w:jc w:val="right"/>
              <w:ind w:right="130"/>
              <w:spacing w:after="0"/>
              <w:rPr>
                <w:sz w:val="20"/>
                <w:szCs w:val="20"/>
                <w:color w:val="auto"/>
              </w:rPr>
            </w:pPr>
            <w:r>
              <w:rPr>
                <w:rFonts w:ascii="Arial" w:cs="Arial" w:eastAsia="Arial" w:hAnsi="Arial"/>
                <w:sz w:val="18"/>
                <w:szCs w:val="18"/>
                <w:color w:val="auto"/>
              </w:rPr>
              <w:t>90</w:t>
            </w:r>
          </w:p>
        </w:tc>
        <w:tc>
          <w:tcPr>
            <w:tcW w:w="360" w:type="dxa"/>
            <w:vAlign w:val="bottom"/>
            <w:tcBorders>
              <w:bottom w:val="single" w:sz="8" w:color="CFFFE7"/>
            </w:tcBorders>
            <w:shd w:val="clear" w:color="auto" w:fill="CFFFE7"/>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FFFE7"/>
            </w:tcBorders>
            <w:shd w:val="clear" w:color="auto" w:fill="CFFFE7"/>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2300" w:type="dxa"/>
            <w:vAlign w:val="bottom"/>
          </w:tcPr>
          <w:p>
            <w:pPr>
              <w:ind w:left="480"/>
              <w:spacing w:after="0"/>
              <w:rPr>
                <w:sz w:val="20"/>
                <w:szCs w:val="20"/>
                <w:color w:val="auto"/>
              </w:rPr>
            </w:pPr>
            <w:r>
              <w:rPr>
                <w:rFonts w:ascii="Arial" w:cs="Arial" w:eastAsia="Arial" w:hAnsi="Arial"/>
                <w:sz w:val="18"/>
                <w:szCs w:val="18"/>
                <w:color w:val="auto"/>
                <w:w w:val="97"/>
              </w:rPr>
              <w:t>Fuel, purchased power</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w w:val="97"/>
              </w:rPr>
              <w:t>and cost of natural gas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rPr>
              <w:t>sold</w:t>
            </w:r>
          </w:p>
        </w:tc>
        <w:tc>
          <w:tcPr>
            <w:tcW w:w="24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(1,822)</w:t>
            </w:r>
          </w:p>
        </w:tc>
        <w:tc>
          <w:tcPr>
            <w:tcW w:w="36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2,492</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20" w:type="dxa"/>
            <w:vAlign w:val="bottom"/>
            <w:tcBorders>
              <w:bottom w:val="single" w:sz="8" w:color="CEFFE7"/>
            </w:tcBorders>
          </w:tcPr>
          <w:p>
            <w:pPr>
              <w:spacing w:after="0"/>
              <w:rPr>
                <w:sz w:val="2"/>
                <w:szCs w:val="2"/>
                <w:color w:val="auto"/>
              </w:rPr>
            </w:pPr>
          </w:p>
        </w:tc>
        <w:tc>
          <w:tcPr>
            <w:tcW w:w="23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5220" w:type="dxa"/>
            <w:vAlign w:val="bottom"/>
            <w:tcBorders>
              <w:bottom w:val="single" w:sz="8" w:color="CEFFE7"/>
            </w:tcBorders>
            <w:shd w:val="clear" w:color="auto" w:fill="CEFFE7"/>
          </w:tcPr>
          <w:p>
            <w:pPr>
              <w:spacing w:after="0"/>
              <w:rPr>
                <w:sz w:val="22"/>
                <w:szCs w:val="22"/>
                <w:color w:val="auto"/>
              </w:rPr>
            </w:pPr>
          </w:p>
        </w:tc>
        <w:tc>
          <w:tcPr>
            <w:tcW w:w="2300" w:type="dxa"/>
            <w:vAlign w:val="bottom"/>
            <w:tcBorders>
              <w:bottom w:val="single" w:sz="8" w:color="CEFFE7"/>
              <w:right w:val="single" w:sz="8" w:color="CEFFE7"/>
            </w:tcBorders>
            <w:shd w:val="clear" w:color="auto" w:fill="CEFFE7"/>
          </w:tcPr>
          <w:p>
            <w:pPr>
              <w:spacing w:after="0"/>
              <w:rPr>
                <w:sz w:val="22"/>
                <w:szCs w:val="22"/>
                <w:color w:val="auto"/>
              </w:rPr>
            </w:pPr>
          </w:p>
        </w:tc>
        <w:tc>
          <w:tcPr>
            <w:tcW w:w="2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(1,732)</w:t>
            </w:r>
          </w:p>
        </w:tc>
        <w:tc>
          <w:tcPr>
            <w:tcW w:w="3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2,492</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220" w:type="dxa"/>
            <w:vAlign w:val="bottom"/>
            <w:tcBorders>
              <w:top w:val="single" w:sz="8" w:color="CEFFE7"/>
            </w:tcBorders>
          </w:tcPr>
          <w:p>
            <w:pPr>
              <w:spacing w:after="0" w:line="20" w:lineRule="exact"/>
              <w:rPr>
                <w:sz w:val="1"/>
                <w:szCs w:val="1"/>
                <w:color w:val="auto"/>
              </w:rPr>
            </w:pPr>
          </w:p>
        </w:tc>
        <w:tc>
          <w:tcPr>
            <w:tcW w:w="230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above, financial instruments used in our regulated utilities are not designated as cash flow hedges. However, there is no earnings impact because the unrealized gains and losses arising from the use of these financial instruments are recorded as Regulatory assets. The net unrealized losses included in our Regulatory assets related to the hedges in our Utilities were $11 million, $8.8 million and $14 million at September 30, 2017, December 31, 2016 and September 30, 2016,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right="8400" w:firstLine="8"/>
        <w:spacing w:after="0" w:line="530" w:lineRule="auto"/>
        <w:tabs>
          <w:tab w:leader="none" w:pos="473"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FAIR VALUE MEASUREMENTS </w:t>
      </w:r>
      <w:r>
        <w:rPr>
          <w:rFonts w:ascii="Arial" w:cs="Arial" w:eastAsia="Arial" w:hAnsi="Arial"/>
          <w:sz w:val="17"/>
          <w:szCs w:val="17"/>
          <w:u w:val="single" w:color="auto"/>
          <w:color w:val="auto"/>
        </w:rPr>
        <w:t>Derivative Financial Instruments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accounting guidance for fair value measurements requires certain disclosures about assets and liabilities measured at fair value. This guidance establishes a hierarchical framework for disclosing the observability of the inputs utilized in measuring assets and liabilities at fair value. 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 For additional information, see Notes 1, 9, 10 and 11 to the Consolidated Financial Statements included in our 2016 Annual Report on Form 10-K filed with the SEC.</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Methodologies for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Oil and Gas Segment:</w:t>
      </w:r>
    </w:p>
    <w:p>
      <w:pPr>
        <w:spacing w:after="0" w:line="225" w:lineRule="exact"/>
        <w:rPr>
          <w:sz w:val="20"/>
          <w:szCs w:val="20"/>
          <w:color w:val="auto"/>
        </w:rPr>
      </w:pPr>
    </w:p>
    <w:p>
      <w:pPr>
        <w:ind w:left="660" w:right="20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commodity contracts for our Oil and Gas segment are valued using the market approach and include exchange-traded futures, basis swaps and call options. Fair value was derived using exchange quoted settlement prices from third party brokers for similar instruments as to quantity and timing. The prices are then validated through third-party sources and therefore support Level 2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Utilities Segments:</w:t>
      </w:r>
    </w:p>
    <w:p>
      <w:pPr>
        <w:spacing w:after="0" w:line="225" w:lineRule="exact"/>
        <w:rPr>
          <w:sz w:val="20"/>
          <w:szCs w:val="20"/>
          <w:color w:val="auto"/>
        </w:rPr>
      </w:pPr>
    </w:p>
    <w:p>
      <w:pPr>
        <w:ind w:left="660" w:hanging="328"/>
        <w:spacing w:after="0" w:line="29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commodity contracts for our Utilities Segments, are valued using the market approach and include exchange-traded futures, options, basis swaps and over-the-counter swaps and options (Level 2) for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component based on the credit spreads of the counterparties when we are in an unrealized gain position or on our own credit spread when we are in an unrealized loss position.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Activities:</w:t>
      </w:r>
    </w:p>
    <w:p>
      <w:pPr>
        <w:spacing w:after="0" w:line="225" w:lineRule="exact"/>
        <w:rPr>
          <w:sz w:val="20"/>
          <w:szCs w:val="20"/>
          <w:color w:val="auto"/>
        </w:rPr>
      </w:pPr>
    </w:p>
    <w:p>
      <w:pPr>
        <w:ind w:left="660" w:right="60" w:hanging="328"/>
        <w:spacing w:after="0" w:line="271"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of September 30, 2017, we no longer have derivatives within our corporate activities as our interest rate swaps matured in January 2017. The interest rate swaps that were in place prior to January 2017 were valued using the market approach. We established fair value by obtaining price quotes directly from the counterparty which were based on the floating three-month LIBOR curve for the term of the contract. The fair value obtained from the counterparty was validated by utilizing a nationally recognized service that obtains observable inputs to compute fair value for the same instrument. In addition, the fair value for the interest rate swap derivatives included a CVA component. The CVA considered the fair value of the interest rate swap and the probability of default based on the life of the contract. For the probability of a default component, we utilized observable inputs supporting a Level 2 disclosure by using the credit default spread of the obligor, if available, or a generic credit default spread curve that took into account our credit ratings, and the credit rating of our counterparty.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Recurring Fair Value Measurements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There have been no significant transfers between Level 1 and Level 2 derivative balances. Amounts included in cash collateral and counterparty netting in the following tables represent the impact of legally enforceable master netting agreements that allow us to settle positive and negative positions, netting of asset and liability positions permitted in accordance with accounting standards for offsetting as well as cash collateral posted with the same counterparties.</w:t>
      </w:r>
    </w:p>
    <w:p>
      <w:pPr>
        <w:spacing w:after="0" w:line="147"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The following tables set forth by level within the fair value hierarchy are gross assets and gross liabilities and related offsetting cash collateral and counterparty netting as permitted by GAAP that were accounted for at fair value on a recurring basis for derivative instruments.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89"/>
              </w:rPr>
              <w:t>As of September 30, 2017</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7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center"/>
              <w:ind w:right="3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jc w:val="center"/>
              <w:ind w:right="41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(in thousands)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(544)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2,880</w:t>
            </w:r>
          </w:p>
        </w:tc>
        <w:tc>
          <w:tcPr>
            <w:tcW w:w="18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2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(2,448)</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432</w:t>
            </w:r>
          </w:p>
        </w:tc>
      </w:tr>
      <w:tr>
        <w:trPr>
          <w:trHeight w:val="297"/>
        </w:trPr>
        <w:tc>
          <w:tcPr>
            <w:tcW w:w="412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(2,992)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657</w:t>
            </w:r>
          </w:p>
        </w:tc>
      </w:tr>
      <w:tr>
        <w:trPr>
          <w:trHeight w:val="163"/>
        </w:trPr>
        <w:tc>
          <w:tcPr>
            <w:tcW w:w="4120" w:type="dxa"/>
            <w:vAlign w:val="bottom"/>
            <w:shd w:val="clear" w:color="auto" w:fill="CEFFE7"/>
          </w:tcPr>
          <w:p>
            <w:pPr>
              <w:spacing w:after="0"/>
              <w:rPr>
                <w:sz w:val="14"/>
                <w:szCs w:val="14"/>
                <w:color w:val="auto"/>
              </w:rPr>
            </w:pPr>
          </w:p>
        </w:tc>
        <w:tc>
          <w:tcPr>
            <w:tcW w:w="960" w:type="dxa"/>
            <w:vAlign w:val="bottom"/>
            <w:shd w:val="clear" w:color="auto" w:fill="CEFFE7"/>
          </w:tcPr>
          <w:p>
            <w:pPr>
              <w:spacing w:after="0"/>
              <w:rPr>
                <w:sz w:val="14"/>
                <w:szCs w:val="14"/>
                <w:color w:val="auto"/>
              </w:rPr>
            </w:pPr>
          </w:p>
        </w:tc>
        <w:tc>
          <w:tcPr>
            <w:tcW w:w="28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1060" w:type="dxa"/>
            <w:vAlign w:val="bottom"/>
            <w:shd w:val="clear" w:color="auto" w:fill="CEFFE7"/>
          </w:tcPr>
          <w:p>
            <w:pPr>
              <w:spacing w:after="0"/>
              <w:rPr>
                <w:sz w:val="14"/>
                <w:szCs w:val="14"/>
                <w:color w:val="auto"/>
              </w:rPr>
            </w:pPr>
          </w:p>
        </w:tc>
        <w:tc>
          <w:tcPr>
            <w:tcW w:w="180" w:type="dxa"/>
            <w:vAlign w:val="bottom"/>
            <w:shd w:val="clear" w:color="auto" w:fill="CEFFE7"/>
          </w:tcPr>
          <w:p>
            <w:pPr>
              <w:spacing w:after="0"/>
              <w:rPr>
                <w:sz w:val="14"/>
                <w:szCs w:val="14"/>
                <w:color w:val="auto"/>
              </w:rPr>
            </w:pPr>
          </w:p>
        </w:tc>
        <w:tc>
          <w:tcPr>
            <w:tcW w:w="40" w:type="dxa"/>
            <w:vAlign w:val="bottom"/>
            <w:shd w:val="clear" w:color="auto" w:fill="CEFFE7"/>
          </w:tcPr>
          <w:p>
            <w:pPr>
              <w:spacing w:after="0"/>
              <w:rPr>
                <w:sz w:val="14"/>
                <w:szCs w:val="14"/>
                <w:color w:val="auto"/>
              </w:rPr>
            </w:pPr>
          </w:p>
        </w:tc>
        <w:tc>
          <w:tcPr>
            <w:tcW w:w="20" w:type="dxa"/>
            <w:vAlign w:val="bottom"/>
            <w:shd w:val="clear" w:color="auto" w:fill="CEFFE7"/>
          </w:tcPr>
          <w:p>
            <w:pPr>
              <w:spacing w:after="0"/>
              <w:rPr>
                <w:sz w:val="14"/>
                <w:szCs w:val="14"/>
                <w:color w:val="auto"/>
              </w:rPr>
            </w:pPr>
          </w:p>
        </w:tc>
        <w:tc>
          <w:tcPr>
            <w:tcW w:w="1180" w:type="dxa"/>
            <w:vAlign w:val="bottom"/>
            <w:shd w:val="clear" w:color="auto" w:fill="CEFFE7"/>
          </w:tcPr>
          <w:p>
            <w:pPr>
              <w:spacing w:after="0"/>
              <w:rPr>
                <w:sz w:val="14"/>
                <w:szCs w:val="14"/>
                <w:color w:val="auto"/>
              </w:rPr>
            </w:pPr>
          </w:p>
        </w:tc>
        <w:tc>
          <w:tcPr>
            <w:tcW w:w="340" w:type="dxa"/>
            <w:vAlign w:val="bottom"/>
            <w:shd w:val="clear" w:color="auto" w:fill="CEFFE7"/>
          </w:tcPr>
          <w:p>
            <w:pPr>
              <w:spacing w:after="0"/>
              <w:rPr>
                <w:sz w:val="14"/>
                <w:szCs w:val="14"/>
                <w:color w:val="auto"/>
              </w:rPr>
            </w:pPr>
          </w:p>
        </w:tc>
        <w:tc>
          <w:tcPr>
            <w:tcW w:w="340" w:type="dxa"/>
            <w:vAlign w:val="bottom"/>
            <w:shd w:val="clear" w:color="auto" w:fill="CEFFE7"/>
          </w:tcPr>
          <w:p>
            <w:pPr>
              <w:spacing w:after="0"/>
              <w:rPr>
                <w:sz w:val="14"/>
                <w:szCs w:val="14"/>
                <w:color w:val="auto"/>
              </w:rPr>
            </w:pPr>
          </w:p>
        </w:tc>
        <w:tc>
          <w:tcPr>
            <w:tcW w:w="20" w:type="dxa"/>
            <w:vAlign w:val="bottom"/>
            <w:shd w:val="clear" w:color="auto" w:fill="CEFFE7"/>
          </w:tcPr>
          <w:p>
            <w:pPr>
              <w:spacing w:after="0"/>
              <w:rPr>
                <w:sz w:val="14"/>
                <w:szCs w:val="14"/>
                <w:color w:val="auto"/>
              </w:rPr>
            </w:pPr>
          </w:p>
        </w:tc>
        <w:tc>
          <w:tcPr>
            <w:tcW w:w="1200" w:type="dxa"/>
            <w:vAlign w:val="bottom"/>
            <w:shd w:val="clear" w:color="auto" w:fill="CEFFE7"/>
          </w:tcPr>
          <w:p>
            <w:pPr>
              <w:spacing w:after="0"/>
              <w:rPr>
                <w:sz w:val="14"/>
                <w:szCs w:val="14"/>
                <w:color w:val="auto"/>
              </w:rPr>
            </w:pPr>
          </w:p>
        </w:tc>
        <w:tc>
          <w:tcPr>
            <w:tcW w:w="340" w:type="dxa"/>
            <w:vAlign w:val="bottom"/>
            <w:shd w:val="clear" w:color="auto" w:fill="CEFFE7"/>
          </w:tcPr>
          <w:p>
            <w:pPr>
              <w:spacing w:after="0"/>
              <w:rPr>
                <w:sz w:val="14"/>
                <w:szCs w:val="14"/>
                <w:color w:val="auto"/>
              </w:rPr>
            </w:pPr>
          </w:p>
        </w:tc>
        <w:tc>
          <w:tcPr>
            <w:tcW w:w="1140" w:type="dxa"/>
            <w:vAlign w:val="bottom"/>
            <w:shd w:val="clear" w:color="auto" w:fill="CEFFE7"/>
          </w:tcPr>
          <w:p>
            <w:pPr>
              <w:spacing w:after="0"/>
              <w:rPr>
                <w:sz w:val="14"/>
                <w:szCs w:val="1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Borders>
              <w:bottom w:val="single" w:sz="8" w:color="CEFFE7"/>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12,647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(11,125)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1,522</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12,761</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20" w:type="dxa"/>
            <w:vAlign w:val="bottom"/>
            <w:tcBorders>
              <w:bottom w:val="single" w:sz="8" w:color="auto"/>
            </w:tcBorders>
            <w:shd w:val="clear" w:color="auto" w:fill="CEFFE7"/>
          </w:tcPr>
          <w:p>
            <w:pPr>
              <w:spacing w:after="0"/>
              <w:rPr>
                <w:sz w:val="22"/>
                <w:szCs w:val="22"/>
                <w:color w:val="auto"/>
              </w:rPr>
            </w:pPr>
          </w:p>
        </w:tc>
        <w:tc>
          <w:tcPr>
            <w:tcW w:w="1180" w:type="dxa"/>
            <w:vAlign w:val="bottom"/>
            <w:tcBorders>
              <w:bottom w:val="single" w:sz="8" w:color="auto"/>
            </w:tcBorders>
            <w:shd w:val="clear" w:color="auto" w:fill="CEFFE7"/>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(11,125)</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1,636</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41"/>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gridSpan w:val="6"/>
          </w:tcPr>
          <w:p>
            <w:pPr>
              <w:jc w:val="center"/>
              <w:ind w:right="1110"/>
              <w:spacing w:after="0"/>
              <w:rPr>
                <w:sz w:val="20"/>
                <w:szCs w:val="20"/>
                <w:color w:val="auto"/>
              </w:rPr>
            </w:pPr>
            <w:r>
              <w:rPr>
                <w:rFonts w:ascii="Arial" w:cs="Arial" w:eastAsia="Arial" w:hAnsi="Arial"/>
                <w:sz w:val="18"/>
                <w:szCs w:val="18"/>
                <w:color w:val="auto"/>
                <w:w w:val="91"/>
              </w:rPr>
              <w:t>As of December 31, 2016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center"/>
              <w:ind w:right="3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jc w:val="center"/>
              <w:ind w:right="41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(in thousands)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2,886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(2,733)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—Utilities</w:t>
            </w:r>
          </w:p>
        </w:tc>
        <w:tc>
          <w:tcPr>
            <w:tcW w:w="96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7,469</w:t>
            </w:r>
          </w:p>
        </w:tc>
        <w:tc>
          <w:tcPr>
            <w:tcW w:w="18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2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(3,262)</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4,207</w:t>
            </w:r>
          </w:p>
        </w:tc>
      </w:tr>
      <w:tr>
        <w:trPr>
          <w:trHeight w:val="297"/>
        </w:trPr>
        <w:tc>
          <w:tcPr>
            <w:tcW w:w="412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(5,995)</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4,360</w:t>
            </w:r>
          </w:p>
        </w:tc>
      </w:tr>
      <w:tr>
        <w:trPr>
          <w:trHeight w:val="163"/>
        </w:trPr>
        <w:tc>
          <w:tcPr>
            <w:tcW w:w="4120" w:type="dxa"/>
            <w:vAlign w:val="bottom"/>
            <w:shd w:val="clear" w:color="auto" w:fill="CEFFE7"/>
          </w:tcPr>
          <w:p>
            <w:pPr>
              <w:spacing w:after="0"/>
              <w:rPr>
                <w:sz w:val="14"/>
                <w:szCs w:val="14"/>
                <w:color w:val="auto"/>
              </w:rPr>
            </w:pPr>
          </w:p>
        </w:tc>
        <w:tc>
          <w:tcPr>
            <w:tcW w:w="960" w:type="dxa"/>
            <w:vAlign w:val="bottom"/>
            <w:shd w:val="clear" w:color="auto" w:fill="CEFFE7"/>
          </w:tcPr>
          <w:p>
            <w:pPr>
              <w:spacing w:after="0"/>
              <w:rPr>
                <w:sz w:val="14"/>
                <w:szCs w:val="14"/>
                <w:color w:val="auto"/>
              </w:rPr>
            </w:pPr>
          </w:p>
        </w:tc>
        <w:tc>
          <w:tcPr>
            <w:tcW w:w="28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1060" w:type="dxa"/>
            <w:vAlign w:val="bottom"/>
            <w:shd w:val="clear" w:color="auto" w:fill="CEFFE7"/>
          </w:tcPr>
          <w:p>
            <w:pPr>
              <w:spacing w:after="0"/>
              <w:rPr>
                <w:sz w:val="14"/>
                <w:szCs w:val="14"/>
                <w:color w:val="auto"/>
              </w:rPr>
            </w:pPr>
          </w:p>
        </w:tc>
        <w:tc>
          <w:tcPr>
            <w:tcW w:w="180" w:type="dxa"/>
            <w:vAlign w:val="bottom"/>
            <w:shd w:val="clear" w:color="auto" w:fill="CEFFE7"/>
          </w:tcPr>
          <w:p>
            <w:pPr>
              <w:spacing w:after="0"/>
              <w:rPr>
                <w:sz w:val="14"/>
                <w:szCs w:val="14"/>
                <w:color w:val="auto"/>
              </w:rPr>
            </w:pPr>
          </w:p>
        </w:tc>
        <w:tc>
          <w:tcPr>
            <w:tcW w:w="40" w:type="dxa"/>
            <w:vAlign w:val="bottom"/>
            <w:shd w:val="clear" w:color="auto" w:fill="CEFFE7"/>
          </w:tcPr>
          <w:p>
            <w:pPr>
              <w:spacing w:after="0"/>
              <w:rPr>
                <w:sz w:val="14"/>
                <w:szCs w:val="14"/>
                <w:color w:val="auto"/>
              </w:rPr>
            </w:pPr>
          </w:p>
        </w:tc>
        <w:tc>
          <w:tcPr>
            <w:tcW w:w="20" w:type="dxa"/>
            <w:vAlign w:val="bottom"/>
            <w:shd w:val="clear" w:color="auto" w:fill="CEFFE7"/>
          </w:tcPr>
          <w:p>
            <w:pPr>
              <w:spacing w:after="0"/>
              <w:rPr>
                <w:sz w:val="14"/>
                <w:szCs w:val="14"/>
                <w:color w:val="auto"/>
              </w:rPr>
            </w:pPr>
          </w:p>
        </w:tc>
        <w:tc>
          <w:tcPr>
            <w:tcW w:w="1180" w:type="dxa"/>
            <w:vAlign w:val="bottom"/>
            <w:shd w:val="clear" w:color="auto" w:fill="CEFFE7"/>
          </w:tcPr>
          <w:p>
            <w:pPr>
              <w:spacing w:after="0"/>
              <w:rPr>
                <w:sz w:val="14"/>
                <w:szCs w:val="14"/>
                <w:color w:val="auto"/>
              </w:rPr>
            </w:pPr>
          </w:p>
        </w:tc>
        <w:tc>
          <w:tcPr>
            <w:tcW w:w="340" w:type="dxa"/>
            <w:vAlign w:val="bottom"/>
            <w:shd w:val="clear" w:color="auto" w:fill="CEFFE7"/>
          </w:tcPr>
          <w:p>
            <w:pPr>
              <w:spacing w:after="0"/>
              <w:rPr>
                <w:sz w:val="14"/>
                <w:szCs w:val="14"/>
                <w:color w:val="auto"/>
              </w:rPr>
            </w:pPr>
          </w:p>
        </w:tc>
        <w:tc>
          <w:tcPr>
            <w:tcW w:w="340" w:type="dxa"/>
            <w:vAlign w:val="bottom"/>
            <w:shd w:val="clear" w:color="auto" w:fill="CEFFE7"/>
          </w:tcPr>
          <w:p>
            <w:pPr>
              <w:spacing w:after="0"/>
              <w:rPr>
                <w:sz w:val="14"/>
                <w:szCs w:val="14"/>
                <w:color w:val="auto"/>
              </w:rPr>
            </w:pPr>
          </w:p>
        </w:tc>
        <w:tc>
          <w:tcPr>
            <w:tcW w:w="20" w:type="dxa"/>
            <w:vAlign w:val="bottom"/>
            <w:shd w:val="clear" w:color="auto" w:fill="CEFFE7"/>
          </w:tcPr>
          <w:p>
            <w:pPr>
              <w:spacing w:after="0"/>
              <w:rPr>
                <w:sz w:val="14"/>
                <w:szCs w:val="14"/>
                <w:color w:val="auto"/>
              </w:rPr>
            </w:pPr>
          </w:p>
        </w:tc>
        <w:tc>
          <w:tcPr>
            <w:tcW w:w="1200" w:type="dxa"/>
            <w:vAlign w:val="bottom"/>
            <w:shd w:val="clear" w:color="auto" w:fill="CEFFE7"/>
          </w:tcPr>
          <w:p>
            <w:pPr>
              <w:spacing w:after="0"/>
              <w:rPr>
                <w:sz w:val="14"/>
                <w:szCs w:val="14"/>
                <w:color w:val="auto"/>
              </w:rPr>
            </w:pPr>
          </w:p>
        </w:tc>
        <w:tc>
          <w:tcPr>
            <w:tcW w:w="340" w:type="dxa"/>
            <w:vAlign w:val="bottom"/>
            <w:shd w:val="clear" w:color="auto" w:fill="CEFFE7"/>
          </w:tcPr>
          <w:p>
            <w:pPr>
              <w:spacing w:after="0"/>
              <w:rPr>
                <w:sz w:val="14"/>
                <w:szCs w:val="14"/>
                <w:color w:val="auto"/>
              </w:rPr>
            </w:pPr>
          </w:p>
        </w:tc>
        <w:tc>
          <w:tcPr>
            <w:tcW w:w="1140" w:type="dxa"/>
            <w:vAlign w:val="bottom"/>
            <w:shd w:val="clear" w:color="auto" w:fill="CEFFE7"/>
          </w:tcPr>
          <w:p>
            <w:pPr>
              <w:spacing w:after="0"/>
              <w:rPr>
                <w:sz w:val="14"/>
                <w:szCs w:val="1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Borders>
              <w:bottom w:val="single" w:sz="8" w:color="CEFFE7"/>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1,586</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1,586</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12,201</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(11,144)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1,057</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Interest rate swaps</w:t>
            </w:r>
          </w:p>
        </w:tc>
        <w:tc>
          <w:tcPr>
            <w:tcW w:w="96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2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340" w:type="dxa"/>
            <w:vAlign w:val="bottom"/>
            <w:tcBorders>
              <w:bottom w:val="single" w:sz="8" w:color="CEFFE7"/>
            </w:tcBorders>
            <w:shd w:val="clear" w:color="auto" w:fill="CEFFE7"/>
          </w:tcPr>
          <w:p>
            <w:pPr>
              <w:spacing w:after="0"/>
              <w:rPr>
                <w:sz w:val="23"/>
                <w:szCs w:val="23"/>
                <w:color w:val="auto"/>
              </w:rPr>
            </w:pPr>
          </w:p>
        </w:tc>
        <w:tc>
          <w:tcPr>
            <w:tcW w:w="2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(11,144)</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2,733</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35"/>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3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As of September 30, 2016</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gridSpan w:val="2"/>
          </w:tcPr>
          <w:p>
            <w:pPr>
              <w:ind w:left="440"/>
              <w:spacing w:after="0"/>
              <w:rPr>
                <w:sz w:val="20"/>
                <w:szCs w:val="20"/>
                <w:color w:val="auto"/>
              </w:rPr>
            </w:pPr>
            <w:r>
              <w:rPr>
                <w:rFonts w:ascii="Arial" w:cs="Arial" w:eastAsia="Arial" w:hAnsi="Arial"/>
                <w:sz w:val="18"/>
                <w:szCs w:val="18"/>
                <w:color w:val="auto"/>
                <w:w w:val="94"/>
              </w:rPr>
              <w:t>(in thousands)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2,882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2,882</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5,330</w:t>
            </w:r>
          </w:p>
        </w:tc>
        <w:tc>
          <w:tcPr>
            <w:tcW w:w="18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ind w:left="7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(3,647)</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1,683</w:t>
            </w:r>
          </w:p>
        </w:tc>
      </w:tr>
      <w:tr>
        <w:trPr>
          <w:trHeight w:val="297"/>
        </w:trPr>
        <w:tc>
          <w:tcPr>
            <w:tcW w:w="412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(3,647)</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4,565</w:t>
            </w:r>
          </w:p>
        </w:tc>
      </w:tr>
      <w:tr>
        <w:trPr>
          <w:trHeight w:val="176"/>
        </w:trPr>
        <w:tc>
          <w:tcPr>
            <w:tcW w:w="4120" w:type="dxa"/>
            <w:vAlign w:val="bottom"/>
            <w:shd w:val="clear" w:color="auto" w:fill="CEFFE7"/>
          </w:tcPr>
          <w:p>
            <w:pPr>
              <w:spacing w:after="0"/>
              <w:rPr>
                <w:sz w:val="15"/>
                <w:szCs w:val="15"/>
                <w:color w:val="auto"/>
              </w:rPr>
            </w:pPr>
          </w:p>
        </w:tc>
        <w:tc>
          <w:tcPr>
            <w:tcW w:w="960" w:type="dxa"/>
            <w:vAlign w:val="bottom"/>
            <w:shd w:val="clear" w:color="auto" w:fill="CEFFE7"/>
          </w:tcPr>
          <w:p>
            <w:pPr>
              <w:spacing w:after="0"/>
              <w:rPr>
                <w:sz w:val="15"/>
                <w:szCs w:val="15"/>
                <w:color w:val="auto"/>
              </w:rPr>
            </w:pPr>
          </w:p>
        </w:tc>
        <w:tc>
          <w:tcPr>
            <w:tcW w:w="280" w:type="dxa"/>
            <w:vAlign w:val="bottom"/>
            <w:shd w:val="clear" w:color="auto" w:fill="CEFFE7"/>
          </w:tcPr>
          <w:p>
            <w:pPr>
              <w:spacing w:after="0"/>
              <w:rPr>
                <w:sz w:val="15"/>
                <w:szCs w:val="15"/>
                <w:color w:val="auto"/>
              </w:rPr>
            </w:pPr>
          </w:p>
        </w:tc>
        <w:tc>
          <w:tcPr>
            <w:tcW w:w="280" w:type="dxa"/>
            <w:vAlign w:val="bottom"/>
            <w:shd w:val="clear" w:color="auto" w:fill="CEFFE7"/>
          </w:tcPr>
          <w:p>
            <w:pPr>
              <w:spacing w:after="0"/>
              <w:rPr>
                <w:sz w:val="15"/>
                <w:szCs w:val="15"/>
                <w:color w:val="auto"/>
              </w:rPr>
            </w:pPr>
          </w:p>
        </w:tc>
        <w:tc>
          <w:tcPr>
            <w:tcW w:w="98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20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22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140" w:type="dxa"/>
            <w:vAlign w:val="bottom"/>
            <w:shd w:val="clear" w:color="auto" w:fill="CEFFE7"/>
          </w:tcPr>
          <w:p>
            <w:pPr>
              <w:spacing w:after="0"/>
              <w:rPr>
                <w:sz w:val="15"/>
                <w:szCs w:val="15"/>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Borders>
              <w:bottom w:val="single" w:sz="8" w:color="CEFFE7"/>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ind w:left="7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705</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16,130</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(15,231)</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899</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Interest rate swaps</w:t>
            </w:r>
          </w:p>
        </w:tc>
        <w:tc>
          <w:tcPr>
            <w:tcW w:w="96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ind w:left="7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34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654</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(15,231)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2,258</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Measures by Balance Sheet Classification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required by accounting standards for derivatives and hedges, fair values within the following tables are presented on a gross basis aside from the netting of asset and liability positions permitted in accordance with accounting standards for offsetting and under terms of our master netting agreements and the impact of legally enforceable master netting agreements that allow us to settle positive and negative positions.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and balance sheet classification of our derivative instruments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gridSpan w:val="4"/>
          </w:tcPr>
          <w:p>
            <w:pPr>
              <w:ind w:left="4860"/>
              <w:spacing w:after="0"/>
              <w:rPr>
                <w:sz w:val="20"/>
                <w:szCs w:val="20"/>
                <w:color w:val="auto"/>
              </w:rPr>
            </w:pPr>
            <w:r>
              <w:rPr>
                <w:rFonts w:ascii="Arial" w:cs="Arial" w:eastAsia="Arial" w:hAnsi="Arial"/>
                <w:sz w:val="16"/>
                <w:szCs w:val="16"/>
                <w:color w:val="auto"/>
              </w:rPr>
              <w:t>As of September 30, 2017</w:t>
            </w:r>
          </w:p>
        </w:tc>
        <w:tc>
          <w:tcPr>
            <w:tcW w:w="17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67"/>
        </w:trPr>
        <w:tc>
          <w:tcPr>
            <w:tcW w:w="48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1780" w:type="dxa"/>
            <w:vAlign w:val="bottom"/>
          </w:tcPr>
          <w:p>
            <w:pPr>
              <w:jc w:val="center"/>
              <w:ind w:left="279"/>
              <w:spacing w:after="0"/>
              <w:rPr>
                <w:sz w:val="20"/>
                <w:szCs w:val="20"/>
                <w:color w:val="auto"/>
              </w:rPr>
            </w:pPr>
            <w:r>
              <w:rPr>
                <w:rFonts w:ascii="Arial" w:cs="Arial" w:eastAsia="Arial" w:hAnsi="Arial"/>
                <w:sz w:val="16"/>
                <w:szCs w:val="16"/>
                <w:color w:val="auto"/>
                <w:w w:val="90"/>
              </w:rPr>
              <w:t>Fair Value</w:t>
            </w:r>
          </w:p>
        </w:tc>
        <w:tc>
          <w:tcPr>
            <w:tcW w:w="1440" w:type="dxa"/>
            <w:vAlign w:val="bottom"/>
          </w:tcPr>
          <w:p>
            <w:pPr>
              <w:jc w:val="center"/>
              <w:spacing w:after="0"/>
              <w:rPr>
                <w:sz w:val="20"/>
                <w:szCs w:val="20"/>
                <w:color w:val="auto"/>
              </w:rPr>
            </w:pPr>
            <w:r>
              <w:rPr>
                <w:rFonts w:ascii="Arial" w:cs="Arial" w:eastAsia="Arial" w:hAnsi="Arial"/>
                <w:sz w:val="16"/>
                <w:szCs w:val="16"/>
                <w:color w:val="auto"/>
                <w:w w:val="90"/>
              </w:rPr>
              <w:t>Fair Value</w:t>
            </w:r>
          </w:p>
        </w:tc>
      </w:tr>
      <w:tr>
        <w:trPr>
          <w:trHeight w:val="203"/>
        </w:trPr>
        <w:tc>
          <w:tcPr>
            <w:tcW w:w="4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80" w:type="dxa"/>
            <w:vAlign w:val="bottom"/>
          </w:tcPr>
          <w:p>
            <w:pPr>
              <w:jc w:val="center"/>
              <w:ind w:left="279"/>
              <w:spacing w:after="0"/>
              <w:rPr>
                <w:sz w:val="20"/>
                <w:szCs w:val="20"/>
                <w:color w:val="auto"/>
              </w:rPr>
            </w:pPr>
            <w:r>
              <w:rPr>
                <w:rFonts w:ascii="Arial" w:cs="Arial" w:eastAsia="Arial" w:hAnsi="Arial"/>
                <w:sz w:val="16"/>
                <w:szCs w:val="16"/>
                <w:color w:val="auto"/>
                <w:w w:val="93"/>
              </w:rPr>
              <w:t>of Asset</w:t>
            </w:r>
          </w:p>
        </w:tc>
        <w:tc>
          <w:tcPr>
            <w:tcW w:w="1440" w:type="dxa"/>
            <w:vAlign w:val="bottom"/>
          </w:tcPr>
          <w:p>
            <w:pPr>
              <w:jc w:val="center"/>
              <w:spacing w:after="0"/>
              <w:rPr>
                <w:sz w:val="20"/>
                <w:szCs w:val="20"/>
                <w:color w:val="auto"/>
              </w:rPr>
            </w:pPr>
            <w:r>
              <w:rPr>
                <w:rFonts w:ascii="Arial" w:cs="Arial" w:eastAsia="Arial" w:hAnsi="Arial"/>
                <w:sz w:val="16"/>
                <w:szCs w:val="16"/>
                <w:color w:val="auto"/>
              </w:rPr>
              <w:t>of Liability</w:t>
            </w:r>
          </w:p>
        </w:tc>
      </w:tr>
      <w:tr>
        <w:trPr>
          <w:trHeight w:val="206"/>
        </w:trPr>
        <w:tc>
          <w:tcPr>
            <w:tcW w:w="4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gridSpan w:val="2"/>
          </w:tcPr>
          <w:p>
            <w:pPr>
              <w:ind w:left="940"/>
              <w:spacing w:after="0"/>
              <w:rPr>
                <w:sz w:val="20"/>
                <w:szCs w:val="20"/>
                <w:color w:val="auto"/>
              </w:rPr>
            </w:pPr>
            <w:r>
              <w:rPr>
                <w:rFonts w:ascii="Arial" w:cs="Arial" w:eastAsia="Arial" w:hAnsi="Arial"/>
                <w:sz w:val="16"/>
                <w:szCs w:val="16"/>
                <w:color w:val="auto"/>
              </w:rPr>
              <w:t>Balance Sheet Location</w:t>
            </w:r>
          </w:p>
        </w:tc>
        <w:tc>
          <w:tcPr>
            <w:tcW w:w="1780" w:type="dxa"/>
            <w:vAlign w:val="bottom"/>
          </w:tcPr>
          <w:p>
            <w:pPr>
              <w:jc w:val="center"/>
              <w:ind w:left="279"/>
              <w:spacing w:after="0"/>
              <w:rPr>
                <w:sz w:val="20"/>
                <w:szCs w:val="20"/>
                <w:color w:val="auto"/>
              </w:rPr>
            </w:pPr>
            <w:r>
              <w:rPr>
                <w:rFonts w:ascii="Arial" w:cs="Arial" w:eastAsia="Arial" w:hAnsi="Arial"/>
                <w:sz w:val="16"/>
                <w:szCs w:val="16"/>
                <w:color w:val="auto"/>
                <w:w w:val="93"/>
              </w:rPr>
              <w:t>Derivatives</w:t>
            </w: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Derivatives</w:t>
            </w:r>
          </w:p>
        </w:tc>
      </w:tr>
      <w:tr>
        <w:trPr>
          <w:trHeight w:val="33"/>
        </w:trPr>
        <w:tc>
          <w:tcPr>
            <w:tcW w:w="486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8200" w:type="dxa"/>
            <w:vAlign w:val="bottom"/>
            <w:gridSpan w:val="4"/>
            <w:shd w:val="clear" w:color="auto" w:fill="CEFFE7"/>
          </w:tcPr>
          <w:p>
            <w:pPr>
              <w:ind w:left="40"/>
              <w:spacing w:after="0"/>
              <w:rPr>
                <w:sz w:val="20"/>
                <w:szCs w:val="20"/>
                <w:color w:val="auto"/>
              </w:rPr>
            </w:pPr>
            <w:r>
              <w:rPr>
                <w:rFonts w:ascii="Arial" w:cs="Arial" w:eastAsia="Arial" w:hAnsi="Arial"/>
                <w:sz w:val="16"/>
                <w:szCs w:val="16"/>
                <w:color w:val="auto"/>
              </w:rPr>
              <w:t>Derivatives designated as hedges:</w:t>
            </w:r>
          </w:p>
        </w:tc>
        <w:tc>
          <w:tcPr>
            <w:tcW w:w="1780" w:type="dxa"/>
            <w:vAlign w:val="bottom"/>
            <w:shd w:val="clear" w:color="auto" w:fill="CEFFE7"/>
          </w:tcPr>
          <w:p>
            <w:pPr>
              <w:spacing w:after="0"/>
              <w:rPr>
                <w:sz w:val="20"/>
                <w:szCs w:val="20"/>
                <w:color w:val="auto"/>
              </w:rPr>
            </w:pPr>
          </w:p>
        </w:tc>
        <w:tc>
          <w:tcPr>
            <w:tcW w:w="1440" w:type="dxa"/>
            <w:vAlign w:val="bottom"/>
            <w:shd w:val="clear" w:color="auto" w:fill="CEFFE7"/>
          </w:tcPr>
          <w:p>
            <w:pPr>
              <w:spacing w:after="0"/>
              <w:rPr>
                <w:sz w:val="20"/>
                <w:szCs w:val="20"/>
                <w:color w:val="auto"/>
              </w:rPr>
            </w:pPr>
          </w:p>
        </w:tc>
      </w:tr>
      <w:tr>
        <w:trPr>
          <w:trHeight w:val="33"/>
        </w:trPr>
        <w:tc>
          <w:tcPr>
            <w:tcW w:w="486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1520" w:type="dxa"/>
            <w:vAlign w:val="bottom"/>
            <w:shd w:val="clear" w:color="auto" w:fill="CEFFE7"/>
          </w:tcPr>
          <w:p>
            <w:pPr>
              <w:spacing w:after="0"/>
              <w:rPr>
                <w:sz w:val="2"/>
                <w:szCs w:val="2"/>
                <w:color w:val="auto"/>
              </w:rPr>
            </w:pPr>
          </w:p>
        </w:tc>
        <w:tc>
          <w:tcPr>
            <w:tcW w:w="1640" w:type="dxa"/>
            <w:vAlign w:val="bottom"/>
            <w:shd w:val="clear" w:color="auto" w:fill="CEFFE7"/>
          </w:tcPr>
          <w:p>
            <w:pPr>
              <w:spacing w:after="0"/>
              <w:rPr>
                <w:sz w:val="2"/>
                <w:szCs w:val="2"/>
                <w:color w:val="auto"/>
              </w:rPr>
            </w:pPr>
          </w:p>
        </w:tc>
        <w:tc>
          <w:tcPr>
            <w:tcW w:w="1780" w:type="dxa"/>
            <w:vAlign w:val="bottom"/>
            <w:shd w:val="clear" w:color="auto" w:fill="CEFFE7"/>
          </w:tcPr>
          <w:p>
            <w:pPr>
              <w:spacing w:after="0"/>
              <w:rPr>
                <w:sz w:val="2"/>
                <w:szCs w:val="2"/>
                <w:color w:val="auto"/>
              </w:rPr>
            </w:pPr>
          </w:p>
        </w:tc>
        <w:tc>
          <w:tcPr>
            <w:tcW w:w="1440" w:type="dxa"/>
            <w:vAlign w:val="bottom"/>
            <w:shd w:val="clear" w:color="auto" w:fill="CEFFE7"/>
          </w:tcPr>
          <w:p>
            <w:pPr>
              <w:spacing w:after="0"/>
              <w:rPr>
                <w:sz w:val="2"/>
                <w:szCs w:val="2"/>
                <w:color w:val="auto"/>
              </w:rPr>
            </w:pPr>
          </w:p>
        </w:tc>
      </w:tr>
    </w:tbl>
    <w:p>
      <w:pPr>
        <w:spacing w:after="0" w:line="31" w:lineRule="exact"/>
        <w:rPr>
          <w:sz w:val="20"/>
          <w:szCs w:val="20"/>
          <w:color w:val="auto"/>
        </w:rPr>
      </w:pPr>
    </w:p>
    <w:p>
      <w:pPr>
        <w:sectPr>
          <w:pgSz w:w="11900" w:h="16838" w:orient="portrait"/>
          <w:cols w:equalWidth="0" w:num="1">
            <w:col w:w="11420"/>
          </w:cols>
          <w:pgMar w:left="240" w:top="729" w:right="239" w:bottom="1440" w:gutter="0" w:footer="0" w:header="0"/>
        </w:sect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non-current</w:t>
      </w:r>
    </w:p>
    <w:p>
      <w:pPr>
        <w:spacing w:after="0" w:line="8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non-current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derivatives designated as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97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Derivatives not designated as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current</w:t>
      </w:r>
    </w:p>
    <w:p>
      <w:pPr>
        <w:spacing w:after="0" w:line="8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current</w:t>
      </w:r>
    </w:p>
    <w:p>
      <w:pPr>
        <w:spacing w:after="0" w:line="8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derivatives not designated as hedges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227</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511</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227</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570</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71"/>
        </w:trPr>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430</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1,051</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430</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1,066</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729" w:right="239" w:bottom="1440" w:gutter="0" w:footer="0" w:header="0"/>
          <w:type w:val="continuous"/>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729"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4880" w:type="dxa"/>
            <w:vAlign w:val="bottom"/>
            <w:gridSpan w:val="4"/>
          </w:tcPr>
          <w:p>
            <w:pPr>
              <w:ind w:left="1180"/>
              <w:spacing w:after="0"/>
              <w:rPr>
                <w:sz w:val="20"/>
                <w:szCs w:val="20"/>
                <w:color w:val="auto"/>
              </w:rPr>
            </w:pPr>
            <w:r>
              <w:rPr>
                <w:rFonts w:ascii="Arial" w:cs="Arial" w:eastAsia="Arial" w:hAnsi="Arial"/>
                <w:sz w:val="16"/>
                <w:szCs w:val="16"/>
                <w:color w:val="auto"/>
              </w:rPr>
              <w:t>As of December 31, 2016</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7"/>
        </w:trPr>
        <w:tc>
          <w:tcPr>
            <w:tcW w:w="37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2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0"/>
              </w:rPr>
              <w:t>Fair Value</w:t>
            </w:r>
          </w:p>
        </w:tc>
        <w:tc>
          <w:tcPr>
            <w:tcW w:w="280" w:type="dxa"/>
            <w:vAlign w:val="bottom"/>
          </w:tcPr>
          <w:p>
            <w:pPr>
              <w:spacing w:after="0"/>
              <w:rPr>
                <w:sz w:val="23"/>
                <w:szCs w:val="23"/>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color w:val="auto"/>
              </w:rPr>
              <w:t>Fair Value</w:t>
            </w:r>
          </w:p>
        </w:tc>
      </w:tr>
      <w:tr>
        <w:trPr>
          <w:trHeight w:val="203"/>
        </w:trPr>
        <w:tc>
          <w:tcPr>
            <w:tcW w:w="3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of Asset</w:t>
            </w:r>
          </w:p>
        </w:tc>
        <w:tc>
          <w:tcPr>
            <w:tcW w:w="280" w:type="dxa"/>
            <w:vAlign w:val="bottom"/>
          </w:tcPr>
          <w:p>
            <w:pPr>
              <w:spacing w:after="0"/>
              <w:rPr>
                <w:sz w:val="17"/>
                <w:szCs w:val="17"/>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of Liability</w:t>
            </w:r>
          </w:p>
        </w:tc>
      </w:tr>
      <w:tr>
        <w:trPr>
          <w:trHeight w:val="206"/>
        </w:trPr>
        <w:tc>
          <w:tcPr>
            <w:tcW w:w="3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gridSpan w:val="2"/>
          </w:tcPr>
          <w:p>
            <w:pPr>
              <w:ind w:left="940"/>
              <w:spacing w:after="0"/>
              <w:rPr>
                <w:sz w:val="20"/>
                <w:szCs w:val="20"/>
                <w:color w:val="auto"/>
              </w:rPr>
            </w:pPr>
            <w:r>
              <w:rPr>
                <w:rFonts w:ascii="Arial" w:cs="Arial" w:eastAsia="Arial" w:hAnsi="Arial"/>
                <w:sz w:val="16"/>
                <w:szCs w:val="16"/>
                <w:color w:val="auto"/>
              </w:rPr>
              <w:t>Balance Sheet Location</w:t>
            </w: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Derivatives</w:t>
            </w:r>
          </w:p>
        </w:tc>
        <w:tc>
          <w:tcPr>
            <w:tcW w:w="280" w:type="dxa"/>
            <w:vAlign w:val="bottom"/>
          </w:tcPr>
          <w:p>
            <w:pPr>
              <w:spacing w:after="0"/>
              <w:rPr>
                <w:sz w:val="17"/>
                <w:szCs w:val="17"/>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Derivatives</w:t>
            </w:r>
          </w:p>
        </w:tc>
      </w:tr>
      <w:tr>
        <w:trPr>
          <w:trHeight w:val="33"/>
        </w:trPr>
        <w:tc>
          <w:tcPr>
            <w:tcW w:w="3700" w:type="dxa"/>
            <w:vAlign w:val="bottom"/>
            <w:tcBorders>
              <w:bottom w:val="single" w:sz="8" w:color="CEFFE7"/>
            </w:tcBorders>
          </w:tcPr>
          <w:p>
            <w:pPr>
              <w:spacing w:after="0"/>
              <w:rPr>
                <w:sz w:val="2"/>
                <w:szCs w:val="2"/>
                <w:color w:val="auto"/>
              </w:rPr>
            </w:pPr>
          </w:p>
        </w:tc>
        <w:tc>
          <w:tcPr>
            <w:tcW w:w="1180" w:type="dxa"/>
            <w:vAlign w:val="bottom"/>
            <w:tcBorders>
              <w:bottom w:val="single" w:sz="8" w:color="CEFFE7"/>
            </w:tcBorders>
          </w:tcPr>
          <w:p>
            <w:pPr>
              <w:spacing w:after="0"/>
              <w:rPr>
                <w:sz w:val="2"/>
                <w:szCs w:val="2"/>
                <w:color w:val="auto"/>
              </w:rPr>
            </w:pPr>
          </w:p>
        </w:tc>
        <w:tc>
          <w:tcPr>
            <w:tcW w:w="160" w:type="dxa"/>
            <w:vAlign w:val="bottom"/>
            <w:tcBorders>
              <w:bottom w:val="single" w:sz="8" w:color="CEFFE7"/>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designated as hedges:</w:t>
            </w:r>
          </w:p>
        </w:tc>
        <w:tc>
          <w:tcPr>
            <w:tcW w:w="11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20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37"/>
        </w:trPr>
        <w:tc>
          <w:tcPr>
            <w:tcW w:w="370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Derivative assets —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1,161</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1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Derivative assets —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124</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70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1,090</w:t>
            </w:r>
          </w:p>
        </w:tc>
      </w:tr>
      <w:tr>
        <w:trPr>
          <w:trHeight w:val="33"/>
        </w:trPr>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1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Derivative liabilities —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238</w:t>
            </w:r>
          </w:p>
        </w:tc>
      </w:tr>
      <w:tr>
        <w:trPr>
          <w:trHeight w:val="237"/>
        </w:trPr>
        <w:tc>
          <w:tcPr>
            <w:tcW w:w="370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33"/>
        </w:trPr>
        <w:tc>
          <w:tcPr>
            <w:tcW w:w="3700" w:type="dxa"/>
            <w:vAlign w:val="bottom"/>
            <w:tcBorders>
              <w:bottom w:val="single" w:sz="8" w:color="CEFFE7"/>
            </w:tcBorders>
          </w:tcPr>
          <w:p>
            <w:pPr>
              <w:spacing w:after="0"/>
              <w:rPr>
                <w:sz w:val="2"/>
                <w:szCs w:val="2"/>
                <w:color w:val="auto"/>
              </w:rPr>
            </w:pPr>
          </w:p>
        </w:tc>
        <w:tc>
          <w:tcPr>
            <w:tcW w:w="1180" w:type="dxa"/>
            <w:vAlign w:val="bottom"/>
            <w:tcBorders>
              <w:bottom w:val="single" w:sz="8" w:color="CEFFE7"/>
            </w:tcBorders>
          </w:tcPr>
          <w:p>
            <w:pPr>
              <w:spacing w:after="0"/>
              <w:rPr>
                <w:sz w:val="2"/>
                <w:szCs w:val="2"/>
                <w:color w:val="auto"/>
              </w:rPr>
            </w:pPr>
          </w:p>
        </w:tc>
        <w:tc>
          <w:tcPr>
            <w:tcW w:w="160" w:type="dxa"/>
            <w:vAlign w:val="bottom"/>
            <w:tcBorders>
              <w:bottom w:val="single" w:sz="8" w:color="CEFFE7"/>
            </w:tcBorders>
          </w:tcPr>
          <w:p>
            <w:pPr>
              <w:spacing w:after="0"/>
              <w:rPr>
                <w:sz w:val="2"/>
                <w:szCs w:val="2"/>
                <w:color w:val="auto"/>
              </w:rPr>
            </w:pPr>
          </w:p>
        </w:tc>
        <w:tc>
          <w:tcPr>
            <w:tcW w:w="1500" w:type="dxa"/>
            <w:vAlign w:val="bottom"/>
            <w:tcBorders>
              <w:bottom w:val="single" w:sz="8" w:color="CEFFE7"/>
            </w:tcBorders>
          </w:tcPr>
          <w:p>
            <w:pPr>
              <w:spacing w:after="0"/>
              <w:rPr>
                <w:sz w:val="2"/>
                <w:szCs w:val="2"/>
                <w:color w:val="auto"/>
              </w:rPr>
            </w:pPr>
          </w:p>
        </w:tc>
        <w:tc>
          <w:tcPr>
            <w:tcW w:w="204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derivatives designated as hedges</w:t>
            </w:r>
          </w:p>
        </w:tc>
        <w:tc>
          <w:tcPr>
            <w:tcW w:w="11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20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1,285</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1,418</w:t>
            </w:r>
          </w:p>
        </w:tc>
      </w:tr>
      <w:tr>
        <w:trPr>
          <w:trHeight w:val="20"/>
        </w:trPr>
        <w:tc>
          <w:tcPr>
            <w:tcW w:w="3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39" w:right="239" w:bottom="1440" w:gutter="0" w:footer="0" w:header="0"/>
        </w:sect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Derivatives not designated as hedges:</w:t>
      </w:r>
    </w:p>
    <w:p>
      <w:pPr>
        <w:spacing w:after="0" w:line="8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non-current</w:t>
      </w:r>
    </w:p>
    <w:p>
      <w:pPr>
        <w:spacing w:after="0" w:line="8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non-current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derivatives not designated as hedges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tabs>
          <w:tab w:leader="none" w:pos="840" w:val="left"/>
          <w:tab w:leader="none" w:pos="1340" w:val="left"/>
          <w:tab w:leader="none" w:pos="2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2,977</w:t>
        <w:tab/>
        <w:t>$</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jc w:val="both"/>
        <w:ind w:left="1080"/>
        <w:spacing w:after="0"/>
        <w:tabs>
          <w:tab w:leader="none" w:pos="2500" w:val="left"/>
        </w:tabs>
        <w:rPr>
          <w:sz w:val="20"/>
          <w:szCs w:val="20"/>
          <w:color w:val="auto"/>
        </w:rPr>
      </w:pPr>
      <w:r>
        <w:rPr>
          <w:rFonts w:ascii="Arial" w:cs="Arial" w:eastAsia="Arial" w:hAnsi="Arial"/>
          <w:sz w:val="16"/>
          <w:szCs w:val="16"/>
          <w:color w:val="auto"/>
        </w:rPr>
        <w:t>98</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1,279</w:t>
      </w:r>
    </w:p>
    <w:p>
      <w:pPr>
        <w:spacing w:after="0" w:line="86" w:lineRule="exact"/>
        <w:rPr>
          <w:sz w:val="20"/>
          <w:szCs w:val="20"/>
          <w:color w:val="auto"/>
        </w:rPr>
      </w:pPr>
    </w:p>
    <w:p>
      <w:pPr>
        <w:jc w:val="both"/>
        <w:ind w:left="1080"/>
        <w:spacing w:after="0"/>
        <w:tabs>
          <w:tab w:leader="none" w:pos="2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1800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6" w:lineRule="exact"/>
        <w:rPr>
          <w:sz w:val="20"/>
          <w:szCs w:val="20"/>
          <w:color w:val="auto"/>
        </w:rPr>
      </w:pPr>
    </w:p>
    <w:p>
      <w:pPr>
        <w:spacing w:after="0"/>
        <w:tabs>
          <w:tab w:leader="none" w:pos="840" w:val="left"/>
          <w:tab w:leader="none" w:pos="1340" w:val="left"/>
          <w:tab w:leader="none" w:pos="2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3,075</w:t>
        <w:tab/>
        <w:t>$</w:t>
      </w:r>
      <w:r>
        <w:rPr>
          <w:sz w:val="20"/>
          <w:szCs w:val="20"/>
          <w:color w:val="auto"/>
        </w:rPr>
        <w:tab/>
      </w:r>
      <w:r>
        <w:rPr>
          <w:rFonts w:ascii="Arial" w:cs="Arial" w:eastAsia="Arial" w:hAnsi="Arial"/>
          <w:sz w:val="15"/>
          <w:szCs w:val="15"/>
          <w:color w:val="auto"/>
        </w:rPr>
        <w:t>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18008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52070</wp:posOffset>
            </wp:positionV>
            <wp:extent cx="18008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900" w:space="720"/>
            <w:col w:w="2800"/>
          </w:cols>
          <w:pgMar w:left="240" w:top="739" w:right="239" w:bottom="1440" w:gutter="0" w:footer="0" w:header="0"/>
          <w:type w:val="continuous"/>
        </w:sectPr>
      </w:pP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4880" w:type="dxa"/>
            <w:vAlign w:val="bottom"/>
            <w:gridSpan w:val="4"/>
          </w:tcPr>
          <w:p>
            <w:pPr>
              <w:ind w:left="1160"/>
              <w:spacing w:after="0"/>
              <w:rPr>
                <w:sz w:val="20"/>
                <w:szCs w:val="20"/>
                <w:color w:val="auto"/>
              </w:rPr>
            </w:pPr>
            <w:r>
              <w:rPr>
                <w:rFonts w:ascii="Arial" w:cs="Arial" w:eastAsia="Arial" w:hAnsi="Arial"/>
                <w:sz w:val="16"/>
                <w:szCs w:val="16"/>
                <w:color w:val="auto"/>
              </w:rPr>
              <w:t>As of September 30, 2016</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7"/>
        </w:trPr>
        <w:tc>
          <w:tcPr>
            <w:tcW w:w="37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tcPr>
          <w:p>
            <w:pPr>
              <w:spacing w:after="0"/>
              <w:rPr>
                <w:sz w:val="23"/>
                <w:szCs w:val="23"/>
                <w:color w:val="auto"/>
              </w:rPr>
            </w:pPr>
          </w:p>
        </w:tc>
        <w:tc>
          <w:tcPr>
            <w:tcW w:w="2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0"/>
              </w:rPr>
              <w:t>Fair Value</w:t>
            </w:r>
          </w:p>
        </w:tc>
        <w:tc>
          <w:tcPr>
            <w:tcW w:w="280" w:type="dxa"/>
            <w:vAlign w:val="bottom"/>
          </w:tcPr>
          <w:p>
            <w:pPr>
              <w:spacing w:after="0"/>
              <w:rPr>
                <w:sz w:val="23"/>
                <w:szCs w:val="23"/>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color w:val="auto"/>
              </w:rPr>
              <w:t>Fair Value</w:t>
            </w:r>
          </w:p>
        </w:tc>
      </w:tr>
      <w:tr>
        <w:trPr>
          <w:trHeight w:val="203"/>
        </w:trPr>
        <w:tc>
          <w:tcPr>
            <w:tcW w:w="3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of Asset</w:t>
            </w:r>
          </w:p>
        </w:tc>
        <w:tc>
          <w:tcPr>
            <w:tcW w:w="280" w:type="dxa"/>
            <w:vAlign w:val="bottom"/>
          </w:tcPr>
          <w:p>
            <w:pPr>
              <w:spacing w:after="0"/>
              <w:rPr>
                <w:sz w:val="17"/>
                <w:szCs w:val="17"/>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of Liability</w:t>
            </w:r>
          </w:p>
        </w:tc>
      </w:tr>
      <w:tr>
        <w:trPr>
          <w:trHeight w:val="206"/>
        </w:trPr>
        <w:tc>
          <w:tcPr>
            <w:tcW w:w="3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gridSpan w:val="2"/>
          </w:tcPr>
          <w:p>
            <w:pPr>
              <w:ind w:left="940"/>
              <w:spacing w:after="0"/>
              <w:rPr>
                <w:sz w:val="20"/>
                <w:szCs w:val="20"/>
                <w:color w:val="auto"/>
              </w:rPr>
            </w:pPr>
            <w:r>
              <w:rPr>
                <w:rFonts w:ascii="Arial" w:cs="Arial" w:eastAsia="Arial" w:hAnsi="Arial"/>
                <w:sz w:val="16"/>
                <w:szCs w:val="16"/>
                <w:color w:val="auto"/>
              </w:rPr>
              <w:t>Balance Sheet Location</w:t>
            </w: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Derivatives</w:t>
            </w:r>
          </w:p>
        </w:tc>
        <w:tc>
          <w:tcPr>
            <w:tcW w:w="280" w:type="dxa"/>
            <w:vAlign w:val="bottom"/>
          </w:tcPr>
          <w:p>
            <w:pPr>
              <w:spacing w:after="0"/>
              <w:rPr>
                <w:sz w:val="17"/>
                <w:szCs w:val="17"/>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Derivatives</w:t>
            </w:r>
          </w:p>
        </w:tc>
      </w:tr>
      <w:tr>
        <w:trPr>
          <w:trHeight w:val="33"/>
        </w:trPr>
        <w:tc>
          <w:tcPr>
            <w:tcW w:w="3700" w:type="dxa"/>
            <w:vAlign w:val="bottom"/>
            <w:tcBorders>
              <w:bottom w:val="single" w:sz="8" w:color="CEFFE7"/>
            </w:tcBorders>
          </w:tcPr>
          <w:p>
            <w:pPr>
              <w:spacing w:after="0"/>
              <w:rPr>
                <w:sz w:val="2"/>
                <w:szCs w:val="2"/>
                <w:color w:val="auto"/>
              </w:rPr>
            </w:pPr>
          </w:p>
        </w:tc>
        <w:tc>
          <w:tcPr>
            <w:tcW w:w="116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designated as hedges:</w:t>
            </w:r>
          </w:p>
        </w:tc>
        <w:tc>
          <w:tcPr>
            <w:tcW w:w="11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37"/>
        </w:trPr>
        <w:tc>
          <w:tcPr>
            <w:tcW w:w="3700" w:type="dxa"/>
            <w:vAlign w:val="bottom"/>
          </w:tcPr>
          <w:p>
            <w:pPr>
              <w:ind w:left="380"/>
              <w:spacing w:after="0"/>
              <w:rPr>
                <w:sz w:val="20"/>
                <w:szCs w:val="20"/>
                <w:color w:val="auto"/>
              </w:rPr>
            </w:pPr>
            <w:r>
              <w:rPr>
                <w:rFonts w:ascii="Arial" w:cs="Arial" w:eastAsia="Arial" w:hAnsi="Arial"/>
                <w:sz w:val="16"/>
                <w:szCs w:val="16"/>
                <w:color w:val="auto"/>
              </w:rPr>
              <w:t>Commodity derivatives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Derivative assets —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2,919</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Commodity derivatives</w:t>
            </w:r>
          </w:p>
        </w:tc>
        <w:tc>
          <w:tcPr>
            <w:tcW w:w="11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Derivative assets —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66</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700" w:type="dxa"/>
            <w:vAlign w:val="bottom"/>
          </w:tcPr>
          <w:p>
            <w:pPr>
              <w:ind w:left="380"/>
              <w:spacing w:after="0"/>
              <w:rPr>
                <w:sz w:val="20"/>
                <w:szCs w:val="20"/>
                <w:color w:val="auto"/>
              </w:rPr>
            </w:pPr>
            <w:r>
              <w:rPr>
                <w:rFonts w:ascii="Arial" w:cs="Arial" w:eastAsia="Arial" w:hAnsi="Arial"/>
                <w:sz w:val="16"/>
                <w:szCs w:val="16"/>
                <w:color w:val="auto"/>
              </w:rPr>
              <w:t>Commodity derivatives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479</w:t>
            </w:r>
          </w:p>
        </w:tc>
      </w:tr>
      <w:tr>
        <w:trPr>
          <w:trHeight w:val="33"/>
        </w:trPr>
        <w:tc>
          <w:tcPr>
            <w:tcW w:w="3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Commodity derivatives</w:t>
            </w:r>
          </w:p>
        </w:tc>
        <w:tc>
          <w:tcPr>
            <w:tcW w:w="11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Derivative liabilities —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256</w:t>
            </w:r>
          </w:p>
        </w:tc>
      </w:tr>
      <w:tr>
        <w:trPr>
          <w:trHeight w:val="237"/>
        </w:trPr>
        <w:tc>
          <w:tcPr>
            <w:tcW w:w="370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654</w:t>
            </w:r>
          </w:p>
        </w:tc>
      </w:tr>
      <w:tr>
        <w:trPr>
          <w:trHeight w:val="33"/>
        </w:trPr>
        <w:tc>
          <w:tcPr>
            <w:tcW w:w="3700" w:type="dxa"/>
            <w:vAlign w:val="bottom"/>
            <w:tcBorders>
              <w:bottom w:val="single" w:sz="8" w:color="CEFFE7"/>
            </w:tcBorders>
          </w:tcPr>
          <w:p>
            <w:pPr>
              <w:spacing w:after="0"/>
              <w:rPr>
                <w:sz w:val="2"/>
                <w:szCs w:val="2"/>
                <w:color w:val="auto"/>
              </w:rPr>
            </w:pPr>
          </w:p>
        </w:tc>
        <w:tc>
          <w:tcPr>
            <w:tcW w:w="116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1520" w:type="dxa"/>
            <w:vAlign w:val="bottom"/>
            <w:tcBorders>
              <w:bottom w:val="single" w:sz="8" w:color="CEFFE7"/>
            </w:tcBorders>
          </w:tcPr>
          <w:p>
            <w:pPr>
              <w:spacing w:after="0"/>
              <w:rPr>
                <w:sz w:val="2"/>
                <w:szCs w:val="2"/>
                <w:color w:val="auto"/>
              </w:rPr>
            </w:pPr>
          </w:p>
        </w:tc>
        <w:tc>
          <w:tcPr>
            <w:tcW w:w="20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derivatives designated as hedges</w:t>
            </w:r>
          </w:p>
        </w:tc>
        <w:tc>
          <w:tcPr>
            <w:tcW w:w="11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2,985</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1,389</w:t>
            </w:r>
          </w:p>
        </w:tc>
      </w:tr>
      <w:tr>
        <w:trPr>
          <w:trHeight w:val="20"/>
        </w:trPr>
        <w:tc>
          <w:tcPr>
            <w:tcW w:w="3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39" w:right="239" w:bottom="1440" w:gutter="0" w:footer="0" w:header="0"/>
          <w:type w:val="continuous"/>
        </w:sect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Derivatives not designated as hedges:</w:t>
      </w:r>
    </w:p>
    <w:p>
      <w:pPr>
        <w:spacing w:after="0" w:line="8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non-current</w:t>
      </w:r>
    </w:p>
    <w:p>
      <w:pPr>
        <w:spacing w:after="0" w:line="8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non-current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derivatives not designated as hedges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tabs>
          <w:tab w:leader="none" w:pos="840" w:val="left"/>
          <w:tab w:leader="none" w:pos="1340" w:val="left"/>
          <w:tab w:leader="none" w:pos="2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1,463</w:t>
        <w:tab/>
        <w:t>$</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jc w:val="both"/>
        <w:ind w:left="1000"/>
        <w:spacing w:after="0"/>
        <w:tabs>
          <w:tab w:leader="none" w:pos="2500" w:val="left"/>
        </w:tabs>
        <w:rPr>
          <w:sz w:val="20"/>
          <w:szCs w:val="20"/>
          <w:color w:val="auto"/>
        </w:rPr>
      </w:pPr>
      <w:r>
        <w:rPr>
          <w:rFonts w:ascii="Arial" w:cs="Arial" w:eastAsia="Arial" w:hAnsi="Arial"/>
          <w:sz w:val="16"/>
          <w:szCs w:val="16"/>
          <w:color w:val="auto"/>
        </w:rPr>
        <w:t>117</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808</w:t>
      </w:r>
    </w:p>
    <w:p>
      <w:pPr>
        <w:spacing w:after="0" w:line="86" w:lineRule="exact"/>
        <w:rPr>
          <w:sz w:val="20"/>
          <w:szCs w:val="20"/>
          <w:color w:val="auto"/>
        </w:rPr>
      </w:pPr>
    </w:p>
    <w:p>
      <w:pPr>
        <w:jc w:val="both"/>
        <w:ind w:left="1080"/>
        <w:spacing w:after="0"/>
        <w:tabs>
          <w:tab w:leader="none" w:pos="2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18008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6" w:lineRule="exact"/>
        <w:rPr>
          <w:sz w:val="20"/>
          <w:szCs w:val="20"/>
          <w:color w:val="auto"/>
        </w:rPr>
      </w:pPr>
    </w:p>
    <w:p>
      <w:pPr>
        <w:spacing w:after="0"/>
        <w:tabs>
          <w:tab w:leader="none" w:pos="840" w:val="left"/>
          <w:tab w:leader="none" w:pos="1340" w:val="left"/>
          <w:tab w:leader="none" w:pos="2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1,580</w:t>
        <w:tab/>
        <w:t>$</w:t>
      </w:r>
      <w:r>
        <w:rPr>
          <w:sz w:val="20"/>
          <w:szCs w:val="20"/>
          <w:color w:val="auto"/>
        </w:rPr>
        <w:tab/>
      </w:r>
      <w:r>
        <w:rPr>
          <w:rFonts w:ascii="Arial" w:cs="Arial" w:eastAsia="Arial" w:hAnsi="Arial"/>
          <w:sz w:val="15"/>
          <w:szCs w:val="15"/>
          <w:color w:val="auto"/>
        </w:rPr>
        <w:t>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18008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52070</wp:posOffset>
            </wp:positionV>
            <wp:extent cx="18008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900" w:space="720"/>
            <w:col w:w="2800"/>
          </w:cols>
          <w:pgMar w:left="240" w:top="739" w:right="239" w:bottom="1440" w:gutter="0" w:footer="0" w:header="0"/>
          <w:type w:val="continuous"/>
        </w:sectPr>
      </w:pPr>
    </w:p>
    <w:p>
      <w:pPr>
        <w:spacing w:after="0" w:line="84"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18 to the Consolidated Financial Statements included in our 2016 Annual Report on Form 10-K.</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39" w:right="239" w:bottom="1440" w:gutter="0" w:footer="0" w:header="0"/>
          <w:type w:val="continuous"/>
        </w:sectPr>
      </w:pPr>
    </w:p>
    <w:bookmarkStart w:id="31" w:name="page32"/>
    <w:bookmarkEnd w:id="31"/>
    <w:p>
      <w:pPr>
        <w:spacing w:after="0"/>
        <w:tabs>
          <w:tab w:leader="none" w:pos="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our financial instruments, excluding derivatives which are presented in Note 11, were as follows (in thousands) as 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8"/>
                <w:szCs w:val="18"/>
                <w:color w:val="auto"/>
                <w:w w:val="89"/>
              </w:rPr>
              <w:t>September 30, 2017</w:t>
            </w:r>
          </w:p>
        </w:tc>
        <w:tc>
          <w:tcPr>
            <w:tcW w:w="200" w:type="dxa"/>
            <w:vAlign w:val="bottom"/>
          </w:tcPr>
          <w:p>
            <w:pPr>
              <w:spacing w:after="0"/>
              <w:rPr>
                <w:sz w:val="20"/>
                <w:szCs w:val="20"/>
                <w:color w:val="auto"/>
              </w:rPr>
            </w:pPr>
          </w:p>
        </w:tc>
        <w:tc>
          <w:tcPr>
            <w:tcW w:w="2420" w:type="dxa"/>
            <w:vAlign w:val="bottom"/>
            <w:gridSpan w:val="4"/>
          </w:tcPr>
          <w:p>
            <w:pPr>
              <w:ind w:left="360"/>
              <w:spacing w:after="0"/>
              <w:rPr>
                <w:sz w:val="20"/>
                <w:szCs w:val="20"/>
                <w:color w:val="auto"/>
              </w:rPr>
            </w:pPr>
            <w:r>
              <w:rPr>
                <w:rFonts w:ascii="Arial" w:cs="Arial" w:eastAsia="Arial" w:hAnsi="Arial"/>
                <w:sz w:val="18"/>
                <w:szCs w:val="18"/>
                <w:color w:val="auto"/>
              </w:rPr>
              <w:t>December 31, 2016</w:t>
            </w:r>
          </w:p>
        </w:tc>
        <w:tc>
          <w:tcPr>
            <w:tcW w:w="180" w:type="dxa"/>
            <w:vAlign w:val="bottom"/>
          </w:tcPr>
          <w:p>
            <w:pPr>
              <w:spacing w:after="0"/>
              <w:rPr>
                <w:sz w:val="20"/>
                <w:szCs w:val="20"/>
                <w:color w:val="auto"/>
              </w:rPr>
            </w:pPr>
          </w:p>
        </w:tc>
        <w:tc>
          <w:tcPr>
            <w:tcW w:w="2080" w:type="dxa"/>
            <w:vAlign w:val="bottom"/>
            <w:gridSpan w:val="3"/>
          </w:tcPr>
          <w:p>
            <w:pPr>
              <w:jc w:val="right"/>
              <w:ind w:right="310"/>
              <w:spacing w:after="0"/>
              <w:rPr>
                <w:sz w:val="20"/>
                <w:szCs w:val="20"/>
                <w:color w:val="auto"/>
              </w:rPr>
            </w:pPr>
            <w:r>
              <w:rPr>
                <w:rFonts w:ascii="Arial" w:cs="Arial" w:eastAsia="Arial" w:hAnsi="Arial"/>
                <w:sz w:val="18"/>
                <w:szCs w:val="18"/>
                <w:color w:val="auto"/>
              </w:rPr>
              <w:t>September 30, 2016</w:t>
            </w:r>
          </w:p>
        </w:tc>
      </w:tr>
      <w:tr>
        <w:trPr>
          <w:trHeight w:val="27"/>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w w:val="99"/>
              </w:rPr>
              <w:t>Carrying</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w w:val="99"/>
              </w:rPr>
              <w:t>Carrying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2"/>
              </w:rPr>
              <w:t>Fair Value</w:t>
            </w:r>
          </w:p>
        </w:tc>
      </w:tr>
      <w:tr>
        <w:trPr>
          <w:trHeight w:val="27"/>
        </w:trPr>
        <w:tc>
          <w:tcPr>
            <w:tcW w:w="4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00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(a)</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13,510</w:t>
            </w:r>
          </w:p>
        </w:tc>
        <w:tc>
          <w:tcPr>
            <w:tcW w:w="2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13,510</w:t>
            </w:r>
          </w:p>
        </w:tc>
        <w:tc>
          <w:tcPr>
            <w:tcW w:w="120" w:type="dxa"/>
            <w:vAlign w:val="bottom"/>
            <w:shd w:val="clear" w:color="auto" w:fill="CEFFE7"/>
          </w:tcPr>
          <w:p>
            <w:pPr>
              <w:spacing w:after="0"/>
              <w:rPr>
                <w:sz w:val="22"/>
                <w:szCs w:val="22"/>
                <w:color w:val="auto"/>
              </w:rPr>
            </w:pPr>
          </w:p>
        </w:tc>
        <w:tc>
          <w:tcPr>
            <w:tcW w:w="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13,580</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13,580</w:t>
            </w:r>
          </w:p>
        </w:tc>
        <w:tc>
          <w:tcPr>
            <w:tcW w:w="120" w:type="dxa"/>
            <w:vAlign w:val="bottom"/>
            <w:shd w:val="clear" w:color="auto" w:fill="CEFFE7"/>
          </w:tcPr>
          <w:p>
            <w:pPr>
              <w:spacing w:after="0"/>
              <w:rPr>
                <w:sz w:val="22"/>
                <w:szCs w:val="22"/>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31,814</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31,814</w:t>
            </w: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and equivalents </w:t>
            </w:r>
            <w:r>
              <w:rPr>
                <w:rFonts w:ascii="Arial" w:cs="Arial" w:eastAsia="Arial" w:hAnsi="Arial"/>
                <w:sz w:val="25"/>
                <w:szCs w:val="25"/>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2,683</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2,683</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2,140</w:t>
            </w:r>
          </w:p>
        </w:tc>
      </w:tr>
      <w:tr>
        <w:trPr>
          <w:trHeight w:val="270"/>
        </w:trPr>
        <w:tc>
          <w:tcPr>
            <w:tcW w:w="40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5"/>
                <w:szCs w:val="25"/>
                <w:color w:val="auto"/>
                <w:vertAlign w:val="superscript"/>
              </w:rPr>
              <w:t>(b)</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225,170</w:t>
            </w:r>
          </w:p>
        </w:tc>
        <w:tc>
          <w:tcPr>
            <w:tcW w:w="2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225,170</w:t>
            </w: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96,600</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96,600</w:t>
            </w:r>
          </w:p>
        </w:tc>
        <w:tc>
          <w:tcPr>
            <w:tcW w:w="120" w:type="dxa"/>
            <w:vAlign w:val="bottom"/>
            <w:shd w:val="clear" w:color="auto" w:fill="CEFFE7"/>
          </w:tcPr>
          <w:p>
            <w:pPr>
              <w:spacing w:after="0"/>
              <w:rPr>
                <w:sz w:val="23"/>
                <w:szCs w:val="23"/>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75,000</w:t>
            </w:r>
          </w:p>
        </w:tc>
      </w:tr>
      <w:tr>
        <w:trPr>
          <w:trHeight w:val="256"/>
        </w:trPr>
        <w:tc>
          <w:tcPr>
            <w:tcW w:w="4000" w:type="dxa"/>
            <w:vAlign w:val="bottom"/>
          </w:tcPr>
          <w:p>
            <w:pPr>
              <w:ind w:left="40"/>
              <w:spacing w:after="0" w:line="256" w:lineRule="exact"/>
              <w:rPr>
                <w:sz w:val="20"/>
                <w:szCs w:val="20"/>
                <w:color w:val="auto"/>
              </w:rPr>
            </w:pPr>
            <w:r>
              <w:rPr>
                <w:rFonts w:ascii="Arial" w:cs="Arial" w:eastAsia="Arial" w:hAnsi="Arial"/>
                <w:sz w:val="18"/>
                <w:szCs w:val="18"/>
                <w:color w:val="auto"/>
                <w:w w:val="99"/>
              </w:rPr>
              <w:t xml:space="preserve">Long-term debt, including current maturities </w:t>
            </w:r>
            <w:r>
              <w:rPr>
                <w:rFonts w:ascii="Arial" w:cs="Arial" w:eastAsia="Arial" w:hAnsi="Arial"/>
                <w:sz w:val="25"/>
                <w:szCs w:val="25"/>
                <w:color w:val="auto"/>
                <w:w w:val="99"/>
                <w:vertAlign w:val="superscript"/>
              </w:rPr>
              <w:t>(c) (d)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3,115,607</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3,362,971</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3,216,932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3,351,305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3,217,511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3,525,362</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ind w:left="340" w:right="180" w:hanging="332"/>
        <w:spacing w:after="0" w:line="249"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Carrying value approximates fair value due to either the short-term length of maturity or variable interest rates that approximate prevailing market rates, and therefore is classified in Level 1 in the fair value hierarchy.</w:t>
      </w:r>
    </w:p>
    <w:p>
      <w:pPr>
        <w:ind w:left="340" w:right="30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Notes payable consist of commercial paper borrowings and borrowings on our Revolving Credit Facility. Carrying value approximates fair value due to the short-term length of maturity; since these borrowings are not traded on an exchange, they are classified in Level 2 in the fair value hierarchy.</w:t>
      </w:r>
    </w:p>
    <w:p>
      <w:pPr>
        <w:ind w:left="340" w:right="18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Long-term debt is valued based on observable inputs available either directly or indirectly for similar liabilities in active markets and therefore is classified in Level 2 in the fair value hierarchy.</w:t>
      </w: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Carrying amount of long-term debt is net of deferred financing costs.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reclassifications out of AOCI and into net income. The amounts in parentheses below indicate decreases to net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period, net of tax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3"/>
          </w:tcPr>
          <w:p>
            <w:pPr>
              <w:jc w:val="right"/>
              <w:ind w:right="230"/>
              <w:spacing w:after="0"/>
              <w:rPr>
                <w:sz w:val="20"/>
                <w:szCs w:val="20"/>
                <w:color w:val="auto"/>
              </w:rPr>
            </w:pPr>
            <w:r>
              <w:rPr>
                <w:rFonts w:ascii="Arial" w:cs="Arial" w:eastAsia="Arial" w:hAnsi="Arial"/>
                <w:sz w:val="18"/>
                <w:szCs w:val="18"/>
                <w:color w:val="auto"/>
                <w:w w:val="99"/>
              </w:rPr>
              <w:t>Amount Reclassified from AOCI</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25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0" w:type="dxa"/>
            <w:vAlign w:val="bottom"/>
            <w:gridSpan w:val="3"/>
          </w:tcPr>
          <w:p>
            <w:pPr>
              <w:jc w:val="right"/>
              <w:ind w:right="69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3"/>
                <w:szCs w:val="23"/>
                <w:color w:val="auto"/>
              </w:rPr>
            </w:pPr>
          </w:p>
        </w:tc>
        <w:tc>
          <w:tcPr>
            <w:tcW w:w="2780" w:type="dxa"/>
            <w:vAlign w:val="bottom"/>
            <w:gridSpan w:val="3"/>
          </w:tcPr>
          <w:p>
            <w:pPr>
              <w:jc w:val="right"/>
              <w:ind w:right="650"/>
              <w:spacing w:after="0"/>
              <w:rPr>
                <w:sz w:val="20"/>
                <w:szCs w:val="20"/>
                <w:color w:val="auto"/>
              </w:rPr>
            </w:pPr>
            <w:r>
              <w:rPr>
                <w:rFonts w:ascii="Arial" w:cs="Arial" w:eastAsia="Arial" w:hAnsi="Arial"/>
                <w:sz w:val="18"/>
                <w:szCs w:val="18"/>
                <w:color w:val="auto"/>
              </w:rPr>
              <w:t>Nine Months Ended</w:t>
            </w:r>
          </w:p>
        </w:tc>
      </w:tr>
      <w:tr>
        <w:trPr>
          <w:trHeight w:val="27"/>
        </w:trPr>
        <w:tc>
          <w:tcPr>
            <w:tcW w:w="25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2500" w:type="dxa"/>
            <w:vAlign w:val="bottom"/>
          </w:tcPr>
          <w:p>
            <w:pPr>
              <w:spacing w:after="0"/>
              <w:rPr>
                <w:sz w:val="19"/>
                <w:szCs w:val="19"/>
                <w:color w:val="auto"/>
              </w:rPr>
            </w:pPr>
          </w:p>
        </w:tc>
        <w:tc>
          <w:tcPr>
            <w:tcW w:w="2880" w:type="dxa"/>
            <w:vAlign w:val="bottom"/>
          </w:tcPr>
          <w:p>
            <w:pPr>
              <w:ind w:left="520"/>
              <w:spacing w:after="0"/>
              <w:rPr>
                <w:sz w:val="20"/>
                <w:szCs w:val="20"/>
                <w:color w:val="auto"/>
              </w:rPr>
            </w:pPr>
            <w:r>
              <w:rPr>
                <w:rFonts w:ascii="Arial" w:cs="Arial" w:eastAsia="Arial" w:hAnsi="Arial"/>
                <w:sz w:val="18"/>
                <w:szCs w:val="18"/>
                <w:color w:val="auto"/>
              </w:rPr>
              <w:t>Location on the Condensed</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w w:val="91"/>
              </w:rPr>
              <w:t>September 30,</w:t>
            </w:r>
          </w:p>
        </w:tc>
        <w:tc>
          <w:tcPr>
            <w:tcW w:w="22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w w:val="91"/>
              </w:rPr>
              <w:t>September 30,</w:t>
            </w:r>
          </w:p>
        </w:tc>
        <w:tc>
          <w:tcPr>
            <w:tcW w:w="1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89"/>
              </w:rPr>
              <w:t>September 30,</w:t>
            </w:r>
          </w:p>
        </w:tc>
      </w:tr>
      <w:tr>
        <w:trPr>
          <w:trHeight w:val="230"/>
        </w:trPr>
        <w:tc>
          <w:tcPr>
            <w:tcW w:w="2500" w:type="dxa"/>
            <w:vAlign w:val="bottom"/>
          </w:tcPr>
          <w:p>
            <w:pPr>
              <w:spacing w:after="0"/>
              <w:rPr>
                <w:sz w:val="20"/>
                <w:szCs w:val="20"/>
                <w:color w:val="auto"/>
              </w:rPr>
            </w:pPr>
          </w:p>
        </w:tc>
        <w:tc>
          <w:tcPr>
            <w:tcW w:w="2880" w:type="dxa"/>
            <w:vAlign w:val="bottom"/>
          </w:tcPr>
          <w:p>
            <w:pPr>
              <w:ind w:left="240"/>
              <w:spacing w:after="0"/>
              <w:rPr>
                <w:sz w:val="20"/>
                <w:szCs w:val="20"/>
                <w:color w:val="auto"/>
              </w:rPr>
            </w:pPr>
            <w:r>
              <w:rPr>
                <w:rFonts w:ascii="Arial" w:cs="Arial" w:eastAsia="Arial" w:hAnsi="Arial"/>
                <w:sz w:val="18"/>
                <w:szCs w:val="18"/>
                <w:color w:val="auto"/>
                <w:w w:val="91"/>
              </w:rPr>
              <w:t>Consolidated Statements of Income</w:t>
            </w:r>
          </w:p>
        </w:tc>
        <w:tc>
          <w:tcPr>
            <w:tcW w:w="1520" w:type="dxa"/>
            <w:vAlign w:val="bottom"/>
            <w:gridSpan w:val="2"/>
          </w:tcPr>
          <w:p>
            <w:pPr>
              <w:ind w:left="40"/>
              <w:spacing w:after="0"/>
              <w:rPr>
                <w:sz w:val="20"/>
                <w:szCs w:val="20"/>
                <w:color w:val="auto"/>
              </w:rPr>
            </w:pPr>
            <w:r>
              <w:rPr>
                <w:rFonts w:ascii="Arial" w:cs="Arial" w:eastAsia="Arial" w:hAnsi="Arial"/>
                <w:sz w:val="18"/>
                <w:szCs w:val="18"/>
                <w:color w:val="auto"/>
                <w:w w:val="89"/>
              </w:rPr>
              <w:t>September 30, 2017</w:t>
            </w:r>
          </w:p>
        </w:tc>
        <w:tc>
          <w:tcPr>
            <w:tcW w:w="16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25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2500" w:type="dxa"/>
            <w:vAlign w:val="bottom"/>
            <w:shd w:val="clear" w:color="auto" w:fill="CEFFE7"/>
          </w:tcPr>
          <w:p>
            <w:pPr>
              <w:ind w:left="40"/>
              <w:spacing w:after="0"/>
              <w:rPr>
                <w:sz w:val="20"/>
                <w:szCs w:val="20"/>
                <w:color w:val="auto"/>
              </w:rPr>
            </w:pPr>
            <w:r>
              <w:rPr>
                <w:rFonts w:ascii="Arial" w:cs="Arial" w:eastAsia="Arial" w:hAnsi="Arial"/>
                <w:sz w:val="18"/>
                <w:szCs w:val="18"/>
                <w:color w:val="auto"/>
                <w:w w:val="95"/>
              </w:rPr>
              <w:t>Gains and (losses) on cash flow</w:t>
            </w:r>
          </w:p>
        </w:tc>
        <w:tc>
          <w:tcPr>
            <w:tcW w:w="2880" w:type="dxa"/>
            <w:vAlign w:val="bottom"/>
            <w:shd w:val="clear" w:color="auto" w:fill="CEFFE7"/>
          </w:tcPr>
          <w:p>
            <w:pPr>
              <w:spacing w:after="0"/>
              <w:rPr>
                <w:sz w:val="19"/>
                <w:szCs w:val="19"/>
                <w:color w:val="auto"/>
              </w:rPr>
            </w:pPr>
          </w:p>
        </w:tc>
        <w:tc>
          <w:tcPr>
            <w:tcW w:w="440" w:type="dxa"/>
            <w:vAlign w:val="bottom"/>
            <w:shd w:val="clear" w:color="auto" w:fill="CEFFE7"/>
          </w:tcPr>
          <w:p>
            <w:pPr>
              <w:spacing w:after="0"/>
              <w:rPr>
                <w:sz w:val="19"/>
                <w:szCs w:val="19"/>
                <w:color w:val="auto"/>
              </w:rPr>
            </w:pPr>
          </w:p>
        </w:tc>
        <w:tc>
          <w:tcPr>
            <w:tcW w:w="108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36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30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300" w:type="dxa"/>
            <w:vAlign w:val="bottom"/>
            <w:shd w:val="clear" w:color="auto" w:fill="CEFFE7"/>
          </w:tcPr>
          <w:p>
            <w:pPr>
              <w:spacing w:after="0"/>
              <w:rPr>
                <w:sz w:val="19"/>
                <w:szCs w:val="19"/>
                <w:color w:val="auto"/>
              </w:rPr>
            </w:pPr>
          </w:p>
        </w:tc>
      </w:tr>
      <w:tr>
        <w:trPr>
          <w:trHeight w:val="237"/>
        </w:trPr>
        <w:tc>
          <w:tcPr>
            <w:tcW w:w="2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hedges:</w:t>
            </w:r>
          </w:p>
        </w:tc>
        <w:tc>
          <w:tcPr>
            <w:tcW w:w="2880" w:type="dxa"/>
            <w:vAlign w:val="bottom"/>
            <w:tcBorders>
              <w:bottom w:val="single" w:sz="8" w:color="CEFFE7"/>
            </w:tcBorders>
            <w:shd w:val="clear" w:color="auto" w:fill="CEFFE7"/>
          </w:tcPr>
          <w:p>
            <w:pPr>
              <w:spacing w:after="0"/>
              <w:rPr>
                <w:sz w:val="20"/>
                <w:szCs w:val="20"/>
                <w:color w:val="auto"/>
              </w:rPr>
            </w:pPr>
          </w:p>
        </w:tc>
        <w:tc>
          <w:tcPr>
            <w:tcW w:w="44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CEFFE7"/>
            </w:tcBorders>
            <w:shd w:val="clear" w:color="auto" w:fill="CEFFE7"/>
          </w:tcPr>
          <w:p>
            <w:pPr>
              <w:spacing w:after="0"/>
              <w:rPr>
                <w:sz w:val="20"/>
                <w:szCs w:val="20"/>
                <w:color w:val="auto"/>
              </w:rPr>
            </w:pPr>
          </w:p>
        </w:tc>
        <w:tc>
          <w:tcPr>
            <w:tcW w:w="1360" w:type="dxa"/>
            <w:vAlign w:val="bottom"/>
            <w:tcBorders>
              <w:bottom w:val="single" w:sz="8" w:color="CEFFE7"/>
            </w:tcBorders>
            <w:shd w:val="clear" w:color="auto" w:fill="CEFFE7"/>
          </w:tcPr>
          <w:p>
            <w:pPr>
              <w:spacing w:after="0"/>
              <w:rPr>
                <w:sz w:val="20"/>
                <w:szCs w:val="20"/>
                <w:color w:val="auto"/>
              </w:rPr>
            </w:pPr>
          </w:p>
        </w:tc>
        <w:tc>
          <w:tcPr>
            <w:tcW w:w="220" w:type="dxa"/>
            <w:vAlign w:val="bottom"/>
            <w:tcBorders>
              <w:bottom w:val="single" w:sz="8" w:color="CEFFE7"/>
            </w:tcBorders>
            <w:shd w:val="clear" w:color="auto" w:fill="CEFFE7"/>
          </w:tcPr>
          <w:p>
            <w:pPr>
              <w:spacing w:after="0"/>
              <w:rPr>
                <w:sz w:val="20"/>
                <w:szCs w:val="20"/>
                <w:color w:val="auto"/>
              </w:rPr>
            </w:pPr>
          </w:p>
        </w:tc>
        <w:tc>
          <w:tcPr>
            <w:tcW w:w="1300" w:type="dxa"/>
            <w:vAlign w:val="bottom"/>
            <w:tcBorders>
              <w:bottom w:val="single" w:sz="8" w:color="CEFFE7"/>
            </w:tcBorders>
            <w:shd w:val="clear" w:color="auto" w:fill="CEFFE7"/>
          </w:tcPr>
          <w:p>
            <w:pPr>
              <w:spacing w:after="0"/>
              <w:rPr>
                <w:sz w:val="20"/>
                <w:szCs w:val="20"/>
                <w:color w:val="auto"/>
              </w:rPr>
            </w:pPr>
          </w:p>
        </w:tc>
        <w:tc>
          <w:tcPr>
            <w:tcW w:w="180" w:type="dxa"/>
            <w:vAlign w:val="bottom"/>
            <w:tcBorders>
              <w:bottom w:val="single" w:sz="8" w:color="CEFFE7"/>
            </w:tcBorders>
            <w:shd w:val="clear" w:color="auto" w:fill="CEFFE7"/>
          </w:tcPr>
          <w:p>
            <w:pPr>
              <w:spacing w:after="0"/>
              <w:rPr>
                <w:sz w:val="20"/>
                <w:szCs w:val="20"/>
                <w:color w:val="auto"/>
              </w:rPr>
            </w:pPr>
          </w:p>
        </w:tc>
        <w:tc>
          <w:tcPr>
            <w:tcW w:w="1300" w:type="dxa"/>
            <w:vAlign w:val="bottom"/>
            <w:tcBorders>
              <w:bottom w:val="single" w:sz="8" w:color="CEFFE7"/>
            </w:tcBorders>
            <w:shd w:val="clear" w:color="auto" w:fill="CEFFE7"/>
          </w:tcPr>
          <w:p>
            <w:pPr>
              <w:spacing w:after="0"/>
              <w:rPr>
                <w:sz w:val="20"/>
                <w:szCs w:val="20"/>
                <w:color w:val="auto"/>
              </w:rPr>
            </w:pPr>
          </w:p>
        </w:tc>
      </w:tr>
      <w:tr>
        <w:trPr>
          <w:trHeight w:val="243"/>
        </w:trPr>
        <w:tc>
          <w:tcPr>
            <w:tcW w:w="250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8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(2,228)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(2,530)</w:t>
            </w:r>
          </w:p>
        </w:tc>
      </w:tr>
      <w:tr>
        <w:trPr>
          <w:trHeight w:val="27"/>
        </w:trPr>
        <w:tc>
          <w:tcPr>
            <w:tcW w:w="25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contracts</w:t>
            </w:r>
          </w:p>
        </w:tc>
        <w:tc>
          <w:tcPr>
            <w:tcW w:w="28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295</w:t>
            </w:r>
          </w:p>
        </w:tc>
        <w:tc>
          <w:tcPr>
            <w:tcW w:w="16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2,201</w:t>
            </w:r>
          </w:p>
        </w:tc>
        <w:tc>
          <w:tcPr>
            <w:tcW w:w="2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954</w:t>
            </w:r>
          </w:p>
        </w:tc>
        <w:tc>
          <w:tcPr>
            <w:tcW w:w="1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9,140</w:t>
            </w:r>
          </w:p>
        </w:tc>
      </w:tr>
      <w:tr>
        <w:trPr>
          <w:trHeight w:val="229"/>
        </w:trPr>
        <w:tc>
          <w:tcPr>
            <w:tcW w:w="250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2880" w:type="dxa"/>
            <w:vAlign w:val="bottom"/>
          </w:tcPr>
          <w:p>
            <w:pPr>
              <w:ind w:left="160"/>
              <w:spacing w:after="0"/>
              <w:rPr>
                <w:sz w:val="20"/>
                <w:szCs w:val="20"/>
                <w:color w:val="auto"/>
              </w:rPr>
            </w:pPr>
            <w:r>
              <w:rPr>
                <w:rFonts w:ascii="Arial" w:cs="Arial" w:eastAsia="Arial" w:hAnsi="Arial"/>
                <w:sz w:val="18"/>
                <w:szCs w:val="18"/>
                <w:color w:val="auto"/>
                <w:w w:val="97"/>
              </w:rPr>
              <w:t>Fuel, purchased power and cost of</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50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natural gas sold</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180"/>
        <w:spacing w:after="0"/>
        <w:tabs>
          <w:tab w:leader="none" w:pos="2640" w:val="left"/>
        </w:tabs>
        <w:rPr>
          <w:sz w:val="20"/>
          <w:szCs w:val="20"/>
          <w:color w:val="auto"/>
        </w:rPr>
      </w:pPr>
      <w:r>
        <w:rPr>
          <w:rFonts w:ascii="Arial" w:cs="Arial" w:eastAsia="Arial" w:hAnsi="Arial"/>
          <w:sz w:val="18"/>
          <w:szCs w:val="18"/>
          <w:color w:val="auto"/>
        </w:rPr>
        <w:t>Income tax</w:t>
      </w:r>
      <w:r>
        <w:rPr>
          <w:sz w:val="20"/>
          <w:szCs w:val="20"/>
          <w:color w:val="auto"/>
        </w:rPr>
        <w:tab/>
      </w:r>
      <w:r>
        <w:rPr>
          <w:rFonts w:ascii="Arial" w:cs="Arial" w:eastAsia="Arial" w:hAnsi="Arial"/>
          <w:sz w:val="16"/>
          <w:szCs w:val="16"/>
          <w:color w:val="auto"/>
        </w:rPr>
        <w:t>Income tax benefit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reclassification adjustments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related to cash flow hedges, net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tax</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 components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defined benefit plans:</w:t>
      </w:r>
    </w:p>
    <w:p>
      <w:pPr>
        <w:spacing w:after="0" w:line="49" w:lineRule="exact"/>
        <w:rPr>
          <w:sz w:val="20"/>
          <w:szCs w:val="20"/>
          <w:color w:val="auto"/>
        </w:rPr>
      </w:pPr>
    </w:p>
    <w:p>
      <w:pPr>
        <w:ind w:left="180"/>
        <w:spacing w:after="0"/>
        <w:tabs>
          <w:tab w:leader="none" w:pos="2640" w:val="left"/>
        </w:tabs>
        <w:rPr>
          <w:sz w:val="20"/>
          <w:szCs w:val="20"/>
          <w:color w:val="auto"/>
        </w:rPr>
      </w:pPr>
      <w:r>
        <w:rPr>
          <w:rFonts w:ascii="Arial" w:cs="Arial" w:eastAsia="Arial" w:hAnsi="Arial"/>
          <w:sz w:val="18"/>
          <w:szCs w:val="18"/>
          <w:color w:val="auto"/>
        </w:rPr>
        <w:t>Prior service cost</w:t>
      </w:r>
      <w:r>
        <w:rPr>
          <w:sz w:val="20"/>
          <w:szCs w:val="20"/>
          <w:color w:val="auto"/>
        </w:rPr>
        <w:tab/>
      </w:r>
      <w:r>
        <w:rPr>
          <w:rFonts w:ascii="Arial" w:cs="Arial" w:eastAsia="Arial" w:hAnsi="Arial"/>
          <w:sz w:val="16"/>
          <w:szCs w:val="16"/>
          <w:color w:val="auto"/>
        </w:rPr>
        <w:t>Operations and maintenance</w:t>
      </w:r>
    </w:p>
    <w:p>
      <w:pPr>
        <w:spacing w:after="0" w:line="63" w:lineRule="exact"/>
        <w:rPr>
          <w:sz w:val="20"/>
          <w:szCs w:val="20"/>
          <w:color w:val="auto"/>
        </w:rPr>
      </w:pPr>
    </w:p>
    <w:p>
      <w:pPr>
        <w:ind w:left="180"/>
        <w:spacing w:after="0"/>
        <w:tabs>
          <w:tab w:leader="none" w:pos="2640" w:val="left"/>
        </w:tabs>
        <w:rPr>
          <w:sz w:val="20"/>
          <w:szCs w:val="20"/>
          <w:color w:val="auto"/>
        </w:rPr>
      </w:pPr>
      <w:r>
        <w:rPr>
          <w:rFonts w:ascii="Arial" w:cs="Arial" w:eastAsia="Arial" w:hAnsi="Arial"/>
          <w:sz w:val="18"/>
          <w:szCs w:val="18"/>
          <w:color w:val="auto"/>
        </w:rPr>
        <w:t>Actuarial gain (loss)</w:t>
      </w:r>
      <w:r>
        <w:rPr>
          <w:sz w:val="20"/>
          <w:szCs w:val="20"/>
          <w:color w:val="auto"/>
        </w:rPr>
        <w:tab/>
      </w:r>
      <w:r>
        <w:rPr>
          <w:rFonts w:ascii="Arial" w:cs="Arial" w:eastAsia="Arial" w:hAnsi="Arial"/>
          <w:sz w:val="16"/>
          <w:szCs w:val="16"/>
          <w:color w:val="auto"/>
        </w:rPr>
        <w:t>Operations and maintenance</w:t>
      </w:r>
    </w:p>
    <w:p>
      <w:pPr>
        <w:spacing w:after="0" w:line="347" w:lineRule="exact"/>
        <w:rPr>
          <w:sz w:val="20"/>
          <w:szCs w:val="20"/>
          <w:color w:val="auto"/>
        </w:rPr>
      </w:pPr>
    </w:p>
    <w:p>
      <w:pPr>
        <w:ind w:left="180"/>
        <w:spacing w:after="0"/>
        <w:tabs>
          <w:tab w:leader="none" w:pos="2640" w:val="left"/>
        </w:tabs>
        <w:rPr>
          <w:sz w:val="20"/>
          <w:szCs w:val="20"/>
          <w:color w:val="auto"/>
        </w:rPr>
      </w:pPr>
      <w:r>
        <w:rPr>
          <w:rFonts w:ascii="Arial" w:cs="Arial" w:eastAsia="Arial" w:hAnsi="Arial"/>
          <w:sz w:val="18"/>
          <w:szCs w:val="18"/>
          <w:color w:val="auto"/>
        </w:rPr>
        <w:t>Income tax</w:t>
      </w:r>
      <w:r>
        <w:rPr>
          <w:sz w:val="20"/>
          <w:szCs w:val="20"/>
          <w:color w:val="auto"/>
        </w:rPr>
        <w:tab/>
      </w:r>
      <w:r>
        <w:rPr>
          <w:rFonts w:ascii="Arial" w:cs="Arial" w:eastAsia="Arial" w:hAnsi="Arial"/>
          <w:sz w:val="16"/>
          <w:szCs w:val="16"/>
          <w:color w:val="auto"/>
        </w:rPr>
        <w:t>Income tax benefit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reclassification adjustments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related to defined benefit plans, net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 tax</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reclassifications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128</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w:t>
            </w:r>
          </w:p>
        </w:tc>
        <w:tc>
          <w:tcPr>
            <w:tcW w:w="5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1,489</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(1,294)</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6,587</w:t>
            </w:r>
          </w:p>
        </w:tc>
      </w:tr>
      <w:tr>
        <w:trPr>
          <w:trHeight w:val="270"/>
        </w:trPr>
        <w:tc>
          <w:tcPr>
            <w:tcW w:w="6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5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(566)</w:t>
            </w:r>
          </w:p>
        </w:tc>
        <w:tc>
          <w:tcPr>
            <w:tcW w:w="5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(2,450)</w:t>
            </w:r>
          </w:p>
        </w:tc>
      </w:tr>
      <w:tr>
        <w:trPr>
          <w:trHeight w:val="27"/>
        </w:trPr>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642"/>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923</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(859)</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4,137</w:t>
            </w:r>
          </w:p>
        </w:tc>
      </w:tr>
      <w:tr>
        <w:trPr>
          <w:trHeight w:val="27"/>
        </w:trPr>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-814070</wp:posOffset>
            </wp:positionV>
            <wp:extent cx="724662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-462280</wp:posOffset>
            </wp:positionV>
            <wp:extent cx="7246620" cy="445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146050</wp:posOffset>
            </wp:positionV>
            <wp:extent cx="724662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0"/>
        </w:trPr>
        <w:tc>
          <w:tcPr>
            <w:tcW w:w="6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w:t>
            </w:r>
          </w:p>
        </w:tc>
        <w:tc>
          <w:tcPr>
            <w:tcW w:w="6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5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(1,242)</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(1,483)</w:t>
            </w:r>
          </w:p>
        </w:tc>
      </w:tr>
      <w:tr>
        <w:trPr>
          <w:trHeight w:val="27"/>
        </w:trPr>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w:t>
            </w:r>
          </w:p>
        </w:tc>
        <w:tc>
          <w:tcPr>
            <w:tcW w:w="6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(1,096)</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70"/>
        </w:trPr>
        <w:tc>
          <w:tcPr>
            <w:tcW w:w="6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6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152</w:t>
            </w:r>
          </w:p>
        </w:tc>
        <w:tc>
          <w:tcPr>
            <w:tcW w:w="5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393</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460</w:t>
            </w:r>
          </w:p>
        </w:tc>
      </w:tr>
      <w:tr>
        <w:trPr>
          <w:trHeight w:val="27"/>
        </w:trPr>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655"/>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(703)</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7"/>
        </w:trPr>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(535)</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636</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(1,562)</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3,279</w:t>
            </w:r>
          </w:p>
        </w:tc>
      </w:tr>
      <w:tr>
        <w:trPr>
          <w:trHeight w:val="27"/>
        </w:trPr>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-1174115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-822960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-205105</wp:posOffset>
            </wp:positionV>
            <wp:extent cx="724662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620"/>
            <w:col w:w="6040"/>
          </w:cols>
          <w:pgMar w:left="240" w:top="584"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84"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color w:val="auto"/>
        </w:rPr>
        <w:t>Balances by classification included within AOCI, net of tax on the accompanying Condensed Consolidated Balance Sheets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60" w:type="dxa"/>
            <w:vAlign w:val="bottom"/>
            <w:gridSpan w:val="3"/>
          </w:tcPr>
          <w:p>
            <w:pPr>
              <w:jc w:val="right"/>
              <w:ind w:right="430"/>
              <w:spacing w:after="0"/>
              <w:rPr>
                <w:sz w:val="20"/>
                <w:szCs w:val="20"/>
                <w:color w:val="auto"/>
              </w:rPr>
            </w:pPr>
            <w:r>
              <w:rPr>
                <w:rFonts w:ascii="Arial" w:cs="Arial" w:eastAsia="Arial" w:hAnsi="Arial"/>
                <w:sz w:val="18"/>
                <w:szCs w:val="18"/>
                <w:color w:val="auto"/>
                <w:w w:val="96"/>
              </w:rPr>
              <w:t>Derivatives Designated as Cash Flow Hedges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vMerge w:val="restart"/>
          </w:tcPr>
          <w:p>
            <w:pPr>
              <w:jc w:val="center"/>
              <w:ind w:right="70"/>
              <w:spacing w:after="0"/>
              <w:rPr>
                <w:sz w:val="20"/>
                <w:szCs w:val="20"/>
                <w:color w:val="auto"/>
              </w:rPr>
            </w:pPr>
            <w:r>
              <w:rPr>
                <w:rFonts w:ascii="Arial" w:cs="Arial" w:eastAsia="Arial" w:hAnsi="Arial"/>
                <w:sz w:val="18"/>
                <w:szCs w:val="18"/>
                <w:color w:val="auto"/>
                <w:w w:val="92"/>
              </w:rPr>
              <w:t>Employee Benefit</w:t>
            </w: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6"/>
              </w:rPr>
              <w:t>Interest Rate Swaps</w:t>
            </w:r>
          </w:p>
        </w:tc>
        <w:tc>
          <w:tcPr>
            <w:tcW w:w="160" w:type="dxa"/>
            <w:vAlign w:val="bottom"/>
          </w:tcPr>
          <w:p>
            <w:pPr>
              <w:spacing w:after="0"/>
              <w:rPr>
                <w:sz w:val="20"/>
                <w:szCs w:val="20"/>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w w:val="92"/>
              </w:rPr>
              <w:t>Commodity Derivatives</w:t>
            </w:r>
          </w:p>
        </w:tc>
        <w:tc>
          <w:tcPr>
            <w:tcW w:w="160" w:type="dxa"/>
            <w:vAlign w:val="bottom"/>
          </w:tcPr>
          <w:p>
            <w:pPr>
              <w:spacing w:after="0"/>
              <w:rPr>
                <w:sz w:val="20"/>
                <w:szCs w:val="20"/>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color w:val="auto"/>
                <w:w w:val="88"/>
              </w:rPr>
              <w:t>Plans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 of December 31, 2016</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(18,109)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(16,541)</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(34,883)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before reclassifications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755</w:t>
            </w:r>
          </w:p>
        </w:tc>
        <w:tc>
          <w:tcPr>
            <w:tcW w:w="1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Amounts reclassified from AOCI</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1,449</w:t>
            </w: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September 30, 2017</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(16,660)</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(15,838)</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(32,566)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4060" w:type="dxa"/>
            <w:vAlign w:val="bottom"/>
            <w:gridSpan w:val="3"/>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54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gridSpan w:val="3"/>
          </w:tcPr>
          <w:p>
            <w:pPr>
              <w:jc w:val="right"/>
              <w:ind w:right="430"/>
              <w:spacing w:after="0"/>
              <w:rPr>
                <w:sz w:val="20"/>
                <w:szCs w:val="20"/>
                <w:color w:val="auto"/>
              </w:rPr>
            </w:pPr>
            <w:r>
              <w:rPr>
                <w:rFonts w:ascii="Arial" w:cs="Arial" w:eastAsia="Arial" w:hAnsi="Arial"/>
                <w:sz w:val="18"/>
                <w:szCs w:val="18"/>
                <w:color w:val="auto"/>
                <w:w w:val="96"/>
              </w:rPr>
              <w:t>Derivatives Designated as Cash Flow Hedges</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CEFFE7"/>
            </w:tcBorders>
          </w:tcPr>
          <w:p>
            <w:pPr>
              <w:spacing w:after="0"/>
              <w:rPr>
                <w:sz w:val="2"/>
                <w:szCs w:val="2"/>
                <w:color w:val="auto"/>
              </w:rPr>
            </w:pPr>
          </w:p>
        </w:tc>
        <w:tc>
          <w:tcPr>
            <w:tcW w:w="1540" w:type="dxa"/>
            <w:vAlign w:val="bottom"/>
            <w:tcBorders>
              <w:bottom w:val="single" w:sz="8" w:color="CEFFE7"/>
            </w:tcBorders>
          </w:tcPr>
          <w:p>
            <w:pPr>
              <w:spacing w:after="0"/>
              <w:rPr>
                <w:sz w:val="2"/>
                <w:szCs w:val="2"/>
                <w:color w:val="auto"/>
              </w:rPr>
            </w:pPr>
          </w:p>
        </w:tc>
        <w:tc>
          <w:tcPr>
            <w:tcW w:w="340" w:type="dxa"/>
            <w:vAlign w:val="bottom"/>
            <w:tcBorders>
              <w:bottom w:val="single" w:sz="8" w:color="CEFFE7"/>
            </w:tcBorders>
          </w:tcPr>
          <w:p>
            <w:pPr>
              <w:spacing w:after="0"/>
              <w:rPr>
                <w:sz w:val="2"/>
                <w:szCs w:val="2"/>
                <w:color w:val="auto"/>
              </w:rPr>
            </w:pPr>
          </w:p>
        </w:tc>
        <w:tc>
          <w:tcPr>
            <w:tcW w:w="1140" w:type="dxa"/>
            <w:vAlign w:val="bottom"/>
            <w:tcBorders>
              <w:bottom w:val="single" w:sz="8" w:color="CEFFE7"/>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200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90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540" w:type="dxa"/>
            <w:vAlign w:val="bottom"/>
            <w:shd w:val="clear" w:color="auto" w:fill="CEFFE7"/>
          </w:tcPr>
          <w:p>
            <w:pPr>
              <w:jc w:val="center"/>
              <w:ind w:right="70"/>
              <w:spacing w:after="0"/>
              <w:rPr>
                <w:sz w:val="20"/>
                <w:szCs w:val="20"/>
                <w:color w:val="auto"/>
              </w:rPr>
            </w:pPr>
            <w:r>
              <w:rPr>
                <w:rFonts w:ascii="Arial" w:cs="Arial" w:eastAsia="Arial" w:hAnsi="Arial"/>
                <w:sz w:val="18"/>
                <w:szCs w:val="18"/>
                <w:color w:val="auto"/>
                <w:w w:val="92"/>
              </w:rPr>
              <w:t>Employee Benefit</w:t>
            </w:r>
          </w:p>
        </w:tc>
        <w:tc>
          <w:tcPr>
            <w:tcW w:w="34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200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w w:val="96"/>
              </w:rPr>
              <w:t>Interest Rate Swaps</w:t>
            </w:r>
          </w:p>
        </w:tc>
        <w:tc>
          <w:tcPr>
            <w:tcW w:w="160" w:type="dxa"/>
            <w:vAlign w:val="bottom"/>
            <w:tcBorders>
              <w:bottom w:val="single" w:sz="8" w:color="CEFFE7"/>
            </w:tcBorders>
            <w:shd w:val="clear" w:color="auto" w:fill="CEFFE7"/>
          </w:tcPr>
          <w:p>
            <w:pPr>
              <w:spacing w:after="0"/>
              <w:rPr>
                <w:sz w:val="22"/>
                <w:szCs w:val="22"/>
                <w:color w:val="auto"/>
              </w:rPr>
            </w:pPr>
          </w:p>
        </w:tc>
        <w:tc>
          <w:tcPr>
            <w:tcW w:w="19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2"/>
              </w:rPr>
              <w:t>Commodity Derivatives</w:t>
            </w:r>
          </w:p>
        </w:tc>
        <w:tc>
          <w:tcPr>
            <w:tcW w:w="160" w:type="dxa"/>
            <w:vAlign w:val="bottom"/>
            <w:tcBorders>
              <w:bottom w:val="single" w:sz="8" w:color="CEFFE7"/>
            </w:tcBorders>
            <w:shd w:val="clear" w:color="auto" w:fill="CEFFE7"/>
          </w:tcPr>
          <w:p>
            <w:pPr>
              <w:spacing w:after="0"/>
              <w:rPr>
                <w:sz w:val="22"/>
                <w:szCs w:val="22"/>
                <w:color w:val="auto"/>
              </w:rPr>
            </w:pPr>
          </w:p>
        </w:tc>
        <w:tc>
          <w:tcPr>
            <w:tcW w:w="1540" w:type="dxa"/>
            <w:vAlign w:val="bottom"/>
            <w:tcBorders>
              <w:bottom w:val="single" w:sz="8" w:color="CEFFE7"/>
            </w:tcBorders>
            <w:shd w:val="clear" w:color="auto" w:fill="CEFFE7"/>
          </w:tcPr>
          <w:p>
            <w:pPr>
              <w:jc w:val="center"/>
              <w:ind w:right="50"/>
              <w:spacing w:after="0"/>
              <w:rPr>
                <w:sz w:val="20"/>
                <w:szCs w:val="20"/>
                <w:color w:val="auto"/>
              </w:rPr>
            </w:pPr>
            <w:r>
              <w:rPr>
                <w:rFonts w:ascii="Arial" w:cs="Arial" w:eastAsia="Arial" w:hAnsi="Arial"/>
                <w:sz w:val="18"/>
                <w:szCs w:val="18"/>
                <w:color w:val="auto"/>
                <w:w w:val="88"/>
              </w:rPr>
              <w:t>Plans</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7,066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(15,780)</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before reclassifications</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(20,200)</w:t>
            </w: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Amounts reclassified from AOCI</w:t>
            </w:r>
          </w:p>
        </w:tc>
        <w:tc>
          <w:tcPr>
            <w:tcW w:w="280" w:type="dxa"/>
            <w:vAlign w:val="bottom"/>
            <w:tcBorders>
              <w:bottom w:val="single" w:sz="8" w:color="CEFFE7"/>
            </w:tcBorders>
            <w:shd w:val="clear" w:color="auto" w:fill="CEFFE7"/>
          </w:tcPr>
          <w:p>
            <w:pPr>
              <w:spacing w:after="0"/>
              <w:rPr>
                <w:sz w:val="23"/>
                <w:szCs w:val="23"/>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1,644</w:t>
            </w:r>
          </w:p>
        </w:tc>
        <w:tc>
          <w:tcPr>
            <w:tcW w:w="160" w:type="dxa"/>
            <w:vAlign w:val="bottom"/>
            <w:tcBorders>
              <w:bottom w:val="single" w:sz="8" w:color="CEFFE7"/>
            </w:tcBorders>
            <w:shd w:val="clear" w:color="auto" w:fill="CEFFE7"/>
          </w:tcPr>
          <w:p>
            <w:pPr>
              <w:spacing w:after="0"/>
              <w:rPr>
                <w:sz w:val="23"/>
                <w:szCs w:val="23"/>
                <w:color w:val="auto"/>
              </w:rPr>
            </w:pPr>
          </w:p>
        </w:tc>
        <w:tc>
          <w:tcPr>
            <w:tcW w:w="1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(5,781)</w:t>
            </w:r>
          </w:p>
        </w:tc>
        <w:tc>
          <w:tcPr>
            <w:tcW w:w="160" w:type="dxa"/>
            <w:vAlign w:val="bottom"/>
            <w:tcBorders>
              <w:bottom w:val="single" w:sz="8" w:color="CEFFE7"/>
            </w:tcBorders>
            <w:shd w:val="clear" w:color="auto" w:fill="CEFFE7"/>
          </w:tcPr>
          <w:p>
            <w:pPr>
              <w:spacing w:after="0"/>
              <w:rPr>
                <w:sz w:val="23"/>
                <w:szCs w:val="23"/>
                <w:color w:val="auto"/>
              </w:rPr>
            </w:pPr>
          </w:p>
        </w:tc>
        <w:tc>
          <w:tcPr>
            <w:tcW w:w="15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858</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Ending Balance September 30, 2016</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(32,951)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(14)  SUPPLEMENTAL DISCLOSURE OF CASH FLOW INFORMATION</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94"/>
        </w:trPr>
        <w:tc>
          <w:tcPr>
            <w:tcW w:w="7900" w:type="dxa"/>
            <w:vAlign w:val="bottom"/>
          </w:tcPr>
          <w:p>
            <w:pPr>
              <w:ind w:left="40"/>
              <w:spacing w:after="0"/>
              <w:rPr>
                <w:sz w:val="20"/>
                <w:szCs w:val="20"/>
                <w:color w:val="auto"/>
              </w:rPr>
            </w:pPr>
            <w:r>
              <w:rPr>
                <w:rFonts w:ascii="Arial" w:cs="Arial" w:eastAsia="Arial" w:hAnsi="Arial"/>
                <w:sz w:val="18"/>
                <w:szCs w:val="18"/>
                <w:color w:val="auto"/>
              </w:rPr>
              <w:t>Nine Months Ended</w:t>
            </w:r>
          </w:p>
        </w:tc>
        <w:tc>
          <w:tcPr>
            <w:tcW w:w="120" w:type="dxa"/>
            <w:vAlign w:val="bottom"/>
          </w:tcPr>
          <w:p>
            <w:pPr>
              <w:spacing w:after="0"/>
              <w:rPr>
                <w:sz w:val="24"/>
                <w:szCs w:val="24"/>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w w:val="88"/>
              </w:rPr>
              <w:t>September 30, 2017</w:t>
            </w:r>
          </w:p>
        </w:tc>
        <w:tc>
          <w:tcPr>
            <w:tcW w:w="180" w:type="dxa"/>
            <w:vAlign w:val="bottom"/>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w w:val="88"/>
              </w:rPr>
              <w:t>September 30, 2016</w:t>
            </w:r>
          </w:p>
        </w:tc>
      </w:tr>
      <w:tr>
        <w:trPr>
          <w:trHeight w:val="27"/>
        </w:trPr>
        <w:tc>
          <w:tcPr>
            <w:tcW w:w="7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3"/>
          </w:tcPr>
          <w:p>
            <w:pPr>
              <w:jc w:val="right"/>
              <w:ind w:right="1150"/>
              <w:spacing w:after="0"/>
              <w:rPr>
                <w:sz w:val="20"/>
                <w:szCs w:val="20"/>
                <w:color w:val="auto"/>
              </w:rPr>
            </w:pPr>
            <w:r>
              <w:rPr>
                <w:rFonts w:ascii="Arial" w:cs="Arial" w:eastAsia="Arial" w:hAnsi="Arial"/>
                <w:sz w:val="18"/>
                <w:szCs w:val="18"/>
                <w:color w:val="auto"/>
              </w:rPr>
              <w:t>(in thousands)</w:t>
            </w: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Property, plant and equipment acquired with accrued liabilities</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35,065</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44,140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Increase (decrease) in capitalized assets associated with asset retirement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1,362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(2,285)</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324"/>
        </w:trPr>
        <w:tc>
          <w:tcPr>
            <w:tcW w:w="790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164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(paid) refunded during the period —</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Interest (net of amounts capitalized)</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(101,840)</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(82,639)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Income taxes, net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(1,168)</w:t>
            </w:r>
          </w:p>
        </w:tc>
      </w:tr>
      <w:tr>
        <w:trPr>
          <w:trHeight w:val="891"/>
        </w:trPr>
        <w:tc>
          <w:tcPr>
            <w:tcW w:w="7900" w:type="dxa"/>
            <w:vAlign w:val="bottom"/>
          </w:tcPr>
          <w:p>
            <w:pPr>
              <w:ind w:left="56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4" w:name="page35"/>
    <w:bookmarkEnd w:id="34"/>
    <w:p>
      <w:pPr>
        <w:ind w:right="8580" w:firstLine="8"/>
        <w:spacing w:after="0" w:line="530"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EMPLOYEE BENEFIT PLANS </w:t>
      </w:r>
      <w:r>
        <w:rPr>
          <w:rFonts w:ascii="Arial" w:cs="Arial" w:eastAsia="Arial" w:hAnsi="Arial"/>
          <w:sz w:val="17"/>
          <w:szCs w:val="17"/>
          <w:u w:val="single" w:color="auto"/>
          <w:color w:val="auto"/>
        </w:rPr>
        <w:t>Defined Benefit Pension Plans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Pension Plans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560" w:type="dxa"/>
            <w:vAlign w:val="bottom"/>
            <w:gridSpan w:val="5"/>
          </w:tcPr>
          <w:p>
            <w:pPr>
              <w:ind w:left="440"/>
              <w:spacing w:after="0"/>
              <w:rPr>
                <w:sz w:val="20"/>
                <w:szCs w:val="20"/>
                <w:color w:val="auto"/>
              </w:rPr>
            </w:pPr>
            <w:r>
              <w:rPr>
                <w:rFonts w:ascii="Arial" w:cs="Arial" w:eastAsia="Arial" w:hAnsi="Arial"/>
                <w:sz w:val="18"/>
                <w:szCs w:val="18"/>
                <w:color w:val="auto"/>
              </w:rPr>
              <w:t>Three Months Ended September 30,</w:t>
            </w:r>
          </w:p>
        </w:tc>
        <w:tc>
          <w:tcPr>
            <w:tcW w:w="280" w:type="dxa"/>
            <w:vAlign w:val="bottom"/>
          </w:tcPr>
          <w:p>
            <w:pPr>
              <w:spacing w:after="0"/>
              <w:rPr>
                <w:sz w:val="20"/>
                <w:szCs w:val="20"/>
                <w:color w:val="auto"/>
              </w:rPr>
            </w:pPr>
          </w:p>
        </w:tc>
        <w:tc>
          <w:tcPr>
            <w:tcW w:w="3120" w:type="dxa"/>
            <w:vAlign w:val="bottom"/>
            <w:gridSpan w:val="3"/>
          </w:tcPr>
          <w:p>
            <w:pPr>
              <w:jc w:val="right"/>
              <w:ind w:right="330"/>
              <w:spacing w:after="0"/>
              <w:rPr>
                <w:sz w:val="20"/>
                <w:szCs w:val="20"/>
                <w:color w:val="auto"/>
              </w:rPr>
            </w:pPr>
            <w:r>
              <w:rPr>
                <w:rFonts w:ascii="Arial" w:cs="Arial" w:eastAsia="Arial" w:hAnsi="Arial"/>
                <w:sz w:val="18"/>
                <w:szCs w:val="18"/>
                <w:color w:val="auto"/>
                <w:w w:val="95"/>
              </w:rPr>
              <w:t>Nine Months Ended September 30,</w:t>
            </w:r>
          </w:p>
        </w:tc>
      </w:tr>
      <w:tr>
        <w:trPr>
          <w:trHeight w:val="270"/>
        </w:trPr>
        <w:tc>
          <w:tcPr>
            <w:tcW w:w="4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2017</w:t>
            </w:r>
          </w:p>
        </w:tc>
        <w:tc>
          <w:tcPr>
            <w:tcW w:w="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446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10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1,759</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2,078</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5,276</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6,234</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3,880</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11,640</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11,808</w:t>
            </w: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110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(6,130)</w:t>
            </w:r>
          </w:p>
        </w:tc>
        <w:tc>
          <w:tcPr>
            <w:tcW w:w="4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(5,766)</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(18,388)</w:t>
            </w:r>
          </w:p>
        </w:tc>
        <w:tc>
          <w:tcPr>
            <w:tcW w:w="4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(17,297)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1100" w:type="dxa"/>
            <w:vAlign w:val="bottom"/>
            <w:tcBorders>
              <w:bottom w:val="single" w:sz="8" w:color="CEFFE7"/>
            </w:tcBorders>
            <w:shd w:val="clear" w:color="auto" w:fill="CEFFE7"/>
          </w:tcPr>
          <w:p>
            <w:pPr>
              <w:spacing w:after="0"/>
              <w:rPr>
                <w:sz w:val="23"/>
                <w:szCs w:val="23"/>
                <w:color w:val="auto"/>
              </w:rPr>
            </w:pP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1,002</w:t>
            </w:r>
          </w:p>
        </w:tc>
        <w:tc>
          <w:tcPr>
            <w:tcW w:w="4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1,793</w:t>
            </w:r>
          </w:p>
        </w:tc>
        <w:tc>
          <w:tcPr>
            <w:tcW w:w="12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3,005</w:t>
            </w:r>
          </w:p>
        </w:tc>
        <w:tc>
          <w:tcPr>
            <w:tcW w:w="4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5,379</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526</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6,169</w:t>
            </w: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Benefit Postretirement Healthcare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Postretirement Healthcare Plans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560" w:type="dxa"/>
            <w:vAlign w:val="bottom"/>
            <w:gridSpan w:val="5"/>
          </w:tcPr>
          <w:p>
            <w:pPr>
              <w:ind w:left="440"/>
              <w:spacing w:after="0"/>
              <w:rPr>
                <w:sz w:val="20"/>
                <w:szCs w:val="20"/>
                <w:color w:val="auto"/>
              </w:rPr>
            </w:pPr>
            <w:r>
              <w:rPr>
                <w:rFonts w:ascii="Arial" w:cs="Arial" w:eastAsia="Arial" w:hAnsi="Arial"/>
                <w:sz w:val="18"/>
                <w:szCs w:val="18"/>
                <w:color w:val="auto"/>
              </w:rPr>
              <w:t>Three Months Ended September 30,</w:t>
            </w:r>
          </w:p>
        </w:tc>
        <w:tc>
          <w:tcPr>
            <w:tcW w:w="280" w:type="dxa"/>
            <w:vAlign w:val="bottom"/>
          </w:tcPr>
          <w:p>
            <w:pPr>
              <w:spacing w:after="0"/>
              <w:rPr>
                <w:sz w:val="20"/>
                <w:szCs w:val="20"/>
                <w:color w:val="auto"/>
              </w:rPr>
            </w:pPr>
          </w:p>
        </w:tc>
        <w:tc>
          <w:tcPr>
            <w:tcW w:w="3120" w:type="dxa"/>
            <w:vAlign w:val="bottom"/>
            <w:gridSpan w:val="3"/>
          </w:tcPr>
          <w:p>
            <w:pPr>
              <w:jc w:val="right"/>
              <w:ind w:right="330"/>
              <w:spacing w:after="0"/>
              <w:rPr>
                <w:sz w:val="20"/>
                <w:szCs w:val="20"/>
                <w:color w:val="auto"/>
              </w:rPr>
            </w:pPr>
            <w:r>
              <w:rPr>
                <w:rFonts w:ascii="Arial" w:cs="Arial" w:eastAsia="Arial" w:hAnsi="Arial"/>
                <w:sz w:val="18"/>
                <w:szCs w:val="18"/>
                <w:color w:val="auto"/>
                <w:w w:val="95"/>
              </w:rPr>
              <w:t>Nine Months Ended September 30,</w:t>
            </w:r>
          </w:p>
        </w:tc>
      </w:tr>
      <w:tr>
        <w:trPr>
          <w:trHeight w:val="270"/>
        </w:trPr>
        <w:tc>
          <w:tcPr>
            <w:tcW w:w="4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2017</w:t>
            </w: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4460" w:type="dxa"/>
            <w:vAlign w:val="bottom"/>
            <w:tcBorders>
              <w:bottom w:val="single" w:sz="8" w:color="CEFFE7"/>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140" w:type="dxa"/>
            <w:vAlign w:val="bottom"/>
            <w:tcBorders>
              <w:bottom w:val="single" w:sz="8" w:color="CEFFE7"/>
            </w:tcBorders>
            <w:shd w:val="clear" w:color="auto" w:fill="CEFFE7"/>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575</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1,725</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1,401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1,600</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1,455</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114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(79)</w:t>
            </w:r>
          </w:p>
        </w:tc>
        <w:tc>
          <w:tcPr>
            <w:tcW w:w="4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(237)</w:t>
            </w:r>
          </w:p>
        </w:tc>
        <w:tc>
          <w:tcPr>
            <w:tcW w:w="4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Prior service cost (benefit)</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(327)</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1140" w:type="dxa"/>
            <w:vAlign w:val="bottom"/>
            <w:tcBorders>
              <w:bottom w:val="single" w:sz="8" w:color="CEFFE7"/>
            </w:tcBorders>
            <w:shd w:val="clear" w:color="auto" w:fill="CEFFE7"/>
          </w:tcPr>
          <w:p>
            <w:pPr>
              <w:spacing w:after="0"/>
              <w:rPr>
                <w:sz w:val="23"/>
                <w:szCs w:val="23"/>
                <w:color w:val="auto"/>
              </w:rPr>
            </w:pPr>
          </w:p>
        </w:tc>
        <w:tc>
          <w:tcPr>
            <w:tcW w:w="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w:t>
            </w:r>
          </w:p>
        </w:tc>
        <w:tc>
          <w:tcPr>
            <w:tcW w:w="4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375</w:t>
            </w:r>
          </w:p>
        </w:tc>
        <w:tc>
          <w:tcPr>
            <w:tcW w:w="4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252</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1,045</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2,577</w:t>
            </w:r>
          </w:p>
        </w:tc>
      </w:tr>
      <w:tr>
        <w:trPr>
          <w:trHeight w:val="20"/>
        </w:trPr>
        <w:tc>
          <w:tcPr>
            <w:tcW w:w="4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Non-qualified Defined Benefit and Defined Contribution Plans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components of net periodic benefit cost for the Supplemental Non-qualified Defined Benefit and Defined Contribution Plans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560" w:type="dxa"/>
            <w:vAlign w:val="bottom"/>
            <w:gridSpan w:val="5"/>
          </w:tcPr>
          <w:p>
            <w:pPr>
              <w:ind w:left="440"/>
              <w:spacing w:after="0"/>
              <w:rPr>
                <w:sz w:val="20"/>
                <w:szCs w:val="20"/>
                <w:color w:val="auto"/>
              </w:rPr>
            </w:pPr>
            <w:r>
              <w:rPr>
                <w:rFonts w:ascii="Arial" w:cs="Arial" w:eastAsia="Arial" w:hAnsi="Arial"/>
                <w:sz w:val="18"/>
                <w:szCs w:val="18"/>
                <w:color w:val="auto"/>
              </w:rPr>
              <w:t>Three Months Ended September 30,</w:t>
            </w:r>
          </w:p>
        </w:tc>
        <w:tc>
          <w:tcPr>
            <w:tcW w:w="280" w:type="dxa"/>
            <w:vAlign w:val="bottom"/>
          </w:tcPr>
          <w:p>
            <w:pPr>
              <w:spacing w:after="0"/>
              <w:rPr>
                <w:sz w:val="20"/>
                <w:szCs w:val="20"/>
                <w:color w:val="auto"/>
              </w:rPr>
            </w:pPr>
          </w:p>
        </w:tc>
        <w:tc>
          <w:tcPr>
            <w:tcW w:w="3120" w:type="dxa"/>
            <w:vAlign w:val="bottom"/>
            <w:gridSpan w:val="3"/>
          </w:tcPr>
          <w:p>
            <w:pPr>
              <w:jc w:val="right"/>
              <w:ind w:right="330"/>
              <w:spacing w:after="0"/>
              <w:rPr>
                <w:sz w:val="20"/>
                <w:szCs w:val="20"/>
                <w:color w:val="auto"/>
              </w:rPr>
            </w:pPr>
            <w:r>
              <w:rPr>
                <w:rFonts w:ascii="Arial" w:cs="Arial" w:eastAsia="Arial" w:hAnsi="Arial"/>
                <w:sz w:val="18"/>
                <w:szCs w:val="18"/>
                <w:color w:val="auto"/>
                <w:w w:val="95"/>
              </w:rPr>
              <w:t>Nine Months Ended September 30,</w:t>
            </w:r>
          </w:p>
        </w:tc>
      </w:tr>
      <w:tr>
        <w:trPr>
          <w:trHeight w:val="270"/>
        </w:trPr>
        <w:tc>
          <w:tcPr>
            <w:tcW w:w="4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446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10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612</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2,048</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1,530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319</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957</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943</w:t>
            </w: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Prior service cost</w:t>
            </w:r>
          </w:p>
        </w:tc>
        <w:tc>
          <w:tcPr>
            <w:tcW w:w="110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loss (gain)</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751</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621</w:t>
            </w:r>
          </w:p>
        </w:tc>
      </w:tr>
      <w:tr>
        <w:trPr>
          <w:trHeight w:val="27"/>
        </w:trPr>
        <w:tc>
          <w:tcPr>
            <w:tcW w:w="446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periodic benefit cost</w:t>
            </w:r>
          </w:p>
        </w:tc>
        <w:tc>
          <w:tcPr>
            <w:tcW w:w="1100" w:type="dxa"/>
            <w:vAlign w:val="bottom"/>
            <w:tcBorders>
              <w:bottom w:val="single" w:sz="8" w:color="auto"/>
            </w:tcBorders>
            <w:shd w:val="clear" w:color="auto" w:fill="CEFFE7"/>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1,182</w:t>
            </w:r>
          </w:p>
        </w:tc>
        <w:tc>
          <w:tcPr>
            <w:tcW w:w="44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3,757</w:t>
            </w:r>
          </w:p>
        </w:tc>
        <w:tc>
          <w:tcPr>
            <w:tcW w:w="44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3,096</w:t>
            </w: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Contributions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Contributions to the Defined Benefit Pension Plan are cash contributions made directly to the Pension Plan Trust account. On July 24, 2017, we made contributions to the Defined Benefit Pension Plan in the amount of approximately $13 million. On September 15, 2017, we made an additional contribution of $15 million to reduce our Pension Benefit Guaranty Corporation premiums and offset the forecasted increase in pension expense due to low bond yields which impact the pension discount rate. Contributions to the Healthcare and Supplemental Plans are made in the form of benefit payments. Contributions made in 2017 and anticipated contributions for 2017 and 2018 are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Additional</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92"/>
              </w:rPr>
              <w:t>Contributions Made</w:t>
            </w:r>
          </w:p>
        </w:tc>
        <w:tc>
          <w:tcPr>
            <w:tcW w:w="24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color w:val="auto"/>
                <w:w w:val="97"/>
              </w:rPr>
              <w:t>Contributions Made</w:t>
            </w:r>
          </w:p>
        </w:tc>
        <w:tc>
          <w:tcPr>
            <w:tcW w:w="24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9"/>
              </w:rPr>
              <w:t>Contributions</w:t>
            </w: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9"/>
              </w:rPr>
              <w:t>Contributions</w:t>
            </w:r>
          </w:p>
        </w:tc>
      </w:tr>
      <w:tr>
        <w:trPr>
          <w:trHeight w:val="256"/>
        </w:trPr>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2"/>
                <w:szCs w:val="22"/>
                <w:color w:val="auto"/>
              </w:rPr>
            </w:pPr>
          </w:p>
        </w:tc>
        <w:tc>
          <w:tcPr>
            <w:tcW w:w="1820" w:type="dxa"/>
            <w:vAlign w:val="bottom"/>
          </w:tcPr>
          <w:p>
            <w:pPr>
              <w:jc w:val="right"/>
              <w:ind w:right="170"/>
              <w:spacing w:after="0"/>
              <w:rPr>
                <w:sz w:val="20"/>
                <w:szCs w:val="20"/>
                <w:color w:val="auto"/>
              </w:rPr>
            </w:pPr>
            <w:r>
              <w:rPr>
                <w:rFonts w:ascii="Arial" w:cs="Arial" w:eastAsia="Arial" w:hAnsi="Arial"/>
                <w:sz w:val="18"/>
                <w:szCs w:val="18"/>
                <w:color w:val="auto"/>
                <w:w w:val="97"/>
              </w:rPr>
              <w:t>Nine Months Ended</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w w:val="94"/>
              </w:rPr>
              <w:t>Anticipated for 2017</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w w:val="94"/>
              </w:rPr>
              <w:t>Anticipated for 2018</w:t>
            </w:r>
          </w:p>
        </w:tc>
      </w:tr>
      <w:tr>
        <w:trPr>
          <w:trHeight w:val="230"/>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88"/>
              </w:rPr>
              <w:t>September 30, 2017</w:t>
            </w:r>
          </w:p>
        </w:tc>
        <w:tc>
          <w:tcPr>
            <w:tcW w:w="24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color w:val="auto"/>
                <w:w w:val="93"/>
              </w:rPr>
              <w:t>September 30, 2017</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1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Defined Benefit Pension Plan</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27,700</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27,700</w:t>
            </w:r>
          </w:p>
        </w:tc>
        <w:tc>
          <w:tcPr>
            <w:tcW w:w="24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12,700</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1"/>
              </w:rPr>
              <w:t>Non-pension Defined Benefit Postretirement Healthcare</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Plans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3,810</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1,270</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5,115</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4120" w:type="dxa"/>
            <w:vAlign w:val="bottom"/>
            <w:shd w:val="clear" w:color="auto" w:fill="CEFFE7"/>
          </w:tcPr>
          <w:p>
            <w:pPr>
              <w:ind w:left="40"/>
              <w:spacing w:after="0"/>
              <w:rPr>
                <w:sz w:val="20"/>
                <w:szCs w:val="20"/>
                <w:color w:val="auto"/>
              </w:rPr>
            </w:pPr>
            <w:r>
              <w:rPr>
                <w:rFonts w:ascii="Arial" w:cs="Arial" w:eastAsia="Arial" w:hAnsi="Arial"/>
                <w:sz w:val="18"/>
                <w:szCs w:val="18"/>
                <w:color w:val="auto"/>
              </w:rPr>
              <w:t>Supplemental Non-qualified Defined Benefit and</w:t>
            </w:r>
          </w:p>
        </w:tc>
        <w:tc>
          <w:tcPr>
            <w:tcW w:w="200" w:type="dxa"/>
            <w:vAlign w:val="bottom"/>
            <w:shd w:val="clear" w:color="auto" w:fill="CEFFE7"/>
          </w:tcPr>
          <w:p>
            <w:pPr>
              <w:spacing w:after="0"/>
              <w:rPr>
                <w:sz w:val="19"/>
                <w:szCs w:val="19"/>
                <w:color w:val="auto"/>
              </w:rPr>
            </w:pPr>
          </w:p>
        </w:tc>
        <w:tc>
          <w:tcPr>
            <w:tcW w:w="18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8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r>
      <w:tr>
        <w:trPr>
          <w:trHeight w:val="230"/>
        </w:trPr>
        <w:tc>
          <w:tcPr>
            <w:tcW w:w="4120" w:type="dxa"/>
            <w:vAlign w:val="bottom"/>
            <w:shd w:val="clear" w:color="auto" w:fill="CEFFE7"/>
          </w:tcPr>
          <w:p>
            <w:pPr>
              <w:ind w:left="40"/>
              <w:spacing w:after="0"/>
              <w:rPr>
                <w:sz w:val="20"/>
                <w:szCs w:val="20"/>
                <w:color w:val="auto"/>
              </w:rPr>
            </w:pPr>
            <w:r>
              <w:rPr>
                <w:rFonts w:ascii="Arial" w:cs="Arial" w:eastAsia="Arial" w:hAnsi="Arial"/>
                <w:sz w:val="18"/>
                <w:szCs w:val="18"/>
                <w:color w:val="auto"/>
              </w:rPr>
              <w:t>Defined Contribution Plans</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395</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1,187</w:t>
            </w:r>
          </w:p>
        </w:tc>
        <w:tc>
          <w:tcPr>
            <w:tcW w:w="240" w:type="dxa"/>
            <w:vAlign w:val="bottom"/>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1,682</w:t>
            </w:r>
          </w:p>
        </w:tc>
      </w:tr>
      <w:tr>
        <w:trPr>
          <w:trHeight w:val="27"/>
        </w:trPr>
        <w:tc>
          <w:tcPr>
            <w:tcW w:w="412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8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8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38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38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COMMITMENTS AND CONTINGENCIES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have been no significant changes to commitments and contingencies from those previously disclosed in Note 19 of our Notes to the Consolidated Financial Statements in our 2016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Restrictions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Revolving Credit Facility and other debt obligations contain restrictions on the payment of cash dividends upon a default or event of default. As of September 30, 2017, we were in compliance with the debt covenants.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Due to our holding company structure, substantially all of our operating cash flows are provided by dividends paid or distributions made by our subsidiaries. The cash to pay dividends to our stockholders is derived from these cash flows. As a result, certain statutory limitations or regulatory or financing agreements could affect the levels of distributions allowed to be made by our subsidiaries.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utilities are generally limited to the amount of dividends allowed to be paid to us as a utility holding company under the Federal Power Act and settlement agreements with state regulatory jurisdictions and financing agreements. As of September 30, 2017, the restricted net assets at our Electric Utilities and Gas Utilities were approximately $257 million.</w:t>
      </w:r>
    </w:p>
    <w:p>
      <w:pPr>
        <w:spacing w:after="0" w:line="181" w:lineRule="exact"/>
        <w:rPr>
          <w:sz w:val="20"/>
          <w:szCs w:val="20"/>
          <w:color w:val="auto"/>
        </w:rPr>
      </w:pPr>
    </w:p>
    <w:p>
      <w:pPr>
        <w:ind w:right="8840" w:firstLine="8"/>
        <w:spacing w:after="0" w:line="501"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IMPAIRMENT OF ASSETS </w:t>
      </w:r>
      <w:r>
        <w:rPr>
          <w:rFonts w:ascii="Arial" w:cs="Arial" w:eastAsia="Arial" w:hAnsi="Arial"/>
          <w:sz w:val="18"/>
          <w:szCs w:val="18"/>
          <w:u w:val="single" w:color="auto"/>
          <w:color w:val="auto"/>
        </w:rPr>
        <w:t>Long-lived Assets</w:t>
      </w:r>
    </w:p>
    <w:p>
      <w:pPr>
        <w:ind w:right="20"/>
        <w:spacing w:after="0" w:line="276" w:lineRule="auto"/>
        <w:rPr>
          <w:sz w:val="20"/>
          <w:szCs w:val="20"/>
          <w:color w:val="auto"/>
        </w:rPr>
      </w:pPr>
      <w:r>
        <w:rPr>
          <w:rFonts w:ascii="Arial" w:cs="Arial" w:eastAsia="Arial" w:hAnsi="Arial"/>
          <w:sz w:val="17"/>
          <w:szCs w:val="17"/>
          <w:color w:val="auto"/>
        </w:rPr>
        <w:t>Our Oil and Gas segment accounts for oil and gas activities under the full cost method of accounting. Under the full cost method, all productive and non-productive costs related to acquisition, exploration, development, abandonment and reclamation activities are capitalized. These capitalized costs, less accumulated amortization and related deferred income taxes, are subject to a ceiling test which limits the pooled costs to the aggregate of the discounted value of future net revenue attributable to proved natural gas and crude oil reserves using a discount rate defined by the SEC plus the lower of cost or market value of unevaluated properties. Any costs in excess of the ceiling are written off as a non-cash charge.</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There were no impairments for the nine months ended September 30, 2017. In determining the ceiling value of our assets under the full cost accounting rules of the SEC, we utilized the average of the quoted prices from the first day of each month from the previous 12 months. At September 30, 2017, the average NYMEX natural gas price was $3.00 per Mcf, adjusted to $2.66 per Mcf at the wellhead; the average NYMEX crude oil price was $49.81 per barrel, adjusted to $45.58 per barrel at the wellhead. At September 30, 2016, the average NYMEX natural gas price was $2.28 per Mcf, adjusted to $1.03 per Mcf at the wellhead; the average NYMEX crude oil price was $41.68 per barrel, adjusted to $35.88 per barrel at the wellhead. During the three and nine months ended September 30, 2016, we recorded pre-tax non-cash impairments of oil and gas assets included in our Oil and Gas segment of $12 million and $38 million,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ind w:right="120"/>
        <w:spacing w:after="0" w:line="279" w:lineRule="auto"/>
        <w:rPr>
          <w:sz w:val="20"/>
          <w:szCs w:val="20"/>
          <w:color w:val="auto"/>
        </w:rPr>
      </w:pPr>
      <w:r>
        <w:rPr>
          <w:rFonts w:ascii="Arial" w:cs="Arial" w:eastAsia="Arial" w:hAnsi="Arial"/>
          <w:sz w:val="17"/>
          <w:szCs w:val="17"/>
          <w:color w:val="auto"/>
        </w:rPr>
        <w:t>During the second quarter of 2016, certain non-core assets were identified that were not suitable for inclusion in a possible Cost of Service Gas program. We assessed these assets for impairment in accordance with ASC 360. We valued the assets applying a market method approach utilizing assumptions consistent with similar known and measurable transactions and determined that the carrying amount exceeded the fair value. As a result, we recorded a pre-tax impairment of depreciable properties at June 30, 2016 of $14 million, in addition to the impairments noted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(18)  INCOME TAXES</w:t>
            </w:r>
          </w:p>
        </w:tc>
        <w:tc>
          <w:tcPr>
            <w:tcW w:w="2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20" w:type="dxa"/>
            <w:vAlign w:val="bottom"/>
          </w:tcPr>
          <w:p>
            <w:pPr>
              <w:spacing w:after="0"/>
              <w:rPr>
                <w:sz w:val="20"/>
                <w:szCs w:val="20"/>
                <w:color w:val="auto"/>
              </w:rPr>
            </w:pPr>
            <w:r>
              <w:rPr>
                <w:rFonts w:ascii="Arial" w:cs="Arial" w:eastAsia="Arial" w:hAnsi="Arial"/>
                <w:sz w:val="18"/>
                <w:szCs w:val="18"/>
                <w:color w:val="auto"/>
              </w:rPr>
              <w:t>The effective tax rate differs from the federal statutory rate as follows:</w:t>
            </w:r>
          </w:p>
        </w:tc>
        <w:tc>
          <w:tcPr>
            <w:tcW w:w="2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20" w:type="dxa"/>
            <w:vAlign w:val="bottom"/>
          </w:tcPr>
          <w:p>
            <w:pPr>
              <w:spacing w:after="0"/>
              <w:rPr>
                <w:sz w:val="24"/>
                <w:szCs w:val="24"/>
                <w:color w:val="auto"/>
              </w:rPr>
            </w:pPr>
          </w:p>
        </w:tc>
        <w:tc>
          <w:tcPr>
            <w:tcW w:w="3600" w:type="dxa"/>
            <w:vAlign w:val="bottom"/>
            <w:gridSpan w:val="2"/>
          </w:tcPr>
          <w:p>
            <w:pPr>
              <w:jc w:val="right"/>
              <w:ind w:right="390"/>
              <w:spacing w:after="0"/>
              <w:rPr>
                <w:sz w:val="20"/>
                <w:szCs w:val="20"/>
                <w:color w:val="auto"/>
              </w:rPr>
            </w:pPr>
            <w:r>
              <w:rPr>
                <w:rFonts w:ascii="Arial" w:cs="Arial" w:eastAsia="Arial" w:hAnsi="Arial"/>
                <w:sz w:val="18"/>
                <w:szCs w:val="18"/>
                <w:color w:val="auto"/>
              </w:rPr>
              <w:t>Three Months Ended September 30,</w:t>
            </w:r>
          </w:p>
        </w:tc>
        <w:tc>
          <w:tcPr>
            <w:tcW w:w="0" w:type="dxa"/>
            <w:vAlign w:val="bottom"/>
          </w:tcPr>
          <w:p>
            <w:pPr>
              <w:spacing w:after="0"/>
              <w:rPr>
                <w:sz w:val="1"/>
                <w:szCs w:val="1"/>
                <w:color w:val="auto"/>
              </w:rPr>
            </w:pPr>
          </w:p>
        </w:tc>
      </w:tr>
      <w:tr>
        <w:trPr>
          <w:trHeight w:val="270"/>
        </w:trPr>
        <w:tc>
          <w:tcPr>
            <w:tcW w:w="7820" w:type="dxa"/>
            <w:vAlign w:val="bottom"/>
          </w:tcPr>
          <w:p>
            <w:pPr>
              <w:ind w:left="40"/>
              <w:spacing w:after="0"/>
              <w:rPr>
                <w:sz w:val="20"/>
                <w:szCs w:val="20"/>
                <w:color w:val="auto"/>
              </w:rPr>
            </w:pPr>
            <w:r>
              <w:rPr>
                <w:rFonts w:ascii="Arial" w:cs="Arial" w:eastAsia="Arial" w:hAnsi="Arial"/>
                <w:sz w:val="18"/>
                <w:szCs w:val="18"/>
                <w:color w:val="auto"/>
              </w:rPr>
              <w:t>Tax (benefit) expense</w:t>
            </w:r>
          </w:p>
        </w:tc>
        <w:tc>
          <w:tcPr>
            <w:tcW w:w="2140" w:type="dxa"/>
            <w:vAlign w:val="bottom"/>
          </w:tcPr>
          <w:p>
            <w:pPr>
              <w:jc w:val="right"/>
              <w:ind w:right="970"/>
              <w:spacing w:after="0"/>
              <w:rPr>
                <w:sz w:val="20"/>
                <w:szCs w:val="20"/>
                <w:color w:val="auto"/>
              </w:rPr>
            </w:pPr>
            <w:r>
              <w:rPr>
                <w:rFonts w:ascii="Arial" w:cs="Arial" w:eastAsia="Arial" w:hAnsi="Arial"/>
                <w:sz w:val="18"/>
                <w:szCs w:val="18"/>
                <w:color w:val="auto"/>
              </w:rPr>
              <w:t>2017</w:t>
            </w:r>
          </w:p>
        </w:tc>
        <w:tc>
          <w:tcPr>
            <w:tcW w:w="1460" w:type="dxa"/>
            <w:vAlign w:val="bottom"/>
          </w:tcPr>
          <w:p>
            <w:pPr>
              <w:jc w:val="right"/>
              <w:ind w:right="6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EFFE7"/>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Federal statutory rate</w:t>
            </w:r>
          </w:p>
        </w:tc>
        <w:tc>
          <w:tcPr>
            <w:tcW w:w="214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35.0 %</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State income tax (net of federal tax effect) </w:t>
            </w:r>
            <w:r>
              <w:rPr>
                <w:rFonts w:ascii="Arial" w:cs="Arial" w:eastAsia="Arial" w:hAnsi="Arial"/>
                <w:sz w:val="25"/>
                <w:szCs w:val="25"/>
                <w:color w:val="auto"/>
                <w:vertAlign w:val="superscript"/>
              </w:rPr>
              <w:t>(a)</w:t>
            </w: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(1.0)</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Percentage depletion in excess of cost</w:t>
            </w:r>
          </w:p>
        </w:tc>
        <w:tc>
          <w:tcPr>
            <w:tcW w:w="214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(1.1)</w:t>
            </w: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Accounting for uncertain tax positions adjustment</w:t>
            </w: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(0.9)</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25"/>
                <w:szCs w:val="25"/>
                <w:color w:val="auto"/>
                <w:vertAlign w:val="superscript"/>
              </w:rPr>
              <w:t>(b)</w:t>
            </w:r>
          </w:p>
        </w:tc>
        <w:tc>
          <w:tcPr>
            <w:tcW w:w="214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rPr>
              <w:t>(3.0)</w:t>
            </w:r>
          </w:p>
        </w:tc>
        <w:tc>
          <w:tcPr>
            <w:tcW w:w="146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Tax credits </w:t>
            </w:r>
            <w:r>
              <w:rPr>
                <w:rFonts w:ascii="Arial" w:cs="Arial" w:eastAsia="Arial" w:hAnsi="Arial"/>
                <w:sz w:val="25"/>
                <w:szCs w:val="25"/>
                <w:color w:val="auto"/>
                <w:vertAlign w:val="superscript"/>
              </w:rPr>
              <w:t>(c)</w:t>
            </w: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(1.5)</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Effective tax rate adjustment </w:t>
            </w:r>
            <w:r>
              <w:rPr>
                <w:rFonts w:ascii="Arial" w:cs="Arial" w:eastAsia="Arial" w:hAnsi="Arial"/>
                <w:sz w:val="25"/>
                <w:szCs w:val="25"/>
                <w:color w:val="auto"/>
                <w:vertAlign w:val="superscript"/>
              </w:rPr>
              <w:t>(d)</w:t>
            </w:r>
          </w:p>
        </w:tc>
        <w:tc>
          <w:tcPr>
            <w:tcW w:w="2140" w:type="dxa"/>
            <w:vAlign w:val="bottom"/>
            <w:shd w:val="clear" w:color="auto" w:fill="CEFFE7"/>
          </w:tcPr>
          <w:p>
            <w:pPr>
              <w:jc w:val="right"/>
              <w:ind w:right="470"/>
              <w:spacing w:after="0"/>
              <w:rPr>
                <w:sz w:val="20"/>
                <w:szCs w:val="20"/>
                <w:color w:val="auto"/>
              </w:rPr>
            </w:pPr>
            <w:r>
              <w:rPr>
                <w:rFonts w:ascii="Arial" w:cs="Arial" w:eastAsia="Arial" w:hAnsi="Arial"/>
                <w:sz w:val="18"/>
                <w:szCs w:val="18"/>
                <w:color w:val="auto"/>
              </w:rPr>
              <w:t>3.9</w:t>
            </w:r>
          </w:p>
        </w:tc>
        <w:tc>
          <w:tcPr>
            <w:tcW w:w="146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Flow-through adjustments</w:t>
            </w: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(1.7)</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AFUDC equity</w:t>
            </w:r>
          </w:p>
        </w:tc>
        <w:tc>
          <w:tcPr>
            <w:tcW w:w="214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(0.4)</w:t>
            </w: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Other tax differences</w:t>
            </w:r>
          </w:p>
        </w:tc>
        <w:tc>
          <w:tcPr>
            <w:tcW w:w="2140" w:type="dxa"/>
            <w:vAlign w:val="bottom"/>
          </w:tcPr>
          <w:p>
            <w:pPr>
              <w:jc w:val="right"/>
              <w:ind w:right="470"/>
              <w:spacing w:after="0"/>
              <w:rPr>
                <w:sz w:val="20"/>
                <w:szCs w:val="20"/>
                <w:color w:val="auto"/>
              </w:rPr>
            </w:pPr>
            <w:r>
              <w:rPr>
                <w:rFonts w:ascii="Arial" w:cs="Arial" w:eastAsia="Arial" w:hAnsi="Arial"/>
                <w:sz w:val="18"/>
                <w:szCs w:val="18"/>
                <w:color w:val="auto"/>
              </w:rPr>
              <w:t>1.1</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EFFE7"/>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20" w:type="dxa"/>
            <w:vAlign w:val="bottom"/>
            <w:tcBorders>
              <w:bottom w:val="single" w:sz="8" w:color="CEFFE7"/>
            </w:tcBorders>
            <w:shd w:val="clear" w:color="auto" w:fill="CEFFE7"/>
          </w:tcPr>
          <w:p>
            <w:pPr>
              <w:spacing w:after="0"/>
              <w:rPr>
                <w:sz w:val="22"/>
                <w:szCs w:val="22"/>
                <w:color w:val="auto"/>
              </w:rPr>
            </w:pPr>
          </w:p>
        </w:tc>
        <w:tc>
          <w:tcPr>
            <w:tcW w:w="214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30.4 %</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0"/>
        </w:trPr>
        <w:tc>
          <w:tcPr>
            <w:tcW w:w="782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8"/>
                <w:szCs w:val="18"/>
                <w:color w:val="auto"/>
              </w:rPr>
              <w:t>__________</w:t>
            </w: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0" w:hanging="332"/>
        <w:spacing w:after="0" w:line="248"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three months ending September 30, 2017 and 2016, the state income tax benefit is primarily attributable to favorable flow-through adjustments and a pretax net loss at state tax accruing companies. Under flow-through accounting the income tax effects of certain tax items are reflected in our cost of service for the customer in the year in which the tax benefits are realized and result in lower utility rates.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adjustment reflects the noncontrolling interest attributable to the sale of 49.9% of the membership interests of Colorado IPP in April 2016.</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increase in tax credits is due to the production tax credits for the Peak View wind farm and marginal gas well tax credit for the oil and gas segment.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Adjustment to reflect the projected annual effective tax rate, pursuant to ASC 740-270.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3580" w:type="dxa"/>
            <w:vAlign w:val="bottom"/>
            <w:gridSpan w:val="2"/>
          </w:tcPr>
          <w:p>
            <w:pPr>
              <w:jc w:val="right"/>
              <w:ind w:right="41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Tax (benefit) expense</w:t>
            </w:r>
          </w:p>
        </w:tc>
        <w:tc>
          <w:tcPr>
            <w:tcW w:w="2120" w:type="dxa"/>
            <w:vAlign w:val="bottom"/>
          </w:tcPr>
          <w:p>
            <w:pPr>
              <w:jc w:val="right"/>
              <w:ind w:right="950"/>
              <w:spacing w:after="0"/>
              <w:rPr>
                <w:sz w:val="20"/>
                <w:szCs w:val="20"/>
                <w:color w:val="auto"/>
              </w:rPr>
            </w:pPr>
            <w:r>
              <w:rPr>
                <w:rFonts w:ascii="Arial" w:cs="Arial" w:eastAsia="Arial" w:hAnsi="Arial"/>
                <w:sz w:val="18"/>
                <w:szCs w:val="18"/>
                <w:color w:val="auto"/>
              </w:rPr>
              <w:t>2017</w:t>
            </w:r>
          </w:p>
        </w:tc>
        <w:tc>
          <w:tcPr>
            <w:tcW w:w="1460" w:type="dxa"/>
            <w:vAlign w:val="bottom"/>
          </w:tcPr>
          <w:p>
            <w:pPr>
              <w:jc w:val="right"/>
              <w:ind w:right="6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Borders>
              <w:bottom w:val="single" w:sz="8" w:color="CEFFE7"/>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7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Federal statutory rate</w:t>
            </w:r>
          </w:p>
        </w:tc>
        <w:tc>
          <w:tcPr>
            <w:tcW w:w="212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35.0 %</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State income tax (net of federal tax effect) </w:t>
            </w:r>
            <w:r>
              <w:rPr>
                <w:rFonts w:ascii="Arial" w:cs="Arial" w:eastAsia="Arial" w:hAnsi="Arial"/>
                <w:sz w:val="25"/>
                <w:szCs w:val="25"/>
                <w:color w:val="auto"/>
                <w:vertAlign w:val="superscript"/>
              </w:rPr>
              <w:t>(a)</w:t>
            </w:r>
          </w:p>
        </w:tc>
        <w:tc>
          <w:tcPr>
            <w:tcW w:w="2120" w:type="dxa"/>
            <w:vAlign w:val="bottom"/>
          </w:tcPr>
          <w:p>
            <w:pPr>
              <w:jc w:val="right"/>
              <w:ind w:right="470"/>
              <w:spacing w:after="0"/>
              <w:rPr>
                <w:sz w:val="20"/>
                <w:szCs w:val="20"/>
                <w:color w:val="auto"/>
              </w:rPr>
            </w:pPr>
            <w:r>
              <w:rPr>
                <w:rFonts w:ascii="Arial" w:cs="Arial" w:eastAsia="Arial" w:hAnsi="Arial"/>
                <w:sz w:val="18"/>
                <w:szCs w:val="18"/>
                <w:color w:val="auto"/>
              </w:rPr>
              <w:t>0.5</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Percentage depletion in excess of cost </w:t>
            </w:r>
            <w:r>
              <w:rPr>
                <w:rFonts w:ascii="Arial" w:cs="Arial" w:eastAsia="Arial" w:hAnsi="Arial"/>
                <w:sz w:val="25"/>
                <w:szCs w:val="25"/>
                <w:color w:val="auto"/>
                <w:vertAlign w:val="superscript"/>
              </w:rPr>
              <w:t>(b)</w:t>
            </w:r>
          </w:p>
        </w:tc>
        <w:tc>
          <w:tcPr>
            <w:tcW w:w="212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rPr>
              <w:t>(0.7)</w:t>
            </w:r>
          </w:p>
        </w:tc>
        <w:tc>
          <w:tcPr>
            <w:tcW w:w="146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Accounting for uncertain tax positions adjustment </w:t>
            </w:r>
            <w:r>
              <w:rPr>
                <w:rFonts w:ascii="Arial" w:cs="Arial" w:eastAsia="Arial" w:hAnsi="Arial"/>
                <w:sz w:val="25"/>
                <w:szCs w:val="25"/>
                <w:color w:val="auto"/>
                <w:vertAlign w:val="superscript"/>
              </w:rPr>
              <w:t>(c)</w:t>
            </w:r>
          </w:p>
        </w:tc>
        <w:tc>
          <w:tcPr>
            <w:tcW w:w="2120" w:type="dxa"/>
            <w:vAlign w:val="bottom"/>
          </w:tcPr>
          <w:p>
            <w:pPr>
              <w:jc w:val="right"/>
              <w:ind w:right="410"/>
              <w:spacing w:after="0"/>
              <w:rPr>
                <w:sz w:val="20"/>
                <w:szCs w:val="20"/>
                <w:color w:val="auto"/>
              </w:rPr>
            </w:pPr>
            <w:r>
              <w:rPr>
                <w:rFonts w:ascii="Arial" w:cs="Arial" w:eastAsia="Arial" w:hAnsi="Arial"/>
                <w:sz w:val="18"/>
                <w:szCs w:val="18"/>
                <w:color w:val="auto"/>
              </w:rPr>
              <w:t>(0.2)</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25"/>
                <w:szCs w:val="25"/>
                <w:color w:val="auto"/>
                <w:vertAlign w:val="superscript"/>
              </w:rPr>
              <w:t>(d)</w:t>
            </w:r>
          </w:p>
        </w:tc>
        <w:tc>
          <w:tcPr>
            <w:tcW w:w="212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rPr>
              <w:t>(1.9)</w:t>
            </w:r>
          </w:p>
        </w:tc>
        <w:tc>
          <w:tcPr>
            <w:tcW w:w="146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IRC 172(f) carryback claim </w:t>
            </w:r>
            <w:r>
              <w:rPr>
                <w:rFonts w:ascii="Arial" w:cs="Arial" w:eastAsia="Arial" w:hAnsi="Arial"/>
                <w:sz w:val="25"/>
                <w:szCs w:val="25"/>
                <w:color w:val="auto"/>
                <w:vertAlign w:val="superscript"/>
              </w:rPr>
              <w:t>(e)</w:t>
            </w:r>
          </w:p>
        </w:tc>
        <w:tc>
          <w:tcPr>
            <w:tcW w:w="2120" w:type="dxa"/>
            <w:vAlign w:val="bottom"/>
          </w:tcPr>
          <w:p>
            <w:pPr>
              <w:jc w:val="right"/>
              <w:ind w:right="410"/>
              <w:spacing w:after="0"/>
              <w:rPr>
                <w:sz w:val="20"/>
                <w:szCs w:val="20"/>
                <w:color w:val="auto"/>
              </w:rPr>
            </w:pPr>
            <w:r>
              <w:rPr>
                <w:rFonts w:ascii="Arial" w:cs="Arial" w:eastAsia="Arial" w:hAnsi="Arial"/>
                <w:sz w:val="18"/>
                <w:szCs w:val="18"/>
                <w:color w:val="auto"/>
              </w:rPr>
              <w:t>(1.0)</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Tax credits </w:t>
            </w:r>
            <w:r>
              <w:rPr>
                <w:rFonts w:ascii="Arial" w:cs="Arial" w:eastAsia="Arial" w:hAnsi="Arial"/>
                <w:sz w:val="25"/>
                <w:szCs w:val="25"/>
                <w:color w:val="auto"/>
                <w:vertAlign w:val="superscript"/>
              </w:rPr>
              <w:t>(f)</w:t>
            </w:r>
          </w:p>
        </w:tc>
        <w:tc>
          <w:tcPr>
            <w:tcW w:w="212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rPr>
              <w:t>(1.7)</w:t>
            </w:r>
          </w:p>
        </w:tc>
        <w:tc>
          <w:tcPr>
            <w:tcW w:w="146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Effective tax rate adjustment </w:t>
            </w:r>
            <w:r>
              <w:rPr>
                <w:rFonts w:ascii="Arial" w:cs="Arial" w:eastAsia="Arial" w:hAnsi="Arial"/>
                <w:sz w:val="25"/>
                <w:szCs w:val="25"/>
                <w:color w:val="auto"/>
                <w:vertAlign w:val="superscript"/>
              </w:rPr>
              <w:t>(g)</w:t>
            </w:r>
          </w:p>
        </w:tc>
        <w:tc>
          <w:tcPr>
            <w:tcW w:w="2120" w:type="dxa"/>
            <w:vAlign w:val="bottom"/>
          </w:tcPr>
          <w:p>
            <w:pPr>
              <w:jc w:val="right"/>
              <w:ind w:right="470"/>
              <w:spacing w:after="0"/>
              <w:rPr>
                <w:sz w:val="20"/>
                <w:szCs w:val="20"/>
                <w:color w:val="auto"/>
              </w:rPr>
            </w:pPr>
            <w:r>
              <w:rPr>
                <w:rFonts w:ascii="Arial" w:cs="Arial" w:eastAsia="Arial" w:hAnsi="Arial"/>
                <w:sz w:val="18"/>
                <w:szCs w:val="18"/>
                <w:color w:val="auto"/>
              </w:rPr>
              <w:t>0.3</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Flow-through adjustments </w:t>
            </w:r>
            <w:r>
              <w:rPr>
                <w:rFonts w:ascii="Arial" w:cs="Arial" w:eastAsia="Arial" w:hAnsi="Arial"/>
                <w:sz w:val="25"/>
                <w:szCs w:val="25"/>
                <w:color w:val="auto"/>
                <w:vertAlign w:val="superscript"/>
              </w:rPr>
              <w:t>(h)</w:t>
            </w:r>
          </w:p>
        </w:tc>
        <w:tc>
          <w:tcPr>
            <w:tcW w:w="212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rPr>
              <w:t>(1.2)</w:t>
            </w:r>
          </w:p>
        </w:tc>
        <w:tc>
          <w:tcPr>
            <w:tcW w:w="146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Transaction costs</w:t>
            </w:r>
          </w:p>
        </w:tc>
        <w:tc>
          <w:tcPr>
            <w:tcW w:w="21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Other tax differences</w:t>
            </w:r>
          </w:p>
        </w:tc>
        <w:tc>
          <w:tcPr>
            <w:tcW w:w="2120" w:type="dxa"/>
            <w:vAlign w:val="bottom"/>
            <w:tcBorders>
              <w:bottom w:val="single" w:sz="8" w:color="CEFFE7"/>
            </w:tcBorders>
            <w:shd w:val="clear" w:color="auto" w:fill="CEFFE7"/>
          </w:tcPr>
          <w:p>
            <w:pPr>
              <w:jc w:val="right"/>
              <w:ind w:right="470"/>
              <w:spacing w:after="0"/>
              <w:rPr>
                <w:sz w:val="20"/>
                <w:szCs w:val="20"/>
                <w:color w:val="auto"/>
              </w:rPr>
            </w:pPr>
            <w:r>
              <w:rPr>
                <w:rFonts w:ascii="Arial" w:cs="Arial" w:eastAsia="Arial" w:hAnsi="Arial"/>
                <w:sz w:val="18"/>
                <w:szCs w:val="18"/>
                <w:color w:val="auto"/>
              </w:rPr>
              <w:t>0.5</w:t>
            </w:r>
          </w:p>
        </w:tc>
        <w:tc>
          <w:tcPr>
            <w:tcW w:w="146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1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29.6 %</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7"/>
        </w:trPr>
        <w:tc>
          <w:tcPr>
            <w:tcW w:w="7820" w:type="dxa"/>
            <w:vAlign w:val="bottom"/>
            <w:gridSpan w:val="2"/>
            <w:vMerge w:val="restart"/>
          </w:tcPr>
          <w:p>
            <w:pPr>
              <w:jc w:val="right"/>
              <w:ind w:right="6830"/>
              <w:spacing w:after="0"/>
              <w:rPr>
                <w:sz w:val="20"/>
                <w:szCs w:val="20"/>
                <w:color w:val="auto"/>
              </w:rPr>
            </w:pPr>
            <w:r>
              <w:rPr>
                <w:rFonts w:ascii="Arial" w:cs="Arial" w:eastAsia="Arial" w:hAnsi="Arial"/>
                <w:sz w:val="18"/>
                <w:szCs w:val="18"/>
                <w:color w:val="auto"/>
                <w:w w:val="87"/>
              </w:rPr>
              <w:t>__________</w:t>
            </w: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continue"/>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gridSpan w:val="2"/>
            <w:vMerge w:val="continue"/>
          </w:tcPr>
          <w:p>
            <w:pPr>
              <w:spacing w:after="0"/>
              <w:rPr>
                <w:sz w:val="17"/>
                <w:szCs w:val="17"/>
                <w:color w:val="auto"/>
              </w:rPr>
            </w:pPr>
          </w:p>
        </w:tc>
        <w:tc>
          <w:tcPr>
            <w:tcW w:w="2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20" w:hanging="332"/>
        <w:spacing w:after="0" w:line="265" w:lineRule="auto"/>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lower state income tax expense in 2017 is lower primarily attributable to favorable flow-through adjustments. Under flow-through accounting the income tax effects of certain tax items are reflected in our cost of service for the customer in the year in which the tax benefits are realized and result in lower utility rates.</w:t>
      </w:r>
    </w:p>
    <w:p>
      <w:pPr>
        <w:spacing w:after="0" w:line="1" w:lineRule="exact"/>
        <w:rPr>
          <w:rFonts w:ascii="Arial" w:cs="Arial" w:eastAsia="Arial" w:hAnsi="Arial"/>
          <w:sz w:val="15"/>
          <w:szCs w:val="15"/>
          <w:color w:val="auto"/>
        </w:rPr>
      </w:pPr>
    </w:p>
    <w:p>
      <w:pPr>
        <w:ind w:left="340" w:right="12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tax benefit for the nine months ended September 30, 2016 relates to additional percentage depletion deductions that are being claimed with respect to the oil and gas properties involving prior tax years. Such deductions are primarily the result of a change in the application of the maximum daily limitation of 1,000 barrels of oil equivalent as allowed under the Internal Revenue Code.</w:t>
      </w:r>
    </w:p>
    <w:p>
      <w:pPr>
        <w:spacing w:after="0" w:line="1" w:lineRule="exact"/>
        <w:rPr>
          <w:rFonts w:ascii="Arial" w:cs="Arial" w:eastAsia="Arial" w:hAnsi="Arial"/>
          <w:sz w:val="16"/>
          <w:szCs w:val="16"/>
          <w:color w:val="auto"/>
        </w:rPr>
      </w:pPr>
    </w:p>
    <w:p>
      <w:pPr>
        <w:ind w:left="340" w:right="100" w:hanging="332"/>
        <w:spacing w:after="0" w:line="263" w:lineRule="auto"/>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tax benefit for the nine months ended September 30, 2016 relates to the release of after-tax interest expense that was previously accrued with respect to the liability for uncertain tax positions involving the like-kind exchange transaction effectuated in connection with the IPP Transaction and Aquila Transaction that occurred in 2008. In addition, the tax benefit includes the release of reserves involving research and development credits and deductions. Both adjustments are the result of a re-measurement of the liability for uncertain tax positions predicated on an agreement reached with IRS Appeals in early 2016.</w:t>
      </w:r>
    </w:p>
    <w:p>
      <w:pPr>
        <w:ind w:left="340" w:right="460" w:hanging="332"/>
        <w:spacing w:after="0" w:line="28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Black Hills Colorado IPP went from a single member LLC, wholly-owned by Black Hills Electric Generation, to a partnership as a result of the sale of 49.9% of its membership interest in April 2016. The effective tax rate reflects the income attributable to the noncontrolling interest for which a tax provision is not recorded.</w:t>
      </w:r>
    </w:p>
    <w:p>
      <w:pPr>
        <w:spacing w:after="0" w:line="1" w:lineRule="exact"/>
        <w:rPr>
          <w:rFonts w:ascii="Arial" w:cs="Arial" w:eastAsia="Arial" w:hAnsi="Arial"/>
          <w:sz w:val="14"/>
          <w:szCs w:val="14"/>
          <w:color w:val="auto"/>
        </w:rPr>
      </w:pPr>
    </w:p>
    <w:p>
      <w:pPr>
        <w:ind w:left="340" w:right="16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Q1 2017, the Company filed amended income tax returns for the years 2006 through 2008 to carryback specified liability losses in accordance with IRC172(f). As a result of filing the amended returns, the Company's accrued tax liability interest decreased, certain valuation allowances increased and the previously recorded domestic production activities deduction decreased.</w:t>
      </w:r>
    </w:p>
    <w:p>
      <w:pPr>
        <w:spacing w:after="0" w:line="1" w:lineRule="exact"/>
        <w:rPr>
          <w:rFonts w:ascii="Arial" w:cs="Arial" w:eastAsia="Arial" w:hAnsi="Arial"/>
          <w:sz w:val="16"/>
          <w:szCs w:val="16"/>
          <w:color w:val="auto"/>
        </w:rPr>
      </w:pPr>
    </w:p>
    <w:p>
      <w:pPr>
        <w:ind w:left="360" w:right="320" w:hanging="352"/>
        <w:spacing w:after="0" w:line="246" w:lineRule="auto"/>
        <w:tabs>
          <w:tab w:leader="none" w:pos="32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tax credits for the nine months ended September 30, 2017 are the result of Colorado Electric placing the Peak View Wind Project into service in November 2016. The Peak View Wind Project began generating production tax credits during the fourth quarter of 2016.</w:t>
      </w: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Adjustment to reflect our 2017 and 2016 annual projected effective tax rate, pursuant to ASC 740-270.</w:t>
      </w:r>
    </w:p>
    <w:p>
      <w:pPr>
        <w:spacing w:after="0" w:line="5" w:lineRule="exact"/>
        <w:rPr>
          <w:rFonts w:ascii="Arial" w:cs="Arial" w:eastAsia="Arial" w:hAnsi="Arial"/>
          <w:sz w:val="16"/>
          <w:szCs w:val="16"/>
          <w:color w:val="auto"/>
        </w:rPr>
      </w:pPr>
    </w:p>
    <w:p>
      <w:pPr>
        <w:ind w:left="340" w:right="40" w:hanging="332"/>
        <w:spacing w:after="0" w:line="248"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flow-through adjustments related primarily to an accounting method change for tax purposes that allows us to take a current tax deduction for repair costs that continue to be capitalized for book purposes. In addition, flow-through adjustments were recorded related to an accounting method change for tax purposes that allows us to take a current tax deduction for certain indirect costs that continue to be capitalized for book purposes. We recorded a deferred income tax liability in recognition of the temporary difference created between book and tax treatment and flowed the tax benefit through to tax expense. A regulatory asset was established to reflect the recovery of future increases in taxes payable from customers as the temporary differences reverse. As a result of this regulatory treatment, we continue to record tax benefits consistent with the flow-through method.</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quarter of 2016, we reached an agreement in principle with IRS Appeals in regards to the like-kind exchange transaction associated with the gain deferred from the tax treatment related to the 2008 IPP Transaction and the Aquila Transaction. An agreement in principle was also reached with respect to research and development credits and deductions. Both issues were the subject of an IRS Appeals process involving the 2007 to 2009 tax years. We reversed approximately $35 million of the liability for unrecognized tax benefits, including interest, during the first quarter of 2016. The vast majority of such reversal was to restore accumulated deferred income taxes. We reversed accrued after-tax interest expense and tax credits of approximately $5.1 million associated with these liabilities in the first quarter of 2016. The cash taxes due as a result of the agreement in principle with IRS Appeals is estimated to be $8.0 million excluding interest.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868" w:right="259" w:bottom="1440" w:gutter="0" w:footer="0" w:header="0"/>
        </w:sectPr>
      </w:pPr>
    </w:p>
    <w:bookmarkStart w:id="38" w:name="page39"/>
    <w:bookmarkEnd w:id="38"/>
    <w:p>
      <w:pPr>
        <w:spacing w:after="0"/>
        <w:tabs>
          <w:tab w:leader="none" w:pos="460" w:val="left"/>
        </w:tabs>
        <w:rPr>
          <w:sz w:val="20"/>
          <w:szCs w:val="20"/>
          <w:color w:val="auto"/>
        </w:rPr>
      </w:pPr>
      <w:r>
        <w:rPr>
          <w:rFonts w:ascii="Arial" w:cs="Arial" w:eastAsia="Arial" w:hAnsi="Arial"/>
          <w:sz w:val="18"/>
          <w:szCs w:val="18"/>
          <w:color w:val="auto"/>
        </w:rPr>
        <w:t>(19)</w:t>
        <w:tab/>
        <w:t>ACCRUED LIABILITIES</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amounts by major classification are included in Accrued liabilities in the accompanying Condensed Consolidated Balance Sheets (in thousands) as of:</w:t>
      </w: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ind w:right="110"/>
              <w:spacing w:after="0"/>
              <w:rPr>
                <w:sz w:val="20"/>
                <w:szCs w:val="20"/>
                <w:color w:val="auto"/>
              </w:rPr>
            </w:pPr>
            <w:r>
              <w:rPr>
                <w:rFonts w:ascii="Arial" w:cs="Arial" w:eastAsia="Arial" w:hAnsi="Arial"/>
                <w:sz w:val="18"/>
                <w:szCs w:val="18"/>
                <w:color w:val="auto"/>
                <w:w w:val="90"/>
              </w:rPr>
              <w:t>September 30, 2017</w:t>
            </w:r>
          </w:p>
        </w:tc>
        <w:tc>
          <w:tcPr>
            <w:tcW w:w="22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w w:val="92"/>
              </w:rPr>
              <w:t>December 31, 2016</w:t>
            </w:r>
          </w:p>
        </w:tc>
        <w:tc>
          <w:tcPr>
            <w:tcW w:w="22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w w:val="90"/>
              </w:rPr>
              <w:t>September 30, 2016</w:t>
            </w:r>
          </w:p>
        </w:tc>
      </w:tr>
      <w:tr>
        <w:trPr>
          <w:trHeight w:val="27"/>
        </w:trPr>
        <w:tc>
          <w:tcPr>
            <w:tcW w:w="554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Accrued employee compensation, benefits and withholdings</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54,134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56,926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57,203</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Accrued property taxes</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39,564</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40,004</w:t>
            </w:r>
          </w:p>
        </w:tc>
        <w:tc>
          <w:tcPr>
            <w:tcW w:w="2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37,156</w:t>
            </w:r>
          </w:p>
        </w:tc>
      </w:tr>
      <w:tr>
        <w:trPr>
          <w:trHeight w:val="27"/>
        </w:trPr>
        <w:tc>
          <w:tcPr>
            <w:tcW w:w="5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Customer deposits and prepayments</w:t>
            </w:r>
          </w:p>
        </w:tc>
        <w:tc>
          <w:tcPr>
            <w:tcW w:w="16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45,711</w:t>
            </w:r>
          </w:p>
        </w:tc>
        <w:tc>
          <w:tcPr>
            <w:tcW w:w="22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51,628</w:t>
            </w:r>
          </w:p>
        </w:tc>
        <w:tc>
          <w:tcPr>
            <w:tcW w:w="22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51,137</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Accrued interest and contract adjustment payments</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30,977</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45,503</w:t>
            </w:r>
          </w:p>
        </w:tc>
        <w:tc>
          <w:tcPr>
            <w:tcW w:w="2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42,612</w:t>
            </w:r>
          </w:p>
        </w:tc>
      </w:tr>
      <w:tr>
        <w:trPr>
          <w:trHeight w:val="27"/>
        </w:trPr>
        <w:tc>
          <w:tcPr>
            <w:tcW w:w="5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CIAC current portion</w:t>
            </w:r>
          </w:p>
        </w:tc>
        <w:tc>
          <w:tcPr>
            <w:tcW w:w="16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1,575</w:t>
            </w:r>
          </w:p>
        </w:tc>
        <w:tc>
          <w:tcPr>
            <w:tcW w:w="22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5,465</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Other (none of which is individually significant)</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41,610</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49,973</w:t>
            </w:r>
          </w:p>
        </w:tc>
        <w:tc>
          <w:tcPr>
            <w:tcW w:w="2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34,949</w:t>
            </w:r>
          </w:p>
        </w:tc>
      </w:tr>
      <w:tr>
        <w:trPr>
          <w:trHeight w:val="27"/>
        </w:trPr>
        <w:tc>
          <w:tcPr>
            <w:tcW w:w="554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554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Total accrued liabilities</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213,571</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244,034</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228,522</w:t>
            </w: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8820" w:firstLine="8"/>
        <w:spacing w:after="0" w:line="563"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SUBSEQUENT EVENTS </w:t>
      </w:r>
      <w:r>
        <w:rPr>
          <w:rFonts w:ascii="Arial" w:cs="Arial" w:eastAsia="Arial" w:hAnsi="Arial"/>
          <w:sz w:val="16"/>
          <w:szCs w:val="16"/>
          <w:u w:val="single" w:color="auto"/>
          <w:color w:val="auto"/>
        </w:rPr>
        <w:t>Divestiture of Oil and Gas Business</w:t>
      </w:r>
    </w:p>
    <w:p>
      <w:pPr>
        <w:spacing w:after="0" w:line="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On November 1, 2017, the BHC Board of Directors approved a complete divestiture of our Oil and Gas segment. We have initiated the process of divesting all Oil and Gas segment assets in order to fully exit the oil and gas business. We anticipate selling or otherwise disposing of all remaining oil and gas properties and assets by year-end 2018 and have retained advisors to accelerate the marketing and sales process. The Company’s Condensed Consolidated Financial Statements and accompanying Notes as of and for the three and nine months ended September 30, 2017 include the Oil and Gas segment’s assets and liabilities, results of operations and cash flows within continuing operations, as we did not meet the criteria for classifying assets as held for sale and presenting the segment’s activities as discontinued operations. Effective in the fourth quarter of 2017, our Oil and Gas segment assets and liabilities will be classified as held for sale, and the Oil and Gas results of operations and cash flows will be presented as discontinued operations. When these assets are classified as held for sale, they will be reviewed for impairment which could result in further impairment charges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Revenue and net loss for our Oil and Gas segment for the three and nine months ended September 30, 2017 and 2016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3"/>
          </w:tcPr>
          <w:p>
            <w:pPr>
              <w:jc w:val="right"/>
              <w:ind w:right="73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0"/>
                <w:szCs w:val="20"/>
                <w:color w:val="auto"/>
              </w:rPr>
            </w:pPr>
          </w:p>
        </w:tc>
        <w:tc>
          <w:tcPr>
            <w:tcW w:w="2780" w:type="dxa"/>
            <w:vAlign w:val="bottom"/>
            <w:gridSpan w:val="3"/>
          </w:tcPr>
          <w:p>
            <w:pPr>
              <w:jc w:val="right"/>
              <w:ind w:right="650"/>
              <w:spacing w:after="0"/>
              <w:rPr>
                <w:sz w:val="20"/>
                <w:szCs w:val="20"/>
                <w:color w:val="auto"/>
              </w:rPr>
            </w:pPr>
            <w:r>
              <w:rPr>
                <w:rFonts w:ascii="Arial" w:cs="Arial" w:eastAsia="Arial" w:hAnsi="Arial"/>
                <w:sz w:val="18"/>
                <w:szCs w:val="18"/>
                <w:color w:val="auto"/>
              </w:rPr>
              <w:t>Nine Months Ended</w:t>
            </w: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w w:val="91"/>
              </w:rPr>
              <w:t>September 30,</w:t>
            </w:r>
          </w:p>
        </w:tc>
        <w:tc>
          <w:tcPr>
            <w:tcW w:w="28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w w:val="91"/>
              </w:rPr>
              <w:t>September 30,</w:t>
            </w:r>
          </w:p>
        </w:tc>
        <w:tc>
          <w:tcPr>
            <w:tcW w:w="1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89"/>
              </w:rPr>
              <w:t>September 30,</w:t>
            </w:r>
          </w:p>
        </w:tc>
      </w:tr>
      <w:tr>
        <w:trPr>
          <w:trHeight w:val="230"/>
        </w:trPr>
        <w:tc>
          <w:tcPr>
            <w:tcW w:w="52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520" w:type="dxa"/>
            <w:vAlign w:val="bottom"/>
            <w:gridSpan w:val="2"/>
          </w:tcPr>
          <w:p>
            <w:pPr>
              <w:ind w:left="40"/>
              <w:spacing w:after="0"/>
              <w:rPr>
                <w:sz w:val="20"/>
                <w:szCs w:val="20"/>
                <w:color w:val="auto"/>
              </w:rPr>
            </w:pPr>
            <w:r>
              <w:rPr>
                <w:rFonts w:ascii="Arial" w:cs="Arial" w:eastAsia="Arial" w:hAnsi="Arial"/>
                <w:sz w:val="18"/>
                <w:szCs w:val="18"/>
                <w:color w:val="auto"/>
                <w:w w:val="89"/>
              </w:rPr>
              <w:t>September 30, 2017</w:t>
            </w:r>
          </w:p>
        </w:tc>
        <w:tc>
          <w:tcPr>
            <w:tcW w:w="16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5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6,527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9,639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19,151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25,660</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available for common stock</w:t>
            </w:r>
          </w:p>
        </w:tc>
        <w:tc>
          <w:tcPr>
            <w:tcW w:w="2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(2,712)</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(8,828)</w:t>
            </w:r>
          </w:p>
        </w:tc>
        <w:tc>
          <w:tcPr>
            <w:tcW w:w="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(7,609)</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(35,277)</w:t>
            </w:r>
          </w:p>
        </w:tc>
      </w:tr>
      <w:tr>
        <w:trPr>
          <w:trHeight w:val="891"/>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89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9" w:name="page40"/>
    <w:bookmarkEnd w:id="39"/>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are a customer-focused, growth-oriented utility company operating in the United States. We report our operations and results in the following financial segments:</w:t>
      </w:r>
    </w:p>
    <w:p>
      <w:pPr>
        <w:spacing w:after="0" w:line="17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u w:val="single" w:color="auto"/>
          <w:color w:val="auto"/>
        </w:rPr>
        <w:t>Electric Utilities</w:t>
      </w:r>
      <w:r>
        <w:rPr>
          <w:rFonts w:ascii="Arial" w:cs="Arial" w:eastAsia="Arial" w:hAnsi="Arial"/>
          <w:sz w:val="17"/>
          <w:szCs w:val="17"/>
          <w:color w:val="auto"/>
        </w:rPr>
        <w:t>: Our Electric Utilities segment generates, transmits and distributes electricity to approximately 208,500 customers in South Dakota, Wyoming, Colorado and Montana. Our electric generating facilities and power purchase agreements provide for the supply of electricity principally to our own distribution systems. Additionally, we sell excess power to other utilities and marketing companies, including our affiliates.</w:t>
      </w:r>
    </w:p>
    <w:p>
      <w:pPr>
        <w:spacing w:after="0" w:line="166"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u w:val="single" w:color="auto"/>
          <w:color w:val="auto"/>
        </w:rPr>
        <w:t>Gas Utilities</w:t>
      </w:r>
      <w:r>
        <w:rPr>
          <w:rFonts w:ascii="Arial" w:cs="Arial" w:eastAsia="Arial" w:hAnsi="Arial"/>
          <w:sz w:val="16"/>
          <w:szCs w:val="16"/>
          <w:color w:val="auto"/>
        </w:rPr>
        <w:t>: Our Gas Utilities conduct natural gas utility operations through our Arkansas, Colorado, Iowa, Kansas, Nebraska and Wyoming subsidiaries. Our Gas Utilities distribute and transport natural gas through our pipeline network to approximately 1,030,800 natural gas customers. Additionally, we sell temporarily-available, contractual pipeline capacity and gas commodities to other utilities and marketing companies, including our affiliates.</w:t>
      </w:r>
    </w:p>
    <w:p>
      <w:pPr>
        <w:spacing w:after="0" w:line="1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also provide non-regulated services through Black Hills Energy Services. Black Hills Energy Services provides approximately 55,000 retail distribution customers in Nebraska and Wyoming with unbundled natural gas commodity offerings under the regulatory-approved Choice Gas Program. We also sell, install and service air, heating and water-heating equipment, and provide associated repair service and protection plans under various trade names. Service Guard and CAPP primarily provide appliance repair services to approximately 61,000 and 33,000 residential customers, respectively, through Company technicians and third-party service providers, typically through on-going monthly service agreements. Tech Services primarily serves gas transportation customers throughout our service territory by constructing and maintaining customer-owned gas infrastructure facilities, typically through one-time contracts.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Power Generation</w:t>
      </w:r>
      <w:r>
        <w:rPr>
          <w:rFonts w:ascii="Arial" w:cs="Arial" w:eastAsia="Arial" w:hAnsi="Arial"/>
          <w:sz w:val="18"/>
          <w:szCs w:val="18"/>
          <w:color w:val="auto"/>
        </w:rPr>
        <w:t>: Our Power Generation segment produces electric power from its generating plants and sells the electric capacity and energy principally to our utilities under long-term contracts.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Mining</w:t>
      </w:r>
      <w:r>
        <w:rPr>
          <w:rFonts w:ascii="Arial" w:cs="Arial" w:eastAsia="Arial" w:hAnsi="Arial"/>
          <w:sz w:val="18"/>
          <w:szCs w:val="18"/>
          <w:color w:val="auto"/>
        </w:rPr>
        <w:t>: Our Mining segment produces coal at our coal mine near Gillette, Wyoming and sells the coal primarily to on-site, mine-mouth power generation facilities.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u w:val="single" w:color="auto"/>
          <w:color w:val="auto"/>
        </w:rPr>
        <w:t>Oil and Gas</w:t>
      </w:r>
      <w:r>
        <w:rPr>
          <w:rFonts w:ascii="Arial" w:cs="Arial" w:eastAsia="Arial" w:hAnsi="Arial"/>
          <w:sz w:val="16"/>
          <w:szCs w:val="16"/>
          <w:color w:val="auto"/>
        </w:rPr>
        <w:t>: Our Oil and Gas segment engages in the production of crude oil and natural gas, primarily in the Rocky Mountain region. In the fourth quarter of 2017, we initiated the process of divesting of all remaining Oil and Gas segment assets in order to fully exit the oil and gas business. We anticipate the divestiture process will be complete by year-end 2018. The Company’s Condensed Consolidated Financial Statements and accompanying Notes as of and for the three and nine months ended September 30, 2017 include the Oil and Gas segment’s assets and liabilities, results of operations and cash flows within continuing operations, as we did not meet the criteria for classifying assets as held for sale and presenting the segment’s activities as discontinued operations during the quarter. See Note 20 of the Condensed Consolidated Financial Statements in this Quarterly Report on Form 10-Q for more information.</w:t>
      </w:r>
    </w:p>
    <w:p>
      <w:pPr>
        <w:spacing w:after="0" w:line="16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as well as changes in market prices.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nine months ended September 30, 2017 and 2016, and our financial condition as of September 30, 2017, December 31, 2016 and September 30, 2016, are not necessarily indicative of the results of operations and financial condition to be expected as of or for any other period or for the entire year.</w:t>
      </w:r>
    </w:p>
    <w:p>
      <w:pPr>
        <w:spacing w:after="0" w:line="340"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See Forward-Looking Information in the Liquidity and Capital Resources section of this Item 2, beginning on Page </w:t>
      </w:r>
      <w:hyperlink w:anchor="page73">
        <w:r>
          <w:rPr>
            <w:rFonts w:ascii="Arial" w:cs="Arial" w:eastAsia="Arial" w:hAnsi="Arial"/>
            <w:sz w:val="18"/>
            <w:szCs w:val="18"/>
            <w:color w:val="0000EE"/>
          </w:rPr>
          <w:t>73</w:t>
        </w:r>
      </w:hyperlink>
      <w:r>
        <w:rPr>
          <w:rFonts w:ascii="Arial" w:cs="Arial" w:eastAsia="Arial" w:hAnsi="Arial"/>
          <w:sz w:val="18"/>
          <w:szCs w:val="18"/>
          <w:color w:val="auto"/>
        </w:rPr>
        <w:t>.</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The segment information does not include inter-company eliminations. Minor differences in amounts may result due to rounding. All amounts are presented on a pre-tax basis unless otherwise indicated.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Significant Events and Overview</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Three Months Ended September 30, 2017 Compared to Three Months Ended September 30, 2016. </w:t>
      </w:r>
      <w:r>
        <w:rPr>
          <w:rFonts w:ascii="Arial" w:cs="Arial" w:eastAsia="Arial" w:hAnsi="Arial"/>
          <w:sz w:val="16"/>
          <w:szCs w:val="16"/>
          <w:color w:val="auto"/>
        </w:rPr>
        <w:t>Net income available for common stock for the three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ended September 30, 2017 was $28 million, or $0.50 per share, compared to Net income available for common stock of $14 million, or $0.26 per share, reported for the same period in 2016. The Net income available for common stock for the three months ended September 30, 2017 increased over the same period in the prior year primarily due to a decrease in after-tax impairment charges on our oil and gas properties, lower after-tax corporate expenses, and higher earnings at our Electric Utilities. These are partially offset by lower earnings at our Gas Utilities. The variance to the prior year included the following:</w:t>
      </w:r>
    </w:p>
    <w:p>
      <w:pPr>
        <w:spacing w:after="0" w:line="15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non-cash after-tax impairment charges of approximately $7.9 million on our oil and gas properties;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expenses decreased primarily due to a reduction of $3.8 million of after-tax acquisition and transition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Electric Utilities’ earnings increased $3.1 million driven primarily by returns on prior year generation investments; and</w:t>
      </w:r>
    </w:p>
    <w:p>
      <w:pPr>
        <w:spacing w:after="0" w:line="9" w:lineRule="exact"/>
        <w:rPr>
          <w:rFonts w:ascii="Arial" w:cs="Arial" w:eastAsia="Arial" w:hAnsi="Arial"/>
          <w:sz w:val="18"/>
          <w:szCs w:val="18"/>
          <w:color w:val="auto"/>
        </w:rPr>
      </w:pPr>
    </w:p>
    <w:p>
      <w:pPr>
        <w:ind w:left="660" w:right="54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Gas Utilities’ earnings decreased $1.4 million primarily due to the impact of cooler summer temperatures and higher precipitation on summer irrigation load delivered to agricultural customers.</w:t>
      </w:r>
    </w:p>
    <w:p>
      <w:pPr>
        <w:spacing w:after="0" w:line="18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 xml:space="preserve">Nine Months Ended September 30, 2017 Compared to Nine Months Ended September 30, 2016. </w:t>
      </w:r>
      <w:r>
        <w:rPr>
          <w:rFonts w:ascii="Arial" w:cs="Arial" w:eastAsia="Arial" w:hAnsi="Arial"/>
          <w:sz w:val="17"/>
          <w:szCs w:val="17"/>
          <w:color w:val="auto"/>
        </w:rPr>
        <w:t>Net income available for common stock for the nine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September 30, 2017 was $126 million, or $2.29 per share, compared to Net income available for common stock of $55 million, or $1.04 per share, reported for the same period in 2016. The Net income available for common stock for the nine months ended September 30, 2017 increased over the same period in the prior year primarily due to higher earnings at our Gas Utilities, Electric Utilities and Mining segments, lower corporate expenses, and a decrease in impairment charges on our oil and gas properties, partially offset by lower earnings at our Power Generation segment and by tax benefits realized during the same period in the prior year. The variance to the prior year included the following:</w:t>
      </w:r>
    </w:p>
    <w:p>
      <w:pPr>
        <w:spacing w:after="0" w:line="178" w:lineRule="exact"/>
        <w:rPr>
          <w:sz w:val="20"/>
          <w:szCs w:val="20"/>
          <w:color w:val="auto"/>
        </w:rPr>
      </w:pPr>
    </w:p>
    <w:p>
      <w:pPr>
        <w:ind w:left="660" w:right="14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Earnings at our Oil and Gas segment increased $28 million primarily due to prior year non-cash after-tax impairments on our oil and gas properties of approximately $33 million, partially offset by a prior year $5.8 million tax benefit recognized from additional percentage depletion deductions claimed with respect to our oil and gas properties;</w:t>
      </w:r>
    </w:p>
    <w:p>
      <w:pPr>
        <w:ind w:left="660" w:right="3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Corporate expenses decreased $27 million compared to the same period in the prior year driven primarily by a $23 million reduction of after-tax acquisition and transition costs;</w:t>
      </w:r>
    </w:p>
    <w:p>
      <w:pPr>
        <w:ind w:left="660" w:right="18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Gas Utilities’ earnings increased $11 million with a full nine months of earnings from our acquired SourceGas utilities compared to approximately 7.5 months in the same period of the prior year;</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Electric Utilities’ earnings increased $5.8 million driven primarily by returns on prior year generation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Earnings at our Mining segment increased $2.1 million due to an increase in tons sold as a result of an extended outage in the prior year; and</w:t>
      </w:r>
    </w:p>
    <w:p>
      <w:pPr>
        <w:spacing w:after="0" w:line="20" w:lineRule="exact"/>
        <w:rPr>
          <w:rFonts w:ascii="Arial" w:cs="Arial" w:eastAsia="Arial" w:hAnsi="Arial"/>
          <w:sz w:val="17"/>
          <w:szCs w:val="17"/>
          <w:color w:val="auto"/>
        </w:rPr>
      </w:pPr>
    </w:p>
    <w:p>
      <w:pPr>
        <w:ind w:left="660" w:right="40" w:hanging="328"/>
        <w:spacing w:after="0" w:line="290"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Earnings at our Power Generation segment decreased $1.9 million primarily due to an increase in net income attributable to noncontrolling interests, reflecting a full nine months in 2017 compared to approximately 5.5 months in the same period of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80"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following table summarizes select financial results by operating segment and details significant items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5"/>
          </w:tcPr>
          <w:p>
            <w:pPr>
              <w:jc w:val="right"/>
              <w:ind w:right="470"/>
              <w:spacing w:after="0"/>
              <w:rPr>
                <w:sz w:val="20"/>
                <w:szCs w:val="20"/>
                <w:color w:val="auto"/>
              </w:rPr>
            </w:pPr>
            <w:r>
              <w:rPr>
                <w:rFonts w:ascii="Arial" w:cs="Arial" w:eastAsia="Arial" w:hAnsi="Arial"/>
                <w:sz w:val="18"/>
                <w:szCs w:val="18"/>
                <w:color w:val="auto"/>
                <w:w w:val="99"/>
              </w:rPr>
              <w:t>Three Months Ended September 30,</w:t>
            </w:r>
          </w:p>
        </w:tc>
        <w:tc>
          <w:tcPr>
            <w:tcW w:w="280" w:type="dxa"/>
            <w:vAlign w:val="bottom"/>
          </w:tcPr>
          <w:p>
            <w:pPr>
              <w:spacing w:after="0"/>
              <w:rPr>
                <w:sz w:val="20"/>
                <w:szCs w:val="20"/>
                <w:color w:val="auto"/>
              </w:rPr>
            </w:pPr>
          </w:p>
        </w:tc>
        <w:tc>
          <w:tcPr>
            <w:tcW w:w="3500" w:type="dxa"/>
            <w:vAlign w:val="bottom"/>
            <w:gridSpan w:val="5"/>
          </w:tcPr>
          <w:p>
            <w:pPr>
              <w:jc w:val="right"/>
              <w:ind w:right="51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3"/>
                <w:szCs w:val="23"/>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w w:val="98"/>
              </w:rPr>
              <w:t>Variance</w:t>
            </w:r>
          </w:p>
        </w:tc>
        <w:tc>
          <w:tcPr>
            <w:tcW w:w="28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3"/>
                <w:szCs w:val="23"/>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w w:val="98"/>
              </w:rPr>
              <w:t>Variance</w:t>
            </w:r>
          </w:p>
        </w:tc>
        <w:tc>
          <w:tcPr>
            <w:tcW w:w="0" w:type="dxa"/>
            <w:vAlign w:val="bottom"/>
          </w:tcPr>
          <w:p>
            <w:pPr>
              <w:spacing w:after="0"/>
              <w:rPr>
                <w:sz w:val="1"/>
                <w:szCs w:val="1"/>
                <w:color w:val="auto"/>
              </w:rPr>
            </w:pPr>
          </w:p>
        </w:tc>
      </w:tr>
      <w:tr>
        <w:trPr>
          <w:trHeight w:val="27"/>
        </w:trPr>
        <w:tc>
          <w:tcPr>
            <w:tcW w:w="3880" w:type="dxa"/>
            <w:vAlign w:val="bottom"/>
            <w:gridSpan w:val="4"/>
            <w:vMerge w:val="restart"/>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88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373,412</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365,742</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7,670</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1,338,724</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1,205,305</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133,419</w:t>
            </w:r>
          </w:p>
        </w:tc>
        <w:tc>
          <w:tcPr>
            <w:tcW w:w="0" w:type="dxa"/>
            <w:vAlign w:val="bottom"/>
          </w:tcPr>
          <w:p>
            <w:pPr>
              <w:spacing w:after="0"/>
              <w:rPr>
                <w:sz w:val="1"/>
                <w:szCs w:val="1"/>
                <w:color w:val="auto"/>
              </w:rPr>
            </w:pPr>
          </w:p>
        </w:tc>
      </w:tr>
      <w:tr>
        <w:trPr>
          <w:trHeight w:val="243"/>
        </w:trPr>
        <w:tc>
          <w:tcPr>
            <w:tcW w:w="3880" w:type="dxa"/>
            <w:vAlign w:val="bottom"/>
            <w:gridSpan w:val="4"/>
          </w:tcPr>
          <w:p>
            <w:pPr>
              <w:ind w:left="40"/>
              <w:spacing w:after="0"/>
              <w:rPr>
                <w:sz w:val="20"/>
                <w:szCs w:val="20"/>
                <w:color w:val="auto"/>
              </w:rPr>
            </w:pPr>
            <w:r>
              <w:rPr>
                <w:rFonts w:ascii="Arial" w:cs="Arial" w:eastAsia="Arial" w:hAnsi="Arial"/>
                <w:sz w:val="18"/>
                <w:szCs w:val="18"/>
                <w:color w:val="auto"/>
              </w:rPr>
              <w:t>Inter-company eliminations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(31,274)</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(31,956)</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(94,605)</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(96,119)</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2700" w:type="dxa"/>
            <w:vAlign w:val="bottom"/>
            <w:tcBorders>
              <w:bottom w:val="single" w:sz="8" w:color="CEFFE7"/>
            </w:tcBorders>
          </w:tcPr>
          <w:p>
            <w:pPr>
              <w:spacing w:after="0"/>
              <w:rPr>
                <w:sz w:val="2"/>
                <w:szCs w:val="2"/>
                <w:color w:val="auto"/>
              </w:rPr>
            </w:pPr>
          </w:p>
        </w:tc>
        <w:tc>
          <w:tcPr>
            <w:tcW w:w="5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spacing w:after="0"/>
              <w:rPr>
                <w:sz w:val="22"/>
                <w:szCs w:val="22"/>
                <w:color w:val="auto"/>
              </w:rPr>
            </w:pPr>
          </w:p>
        </w:tc>
        <w:tc>
          <w:tcPr>
            <w:tcW w:w="2700" w:type="dxa"/>
            <w:vAlign w:val="bottom"/>
            <w:tcBorders>
              <w:bottom w:val="single" w:sz="8" w:color="CEFFE7"/>
            </w:tcBorders>
            <w:shd w:val="clear" w:color="auto" w:fill="CEFFE7"/>
          </w:tcPr>
          <w:p>
            <w:pPr>
              <w:spacing w:after="0"/>
              <w:rPr>
                <w:sz w:val="22"/>
                <w:szCs w:val="22"/>
                <w:color w:val="auto"/>
              </w:rPr>
            </w:pPr>
          </w:p>
        </w:tc>
        <w:tc>
          <w:tcPr>
            <w:tcW w:w="52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342,138</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333,786</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8,352</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1,244,119</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1,109,186</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134,933</w:t>
            </w:r>
          </w:p>
        </w:tc>
        <w:tc>
          <w:tcPr>
            <w:tcW w:w="0" w:type="dxa"/>
            <w:vAlign w:val="bottom"/>
          </w:tcPr>
          <w:p>
            <w:pPr>
              <w:spacing w:after="0"/>
              <w:rPr>
                <w:sz w:val="1"/>
                <w:szCs w:val="1"/>
                <w:color w:val="auto"/>
              </w:rPr>
            </w:pPr>
          </w:p>
        </w:tc>
      </w:tr>
      <w:tr>
        <w:trPr>
          <w:trHeight w:val="20"/>
        </w:trPr>
        <w:tc>
          <w:tcPr>
            <w:tcW w:w="40" w:type="dxa"/>
            <w:vAlign w:val="bottom"/>
            <w:tcBorders>
              <w:top w:val="single" w:sz="8" w:color="CEFFE7"/>
            </w:tcBorders>
          </w:tcPr>
          <w:p>
            <w:pPr>
              <w:spacing w:after="0" w:line="20" w:lineRule="exact"/>
              <w:rPr>
                <w:sz w:val="1"/>
                <w:szCs w:val="1"/>
                <w:color w:val="auto"/>
              </w:rPr>
            </w:pPr>
          </w:p>
        </w:tc>
        <w:tc>
          <w:tcPr>
            <w:tcW w:w="620" w:type="dxa"/>
            <w:vAlign w:val="bottom"/>
            <w:tcBorders>
              <w:top w:val="single" w:sz="8" w:color="CEFFE7"/>
            </w:tcBorders>
          </w:tcPr>
          <w:p>
            <w:pPr>
              <w:spacing w:after="0" w:line="20" w:lineRule="exact"/>
              <w:rPr>
                <w:sz w:val="1"/>
                <w:szCs w:val="1"/>
                <w:color w:val="auto"/>
              </w:rPr>
            </w:pPr>
          </w:p>
        </w:tc>
        <w:tc>
          <w:tcPr>
            <w:tcW w:w="2700" w:type="dxa"/>
            <w:vAlign w:val="bottom"/>
            <w:tcBorders>
              <w:top w:val="single" w:sz="8" w:color="CEFFE7"/>
            </w:tcBorders>
          </w:tcPr>
          <w:p>
            <w:pPr>
              <w:spacing w:after="0" w:line="20" w:lineRule="exact"/>
              <w:rPr>
                <w:sz w:val="1"/>
                <w:szCs w:val="1"/>
                <w:color w:val="auto"/>
              </w:rPr>
            </w:pPr>
          </w:p>
        </w:tc>
        <w:tc>
          <w:tcPr>
            <w:tcW w:w="52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80" w:type="dxa"/>
            <w:vAlign w:val="bottom"/>
            <w:gridSpan w:val="4"/>
            <w:shd w:val="clear" w:color="auto" w:fill="CEFFE7"/>
          </w:tcPr>
          <w:p>
            <w:pPr>
              <w:ind w:left="40"/>
              <w:spacing w:after="0" w:line="202" w:lineRule="exact"/>
              <w:rPr>
                <w:sz w:val="20"/>
                <w:szCs w:val="20"/>
                <w:color w:val="auto"/>
              </w:rPr>
            </w:pPr>
            <w:r>
              <w:rPr>
                <w:rFonts w:ascii="Arial" w:cs="Arial" w:eastAsia="Arial" w:hAnsi="Arial"/>
                <w:sz w:val="18"/>
                <w:szCs w:val="18"/>
                <w:color w:val="auto"/>
              </w:rPr>
              <w:t>Net income (loss) available for common stock</w:t>
            </w:r>
          </w:p>
        </w:tc>
        <w:tc>
          <w:tcPr>
            <w:tcW w:w="280" w:type="dxa"/>
            <w:vAlign w:val="bottom"/>
            <w:shd w:val="clear" w:color="auto" w:fill="CEFFE7"/>
          </w:tcPr>
          <w:p>
            <w:pPr>
              <w:spacing w:after="0"/>
              <w:rPr>
                <w:sz w:val="17"/>
                <w:szCs w:val="17"/>
                <w:color w:val="auto"/>
              </w:rPr>
            </w:pPr>
          </w:p>
        </w:tc>
        <w:tc>
          <w:tcPr>
            <w:tcW w:w="960" w:type="dxa"/>
            <w:vAlign w:val="bottom"/>
            <w:shd w:val="clear" w:color="auto" w:fill="CEFFE7"/>
          </w:tcPr>
          <w:p>
            <w:pPr>
              <w:spacing w:after="0"/>
              <w:rPr>
                <w:sz w:val="17"/>
                <w:szCs w:val="17"/>
                <w:color w:val="auto"/>
              </w:rPr>
            </w:pPr>
          </w:p>
        </w:tc>
        <w:tc>
          <w:tcPr>
            <w:tcW w:w="300" w:type="dxa"/>
            <w:vAlign w:val="bottom"/>
            <w:shd w:val="clear" w:color="auto" w:fill="CEFFE7"/>
          </w:tcPr>
          <w:p>
            <w:pPr>
              <w:spacing w:after="0"/>
              <w:rPr>
                <w:sz w:val="17"/>
                <w:szCs w:val="17"/>
                <w:color w:val="auto"/>
              </w:rPr>
            </w:pPr>
          </w:p>
        </w:tc>
        <w:tc>
          <w:tcPr>
            <w:tcW w:w="960" w:type="dxa"/>
            <w:vAlign w:val="bottom"/>
            <w:shd w:val="clear" w:color="auto" w:fill="CEFFE7"/>
          </w:tcPr>
          <w:p>
            <w:pPr>
              <w:spacing w:after="0"/>
              <w:rPr>
                <w:sz w:val="17"/>
                <w:szCs w:val="17"/>
                <w:color w:val="auto"/>
              </w:rPr>
            </w:pPr>
          </w:p>
        </w:tc>
        <w:tc>
          <w:tcPr>
            <w:tcW w:w="240" w:type="dxa"/>
            <w:vAlign w:val="bottom"/>
            <w:shd w:val="clear" w:color="auto" w:fill="CEFFE7"/>
          </w:tcPr>
          <w:p>
            <w:pPr>
              <w:spacing w:after="0"/>
              <w:rPr>
                <w:sz w:val="17"/>
                <w:szCs w:val="17"/>
                <w:color w:val="auto"/>
              </w:rPr>
            </w:pPr>
          </w:p>
        </w:tc>
        <w:tc>
          <w:tcPr>
            <w:tcW w:w="1020" w:type="dxa"/>
            <w:vAlign w:val="bottom"/>
            <w:shd w:val="clear" w:color="auto" w:fill="CEFFE7"/>
          </w:tcPr>
          <w:p>
            <w:pPr>
              <w:spacing w:after="0"/>
              <w:rPr>
                <w:sz w:val="17"/>
                <w:szCs w:val="17"/>
                <w:color w:val="auto"/>
              </w:rPr>
            </w:pPr>
          </w:p>
        </w:tc>
        <w:tc>
          <w:tcPr>
            <w:tcW w:w="280" w:type="dxa"/>
            <w:vAlign w:val="bottom"/>
            <w:shd w:val="clear" w:color="auto" w:fill="CEFFE7"/>
          </w:tcPr>
          <w:p>
            <w:pPr>
              <w:spacing w:after="0"/>
              <w:rPr>
                <w:sz w:val="17"/>
                <w:szCs w:val="17"/>
                <w:color w:val="auto"/>
              </w:rPr>
            </w:pPr>
          </w:p>
        </w:tc>
        <w:tc>
          <w:tcPr>
            <w:tcW w:w="980" w:type="dxa"/>
            <w:vAlign w:val="bottom"/>
            <w:shd w:val="clear" w:color="auto" w:fill="CEFFE7"/>
          </w:tcPr>
          <w:p>
            <w:pPr>
              <w:spacing w:after="0"/>
              <w:rPr>
                <w:sz w:val="17"/>
                <w:szCs w:val="17"/>
                <w:color w:val="auto"/>
              </w:rPr>
            </w:pPr>
          </w:p>
        </w:tc>
        <w:tc>
          <w:tcPr>
            <w:tcW w:w="280" w:type="dxa"/>
            <w:vAlign w:val="bottom"/>
            <w:shd w:val="clear" w:color="auto" w:fill="CEFFE7"/>
          </w:tcPr>
          <w:p>
            <w:pPr>
              <w:spacing w:after="0"/>
              <w:rPr>
                <w:sz w:val="17"/>
                <w:szCs w:val="17"/>
                <w:color w:val="auto"/>
              </w:rPr>
            </w:pPr>
          </w:p>
        </w:tc>
        <w:tc>
          <w:tcPr>
            <w:tcW w:w="98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104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EFFE7"/>
            </w:tcBorders>
            <w:shd w:val="clear" w:color="auto" w:fill="CEFFE7"/>
          </w:tcPr>
          <w:p>
            <w:pPr>
              <w:spacing w:after="0"/>
              <w:rPr>
                <w:sz w:val="4"/>
                <w:szCs w:val="4"/>
                <w:color w:val="auto"/>
              </w:rPr>
            </w:pPr>
          </w:p>
        </w:tc>
        <w:tc>
          <w:tcPr>
            <w:tcW w:w="620" w:type="dxa"/>
            <w:vAlign w:val="bottom"/>
            <w:tcBorders>
              <w:top w:val="single" w:sz="8" w:color="auto"/>
            </w:tcBorders>
            <w:shd w:val="clear" w:color="auto" w:fill="CEFFE7"/>
          </w:tcPr>
          <w:p>
            <w:pPr>
              <w:spacing w:after="0"/>
              <w:rPr>
                <w:sz w:val="4"/>
                <w:szCs w:val="4"/>
                <w:color w:val="auto"/>
              </w:rPr>
            </w:pPr>
          </w:p>
        </w:tc>
        <w:tc>
          <w:tcPr>
            <w:tcW w:w="2700" w:type="dxa"/>
            <w:vAlign w:val="bottom"/>
            <w:tcBorders>
              <w:top w:val="single" w:sz="8" w:color="auto"/>
            </w:tcBorders>
            <w:shd w:val="clear" w:color="auto" w:fill="CEFFE7"/>
          </w:tcPr>
          <w:p>
            <w:pPr>
              <w:spacing w:after="0"/>
              <w:rPr>
                <w:sz w:val="4"/>
                <w:szCs w:val="4"/>
                <w:color w:val="auto"/>
              </w:rPr>
            </w:pPr>
          </w:p>
        </w:tc>
        <w:tc>
          <w:tcPr>
            <w:tcW w:w="520" w:type="dxa"/>
            <w:vAlign w:val="bottom"/>
            <w:tcBorders>
              <w:top w:val="single" w:sz="8" w:color="CEFFE7"/>
            </w:tcBorders>
            <w:shd w:val="clear" w:color="auto" w:fill="CEFFE7"/>
          </w:tcPr>
          <w:p>
            <w:pPr>
              <w:spacing w:after="0"/>
              <w:rPr>
                <w:sz w:val="4"/>
                <w:szCs w:val="4"/>
                <w:color w:val="auto"/>
              </w:rPr>
            </w:pPr>
          </w:p>
        </w:tc>
        <w:tc>
          <w:tcPr>
            <w:tcW w:w="280" w:type="dxa"/>
            <w:vAlign w:val="bottom"/>
            <w:tcBorders>
              <w:top w:val="single" w:sz="8" w:color="CEFFE7"/>
            </w:tcBorders>
            <w:shd w:val="clear" w:color="auto" w:fill="CEFFE7"/>
          </w:tcPr>
          <w:p>
            <w:pPr>
              <w:spacing w:after="0"/>
              <w:rPr>
                <w:sz w:val="4"/>
                <w:szCs w:val="4"/>
                <w:color w:val="auto"/>
              </w:rPr>
            </w:pPr>
          </w:p>
        </w:tc>
        <w:tc>
          <w:tcPr>
            <w:tcW w:w="960" w:type="dxa"/>
            <w:vAlign w:val="bottom"/>
            <w:tcBorders>
              <w:top w:val="single" w:sz="8" w:color="CEFFE7"/>
            </w:tcBorders>
            <w:shd w:val="clear" w:color="auto" w:fill="CEFFE7"/>
          </w:tcPr>
          <w:p>
            <w:pPr>
              <w:spacing w:after="0"/>
              <w:rPr>
                <w:sz w:val="4"/>
                <w:szCs w:val="4"/>
                <w:color w:val="auto"/>
              </w:rPr>
            </w:pPr>
          </w:p>
        </w:tc>
        <w:tc>
          <w:tcPr>
            <w:tcW w:w="300" w:type="dxa"/>
            <w:vAlign w:val="bottom"/>
            <w:tcBorders>
              <w:top w:val="single" w:sz="8" w:color="CEFFE7"/>
            </w:tcBorders>
            <w:shd w:val="clear" w:color="auto" w:fill="CEFFE7"/>
          </w:tcPr>
          <w:p>
            <w:pPr>
              <w:spacing w:after="0"/>
              <w:rPr>
                <w:sz w:val="4"/>
                <w:szCs w:val="4"/>
                <w:color w:val="auto"/>
              </w:rPr>
            </w:pPr>
          </w:p>
        </w:tc>
        <w:tc>
          <w:tcPr>
            <w:tcW w:w="960" w:type="dxa"/>
            <w:vAlign w:val="bottom"/>
            <w:tcBorders>
              <w:top w:val="single" w:sz="8" w:color="CEFFE7"/>
            </w:tcBorders>
            <w:shd w:val="clear" w:color="auto" w:fill="CEFFE7"/>
          </w:tcPr>
          <w:p>
            <w:pPr>
              <w:spacing w:after="0"/>
              <w:rPr>
                <w:sz w:val="4"/>
                <w:szCs w:val="4"/>
                <w:color w:val="auto"/>
              </w:rPr>
            </w:pPr>
          </w:p>
        </w:tc>
        <w:tc>
          <w:tcPr>
            <w:tcW w:w="240" w:type="dxa"/>
            <w:vAlign w:val="bottom"/>
            <w:tcBorders>
              <w:top w:val="single" w:sz="8" w:color="CEFFE7"/>
            </w:tcBorders>
            <w:shd w:val="clear" w:color="auto" w:fill="CEFFE7"/>
          </w:tcPr>
          <w:p>
            <w:pPr>
              <w:spacing w:after="0"/>
              <w:rPr>
                <w:sz w:val="4"/>
                <w:szCs w:val="4"/>
                <w:color w:val="auto"/>
              </w:rPr>
            </w:pPr>
          </w:p>
        </w:tc>
        <w:tc>
          <w:tcPr>
            <w:tcW w:w="1020" w:type="dxa"/>
            <w:vAlign w:val="bottom"/>
            <w:tcBorders>
              <w:top w:val="single" w:sz="8" w:color="CEFFE7"/>
            </w:tcBorders>
            <w:shd w:val="clear" w:color="auto" w:fill="CEFFE7"/>
          </w:tcPr>
          <w:p>
            <w:pPr>
              <w:spacing w:after="0"/>
              <w:rPr>
                <w:sz w:val="4"/>
                <w:szCs w:val="4"/>
                <w:color w:val="auto"/>
              </w:rPr>
            </w:pPr>
          </w:p>
        </w:tc>
        <w:tc>
          <w:tcPr>
            <w:tcW w:w="280" w:type="dxa"/>
            <w:vAlign w:val="bottom"/>
            <w:tcBorders>
              <w:top w:val="single" w:sz="8" w:color="CEFFE7"/>
            </w:tcBorders>
            <w:shd w:val="clear" w:color="auto" w:fill="CEFFE7"/>
          </w:tcPr>
          <w:p>
            <w:pPr>
              <w:spacing w:after="0"/>
              <w:rPr>
                <w:sz w:val="4"/>
                <w:szCs w:val="4"/>
                <w:color w:val="auto"/>
              </w:rPr>
            </w:pPr>
          </w:p>
        </w:tc>
        <w:tc>
          <w:tcPr>
            <w:tcW w:w="980" w:type="dxa"/>
            <w:vAlign w:val="bottom"/>
            <w:tcBorders>
              <w:top w:val="single" w:sz="8" w:color="CEFFE7"/>
            </w:tcBorders>
            <w:shd w:val="clear" w:color="auto" w:fill="CEFFE7"/>
          </w:tcPr>
          <w:p>
            <w:pPr>
              <w:spacing w:after="0"/>
              <w:rPr>
                <w:sz w:val="4"/>
                <w:szCs w:val="4"/>
                <w:color w:val="auto"/>
              </w:rPr>
            </w:pPr>
          </w:p>
        </w:tc>
        <w:tc>
          <w:tcPr>
            <w:tcW w:w="280" w:type="dxa"/>
            <w:vAlign w:val="bottom"/>
            <w:tcBorders>
              <w:top w:val="single" w:sz="8" w:color="CEFFE7"/>
            </w:tcBorders>
            <w:shd w:val="clear" w:color="auto" w:fill="CEFFE7"/>
          </w:tcPr>
          <w:p>
            <w:pPr>
              <w:spacing w:after="0"/>
              <w:rPr>
                <w:sz w:val="4"/>
                <w:szCs w:val="4"/>
                <w:color w:val="auto"/>
              </w:rPr>
            </w:pPr>
          </w:p>
        </w:tc>
        <w:tc>
          <w:tcPr>
            <w:tcW w:w="980" w:type="dxa"/>
            <w:vAlign w:val="bottom"/>
            <w:tcBorders>
              <w:top w:val="single" w:sz="8" w:color="CEFFE7"/>
            </w:tcBorders>
            <w:shd w:val="clear" w:color="auto" w:fill="CEFFE7"/>
          </w:tcPr>
          <w:p>
            <w:pPr>
              <w:spacing w:after="0"/>
              <w:rPr>
                <w:sz w:val="4"/>
                <w:szCs w:val="4"/>
                <w:color w:val="auto"/>
              </w:rPr>
            </w:pPr>
          </w:p>
        </w:tc>
        <w:tc>
          <w:tcPr>
            <w:tcW w:w="220" w:type="dxa"/>
            <w:vAlign w:val="bottom"/>
            <w:tcBorders>
              <w:top w:val="single" w:sz="8" w:color="CEFFE7"/>
            </w:tcBorders>
            <w:shd w:val="clear" w:color="auto" w:fill="CEFFE7"/>
          </w:tcPr>
          <w:p>
            <w:pPr>
              <w:spacing w:after="0"/>
              <w:rPr>
                <w:sz w:val="4"/>
                <w:szCs w:val="4"/>
                <w:color w:val="auto"/>
              </w:rPr>
            </w:pPr>
          </w:p>
        </w:tc>
        <w:tc>
          <w:tcPr>
            <w:tcW w:w="1040" w:type="dxa"/>
            <w:vAlign w:val="bottom"/>
            <w:tcBorders>
              <w:top w:val="single" w:sz="8" w:color="CEFFE7"/>
            </w:tcBorders>
            <w:shd w:val="clear" w:color="auto" w:fill="CEFFE7"/>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880" w:type="dxa"/>
            <w:vAlign w:val="bottom"/>
            <w:gridSpan w:val="4"/>
          </w:tcPr>
          <w:p>
            <w:pPr>
              <w:ind w:left="40"/>
              <w:spacing w:after="0"/>
              <w:rPr>
                <w:sz w:val="20"/>
                <w:szCs w:val="20"/>
                <w:color w:val="auto"/>
              </w:rPr>
            </w:pPr>
            <w:r>
              <w:rPr>
                <w:rFonts w:ascii="Arial" w:cs="Arial" w:eastAsia="Arial" w:hAnsi="Arial"/>
                <w:sz w:val="18"/>
                <w:szCs w:val="18"/>
                <w:color w:val="auto"/>
              </w:rPr>
              <w:t>Electric Utilities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27,324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24,181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3,143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68,386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62,625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Gas Utilities</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(4,329)</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(2,939)</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(1,390)</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41,409</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29,975</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11,434</w:t>
            </w:r>
          </w:p>
        </w:tc>
        <w:tc>
          <w:tcPr>
            <w:tcW w:w="0" w:type="dxa"/>
            <w:vAlign w:val="bottom"/>
          </w:tcPr>
          <w:p>
            <w:pPr>
              <w:spacing w:after="0"/>
              <w:rPr>
                <w:sz w:val="1"/>
                <w:szCs w:val="1"/>
                <w:color w:val="auto"/>
              </w:rPr>
            </w:pPr>
          </w:p>
        </w:tc>
      </w:tr>
      <w:tr>
        <w:trPr>
          <w:trHeight w:val="270"/>
        </w:trPr>
        <w:tc>
          <w:tcPr>
            <w:tcW w:w="388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6,155</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5,642</w:t>
            </w: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18,017</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19,907</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Mining</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3,477</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3,307</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170</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9,048</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6,969</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70"/>
        </w:trPr>
        <w:tc>
          <w:tcPr>
            <w:tcW w:w="3880" w:type="dxa"/>
            <w:vAlign w:val="bottom"/>
            <w:tcBorders>
              <w:bottom w:val="single" w:sz="8" w:color="CEFFE7"/>
            </w:tcBorders>
            <w:gridSpan w:val="4"/>
          </w:tcPr>
          <w:p>
            <w:pPr>
              <w:ind w:left="40"/>
              <w:spacing w:after="0" w:line="270" w:lineRule="exact"/>
              <w:rPr>
                <w:sz w:val="20"/>
                <w:szCs w:val="20"/>
                <w:color w:val="auto"/>
              </w:rPr>
            </w:pPr>
            <w:r>
              <w:rPr>
                <w:rFonts w:ascii="Arial" w:cs="Arial" w:eastAsia="Arial" w:hAnsi="Arial"/>
                <w:sz w:val="18"/>
                <w:szCs w:val="18"/>
                <w:color w:val="auto"/>
              </w:rPr>
              <w:t xml:space="preserve">Oil and Gas </w:t>
            </w:r>
            <w:r>
              <w:rPr>
                <w:rFonts w:ascii="Arial" w:cs="Arial" w:eastAsia="Arial" w:hAnsi="Arial"/>
                <w:sz w:val="25"/>
                <w:szCs w:val="25"/>
                <w:color w:val="auto"/>
                <w:vertAlign w:val="superscript"/>
              </w:rPr>
              <w:t>(b) (c)</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(8,828)</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6,116</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(35,277)</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27,668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spacing w:after="0"/>
              <w:rPr>
                <w:sz w:val="22"/>
                <w:szCs w:val="22"/>
                <w:color w:val="auto"/>
              </w:rPr>
            </w:pPr>
          </w:p>
        </w:tc>
        <w:tc>
          <w:tcPr>
            <w:tcW w:w="2700" w:type="dxa"/>
            <w:vAlign w:val="bottom"/>
            <w:tcBorders>
              <w:bottom w:val="single" w:sz="8" w:color="CEFFE7"/>
            </w:tcBorders>
            <w:shd w:val="clear" w:color="auto" w:fill="CEFFE7"/>
          </w:tcPr>
          <w:p>
            <w:pPr>
              <w:spacing w:after="0"/>
              <w:rPr>
                <w:sz w:val="22"/>
                <w:szCs w:val="22"/>
                <w:color w:val="auto"/>
              </w:rPr>
            </w:pPr>
          </w:p>
        </w:tc>
        <w:tc>
          <w:tcPr>
            <w:tcW w:w="52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29,915</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21,363</w:t>
            </w:r>
          </w:p>
        </w:tc>
        <w:tc>
          <w:tcPr>
            <w:tcW w:w="24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8,552</w:t>
            </w:r>
          </w:p>
        </w:tc>
        <w:tc>
          <w:tcPr>
            <w:tcW w:w="280" w:type="dxa"/>
            <w:vAlign w:val="bottom"/>
            <w:tcBorders>
              <w:bottom w:val="single" w:sz="8" w:color="CEFFE7"/>
            </w:tcBorders>
            <w:shd w:val="clear" w:color="auto" w:fill="CEFFE7"/>
          </w:tcPr>
          <w:p>
            <w:pPr>
              <w:spacing w:after="0"/>
              <w:rPr>
                <w:sz w:val="22"/>
                <w:szCs w:val="22"/>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129,251</w:t>
            </w:r>
          </w:p>
        </w:tc>
        <w:tc>
          <w:tcPr>
            <w:tcW w:w="280" w:type="dxa"/>
            <w:vAlign w:val="bottom"/>
            <w:tcBorders>
              <w:bottom w:val="single" w:sz="8" w:color="CEFFE7"/>
            </w:tcBorders>
            <w:shd w:val="clear" w:color="auto" w:fill="CEFFE7"/>
          </w:tcPr>
          <w:p>
            <w:pPr>
              <w:spacing w:after="0"/>
              <w:rPr>
                <w:sz w:val="22"/>
                <w:szCs w:val="22"/>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84,199</w:t>
            </w:r>
          </w:p>
        </w:tc>
        <w:tc>
          <w:tcPr>
            <w:tcW w:w="22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45,052</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80" w:type="dxa"/>
            <w:vAlign w:val="bottom"/>
            <w:gridSpan w:val="4"/>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Corporate activities and eliminations </w:t>
            </w:r>
            <w:r>
              <w:rPr>
                <w:rFonts w:ascii="Arial" w:cs="Arial" w:eastAsia="Arial" w:hAnsi="Arial"/>
                <w:sz w:val="25"/>
                <w:szCs w:val="25"/>
                <w:color w:val="auto"/>
                <w:vertAlign w:val="superscript"/>
              </w:rPr>
              <w:t>(d) (e)</w:t>
            </w:r>
          </w:p>
        </w:tc>
        <w:tc>
          <w:tcPr>
            <w:tcW w:w="28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(2,252)</w:t>
            </w:r>
          </w:p>
        </w:tc>
        <w:tc>
          <w:tcPr>
            <w:tcW w:w="30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(7,232)</w:t>
            </w:r>
          </w:p>
        </w:tc>
        <w:tc>
          <w:tcPr>
            <w:tcW w:w="240" w:type="dxa"/>
            <w:vAlign w:val="bottom"/>
            <w:tcBorders>
              <w:bottom w:val="single" w:sz="8" w:color="auto"/>
            </w:tcBorders>
            <w:shd w:val="clear" w:color="auto" w:fill="CEFFE7"/>
          </w:tcPr>
          <w:p>
            <w:pPr>
              <w:spacing w:after="0"/>
              <w:rPr>
                <w:sz w:val="23"/>
                <w:szCs w:val="23"/>
                <w:color w:val="auto"/>
              </w:rPr>
            </w:pP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4,980</w:t>
            </w:r>
          </w:p>
        </w:tc>
        <w:tc>
          <w:tcPr>
            <w:tcW w:w="280" w:type="dxa"/>
            <w:vAlign w:val="bottom"/>
            <w:tcBorders>
              <w:bottom w:val="single" w:sz="8" w:color="auto"/>
            </w:tcBorders>
            <w:shd w:val="clear" w:color="auto" w:fill="CEFFE7"/>
          </w:tcPr>
          <w:p>
            <w:pPr>
              <w:spacing w:after="0"/>
              <w:rPr>
                <w:sz w:val="23"/>
                <w:szCs w:val="23"/>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(2,870)</w:t>
            </w:r>
          </w:p>
        </w:tc>
        <w:tc>
          <w:tcPr>
            <w:tcW w:w="280" w:type="dxa"/>
            <w:vAlign w:val="bottom"/>
            <w:tcBorders>
              <w:bottom w:val="single" w:sz="8" w:color="auto"/>
            </w:tcBorders>
            <w:shd w:val="clear" w:color="auto" w:fill="CEFFE7"/>
          </w:tcPr>
          <w:p>
            <w:pPr>
              <w:spacing w:after="0"/>
              <w:rPr>
                <w:sz w:val="23"/>
                <w:szCs w:val="23"/>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(29,397)</w:t>
            </w:r>
          </w:p>
        </w:tc>
        <w:tc>
          <w:tcPr>
            <w:tcW w:w="220" w:type="dxa"/>
            <w:vAlign w:val="bottom"/>
            <w:tcBorders>
              <w:bottom w:val="single" w:sz="8" w:color="auto"/>
            </w:tcBorders>
            <w:shd w:val="clear" w:color="auto" w:fill="CEFFE7"/>
          </w:tcPr>
          <w:p>
            <w:pPr>
              <w:spacing w:after="0"/>
              <w:rPr>
                <w:sz w:val="23"/>
                <w:szCs w:val="23"/>
                <w:color w:val="auto"/>
              </w:rPr>
            </w:pPr>
          </w:p>
        </w:tc>
        <w:tc>
          <w:tcPr>
            <w:tcW w:w="10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26,527</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EFFE7"/>
            </w:tcBorders>
            <w:shd w:val="clear" w:color="auto" w:fill="CEFFE7"/>
          </w:tcPr>
          <w:p>
            <w:pPr>
              <w:spacing w:after="0"/>
              <w:rPr>
                <w:sz w:val="22"/>
                <w:szCs w:val="22"/>
                <w:color w:val="auto"/>
              </w:rPr>
            </w:pPr>
          </w:p>
        </w:tc>
        <w:tc>
          <w:tcPr>
            <w:tcW w:w="384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Net income available for common stock</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27,663</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14,131</w:t>
            </w:r>
          </w:p>
        </w:tc>
        <w:tc>
          <w:tcPr>
            <w:tcW w:w="2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13,532</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126,381</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54,802</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71,579</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6"/>
                <w:szCs w:val="16"/>
                <w:color w:val="auto"/>
              </w:rPr>
              <w:t>__________</w:t>
            </w: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6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500" w:hanging="332"/>
        <w:spacing w:after="0" w:line="263"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Net income available for common stock for the three and nine months ended September 30, 2017 is net of net income attributable to noncontrolling interest of $3.9 million and $11 million, respectively, and $3.8 million and $6.4 million for the three and nine months ended September 30, 2016, respectively.</w:t>
      </w:r>
    </w:p>
    <w:p>
      <w:pPr>
        <w:ind w:left="340" w:right="200" w:hanging="332"/>
        <w:spacing w:after="0" w:line="263"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Net (loss) available for common stock for the three and nine months ended September 30, 2016 included non-cash after-tax impairments of our oil and gas properties of $7.9 million and $33 million, respectively. See Note 17 of the Condensed Consolidated Financial Statements in this Quarterly Report on Form 10-Q.</w:t>
      </w:r>
    </w:p>
    <w:p>
      <w:pPr>
        <w:ind w:left="340" w:right="32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(loss) available for common stock for the nine months ended September 30, 2016 included a tax benefit of approximately $5.8 million recognized from additional percentage depletion deductions that are being claimed with respect to our oil and gas properties involving prior tax years.</w:t>
      </w:r>
    </w:p>
    <w:p>
      <w:pPr>
        <w:ind w:left="340" w:right="6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(loss) available for common stock for the three and nine months ended September 30, 2017 included incremental, non-recurring acquisition costs, after-tax of $0.2 million and $1.5 million, respectively, as compared to $4.0 million and $24 million for the same periods in the prior year. The three and nine months ended September 30, 2016 also included after-tax internal labor costs attributable to the acquisition of $1.7 million and $7.4 million, respectively.</w:t>
      </w:r>
    </w:p>
    <w:p>
      <w:pPr>
        <w:spacing w:after="0" w:line="1" w:lineRule="exact"/>
        <w:rPr>
          <w:rFonts w:ascii="Arial" w:cs="Arial" w:eastAsia="Arial" w:hAnsi="Arial"/>
          <w:sz w:val="16"/>
          <w:szCs w:val="16"/>
          <w:color w:val="auto"/>
        </w:rPr>
      </w:pPr>
    </w:p>
    <w:p>
      <w:pPr>
        <w:ind w:left="340" w:right="100" w:hanging="332"/>
        <w:spacing w:after="0" w:line="25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(loss) available for common stock for the nine months ended September 30, 2017 included a net tax benefit of approximately $1.4 million from a carryback claim for specified liability losses involving prior tax years. Net (loss) available for common stock for the nine months ended September 30, 2016 included tax benefits of approximately $4.4 million as a result of the re-measurement of the liability for uncertain tax positions predicated on an agreement reached with IRS Appeals in early 2016. See Note 18 of the Condensed Consolidated Financial Statements in this Quarterly Report on Form 10-Q.</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Overview of Business Segments and Corporate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 Utilities Segment</w:t>
      </w:r>
    </w:p>
    <w:p>
      <w:pPr>
        <w:spacing w:after="0" w:line="225" w:lineRule="exact"/>
        <w:rPr>
          <w:sz w:val="20"/>
          <w:szCs w:val="20"/>
          <w:color w:val="auto"/>
        </w:rPr>
      </w:pPr>
    </w:p>
    <w:p>
      <w:pPr>
        <w:ind w:left="660" w:right="80" w:hanging="328"/>
        <w:spacing w:after="0" w:line="276"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Electric Utilities experienced milder summer weather during the three and nine months ended September 30, 2017 compared to the three and nine months ended September 30, 2016. Cooling degree days for the three and nine months ended September 30, 2017 were both 15% higher than normal, compared to 15% and 26% higher than normal for the same periods in 2016. Compared to the same periods in the prior year, cooling degree days were 5% and 14% lower, respectively. Heating degree days for the three and nine months ended September 30, 2017 were 8% and 11% lower than normal, respectively, compared to 34% and 13% lower than normal for the same periods in 2016.</w:t>
      </w:r>
    </w:p>
    <w:p>
      <w:pPr>
        <w:spacing w:after="0" w:line="172" w:lineRule="exact"/>
        <w:rPr>
          <w:rFonts w:ascii="Arial" w:cs="Arial" w:eastAsia="Arial" w:hAnsi="Arial"/>
          <w:sz w:val="17"/>
          <w:szCs w:val="17"/>
          <w:color w:val="auto"/>
        </w:rPr>
      </w:pPr>
    </w:p>
    <w:p>
      <w:pPr>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January 17, 2017, Colorado Electric received approval from the CPUC on a settlement agreement for its electric resource plan which provides for the addition of 60 megawatts of renewable energy to be in service by 2019. The resource plan was filed June 3, 2016, to meet requirements under the Colorado Renewable Energy Standard. In the second quarter of 2017, Colorado Electric issued a request for proposals to construct new generation and plans to present the results to the CPUC by year-end.</w:t>
      </w:r>
    </w:p>
    <w:p>
      <w:pPr>
        <w:spacing w:after="0" w:line="186"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January 9, 2017, we filed an application with the CPUC for rehearing, reargument or reconsideration of the Commission’s December 19, 2016 decision to increase annual revenue by $1.2 million. This application was denied by the CPUC on June 9, 2017. We subsequently filed an appeal of this decision with Denver County District Court on July 10, 2017. The briefing schedule runs through November 2017. The timing of a ruling is uncertain.</w:t>
      </w:r>
    </w:p>
    <w:p>
      <w:pPr>
        <w:spacing w:after="0" w:line="186" w:lineRule="exact"/>
        <w:rPr>
          <w:rFonts w:ascii="Arial" w:cs="Arial" w:eastAsia="Arial" w:hAnsi="Arial"/>
          <w:sz w:val="18"/>
          <w:szCs w:val="18"/>
          <w:color w:val="auto"/>
        </w:rPr>
      </w:pPr>
    </w:p>
    <w:p>
      <w:pPr>
        <w:jc w:val="both"/>
        <w:ind w:left="660" w:right="1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Construction was completed on the 144 mile transmission line connecting the Teckla Substation in northeast Wyoming to the Lange Substation near Rapid City, South Dakota. The first segment of this project connecting Teckla to Osage, WY was placed in service on August 31, 2016. The second segment connecting Osage to Lange was placed in service on May 30, 2017.</w:t>
      </w:r>
    </w:p>
    <w:p>
      <w:pPr>
        <w:spacing w:after="0" w:line="181" w:lineRule="exact"/>
        <w:rPr>
          <w:rFonts w:ascii="Arial" w:cs="Arial" w:eastAsia="Arial" w:hAnsi="Arial"/>
          <w:sz w:val="18"/>
          <w:szCs w:val="18"/>
          <w:color w:val="auto"/>
        </w:rPr>
      </w:pPr>
    </w:p>
    <w:p>
      <w:pPr>
        <w:ind w:right="300" w:firstLine="332"/>
        <w:spacing w:after="0" w:line="501"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On July 19, 2017, Wyoming Electric set a new summer load peak of 249 MW, exceeding the previous summer peak of 236 MW set in July 2016. </w:t>
      </w:r>
      <w:r>
        <w:rPr>
          <w:rFonts w:ascii="Arial" w:cs="Arial" w:eastAsia="Arial" w:hAnsi="Arial"/>
          <w:sz w:val="18"/>
          <w:szCs w:val="18"/>
          <w:u w:val="single" w:color="auto"/>
          <w:color w:val="auto"/>
        </w:rPr>
        <w:t>Gas Utilities Segment</w:t>
      </w:r>
    </w:p>
    <w:p>
      <w:pPr>
        <w:ind w:left="660" w:right="2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October 3, 2017, RMNG filed a rate review application with the CPUC requesting an annual increase in revenue of $2.2 million and an extension of SSIR to recover costs from 2018 through 2022. The annual increase is based on a return on equity of 12.25% and a capital structure of 53.37% debt and 46.63% equity. This rate review was driven by the impending expiration of the SSIR on May 31, 2018; this application requests a continuation of the SSIR through 2022.</w:t>
      </w:r>
    </w:p>
    <w:p>
      <w:pPr>
        <w:spacing w:after="0" w:line="186"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Gas Utilities experienced milder weather during the non-peak three months ended September 30, 2017 compared to the three months ended September 30, 2016. Heating degree days for the three months ended September 30, 2017 were 22% lower than normal compared to 2% lower than normal for the same period in 2016. For the nine months ended September 30, 2017, Gas Utilities experienced slightly colder weather compared to the nine months ended September 30, 2016. Heating degree days were 12% lower than normal for the nine months ended September 30, 2017 compared to 20% lower than normal for the same period in 2016.</w:t>
      </w:r>
    </w:p>
    <w:p>
      <w:pPr>
        <w:spacing w:after="0" w:line="188" w:lineRule="exact"/>
        <w:rPr>
          <w:sz w:val="20"/>
          <w:szCs w:val="20"/>
          <w:color w:val="auto"/>
        </w:rPr>
      </w:pPr>
    </w:p>
    <w:p>
      <w:pPr>
        <w:ind w:left="660" w:right="240"/>
        <w:spacing w:after="0" w:line="342" w:lineRule="auto"/>
        <w:rPr>
          <w:sz w:val="20"/>
          <w:szCs w:val="20"/>
          <w:color w:val="auto"/>
        </w:rPr>
      </w:pPr>
      <w:r>
        <w:rPr>
          <w:rFonts w:ascii="Arial" w:cs="Arial" w:eastAsia="Arial" w:hAnsi="Arial"/>
          <w:sz w:val="16"/>
          <w:szCs w:val="16"/>
          <w:color w:val="auto"/>
        </w:rPr>
        <w:t>The Gas Utilities also experienced cooler summer temperatures and higher precipitation levels during the three months ended September 30, 2017 than the same period in 2016, which reduced the irrigation load delivered to agricultural customers, primarily in our Nebraska service territory.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Oil and Gas Segment</w:t>
      </w:r>
    </w:p>
    <w:p>
      <w:pPr>
        <w:spacing w:after="0" w:line="225" w:lineRule="exact"/>
        <w:rPr>
          <w:sz w:val="20"/>
          <w:szCs w:val="20"/>
          <w:color w:val="auto"/>
        </w:rPr>
      </w:pPr>
    </w:p>
    <w:p>
      <w:pPr>
        <w:ind w:left="660" w:right="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November 1, 2017, our board of directors authorized the sale of all remaining oil and gas assets and the exit of the business. The segment will be reported as discontinued operations beginning with fourth quarter results. The company has retained advisors to support its ongoing property sales efforts and plans to divest all remaining properties by year-end 2018.</w:t>
      </w:r>
    </w:p>
    <w:p>
      <w:pPr>
        <w:spacing w:after="0" w:line="18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recently signed agreements to sell our San Juan Basin assets in New Mexico and certain Powder River Basin assets in Wyoming for a combined $28 million. The San Juan Basin transaction is subject to final approval from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U.S. Bureau of Indian Affairs and U.S. Bureau of Land Management. Both transactions are expected to close by year-end.</w:t>
      </w:r>
    </w:p>
    <w:p>
      <w:pPr>
        <w:spacing w:after="0" w:line="239" w:lineRule="exact"/>
        <w:rPr>
          <w:sz w:val="20"/>
          <w:szCs w:val="20"/>
          <w:color w:val="auto"/>
        </w:rPr>
      </w:pPr>
    </w:p>
    <w:p>
      <w:pPr>
        <w:ind w:left="660" w:hanging="328"/>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Oil and Gas production volumes decreased 9% and 17% for the three and nine months ended September 30, 2017 compared to the same periods in 2016, respectively. The decrease in production was due to the 2016 sales of non-core properties, and limiting natural gas production to meet minimum daily quantity contractual gas processing commitments in the Piceance. Crude oil production also decreased due to non-core property sales in the fourth quarter of 2016. The average hedged price received for natural gas decreased 15% for the three months ended September 30, 2017 and increased 21% for the nine months ended September 30, 2017 compared to the same periods in 2016, respectively. The average hedged price received for oil decreased 11% and 14% for the three and nine months ended September 30, 2017 compared to the same periods in 2016,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Activities</w:t>
      </w:r>
    </w:p>
    <w:p>
      <w:pPr>
        <w:spacing w:after="0" w:line="225" w:lineRule="exact"/>
        <w:rPr>
          <w:sz w:val="20"/>
          <w:szCs w:val="20"/>
          <w:color w:val="auto"/>
        </w:rPr>
      </w:pPr>
    </w:p>
    <w:p>
      <w:pPr>
        <w:jc w:val="both"/>
        <w:ind w:left="660" w:right="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August 4, 2017, we renewed the ATM equity offering program initiated in March 2016 which reset the size of the ATM equity offering program to an aggregate value of up to $300 million. The renewed program, which allows us to sell shares of our common stock, is the same as the prior year program with the exception that the aggregate value increased $100 million.</w:t>
      </w:r>
    </w:p>
    <w:p>
      <w:pPr>
        <w:spacing w:after="0" w:line="18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utilized favorable short-term borrowings from our CP program to pay down $100 million on a Corporate term loan due in 2019 with principal payments of $50 million paid in May and an additional $50 million paid in July.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July 21, 2017, S&amp;P affirmed Black Hills’ credit rating at BBB rating and maintained a Stable outlook.</w:t>
      </w:r>
    </w:p>
    <w:p>
      <w:pPr>
        <w:spacing w:after="0" w:line="225" w:lineRule="exact"/>
        <w:rPr>
          <w:rFonts w:ascii="Arial" w:cs="Arial" w:eastAsia="Arial" w:hAnsi="Arial"/>
          <w:sz w:val="18"/>
          <w:szCs w:val="18"/>
          <w:color w:val="auto"/>
        </w:rPr>
      </w:pPr>
    </w:p>
    <w:p>
      <w:pPr>
        <w:ind w:left="660" w:right="40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 October 4, 2017, Fitch affirmed Black Hills’ credit rating at BBB+ rating and changed its outlook from Negative to Stable, citing successful integration of SourceGas, a low business risk profile focused on utility operations and expected improvement of credit metrics.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 Potential Corporate Tax Reform</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President Trump and Congressional Republicans have stated that one of their top priorities is enactment of comprehensive tax reform. On November 2, 2017, the House Ways and Means Committee released its tax reform bill. Significant uncertainty exists as to the ultimate legislation that will be enacted into law. We are evaluating the proposed legislation; any impact on our future results of operations, financial position and cash flows as a result of the potential changes cannot yet be determined and such changes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operating results from our segments and Corporate activities follows.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from the measure. The presentation of gross margin is intended to supplement investors’ understanding of our operating performance.</w:t>
      </w:r>
    </w:p>
    <w:p>
      <w:pPr>
        <w:spacing w:after="0" w:line="15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Gross margin for our Electric Utilities is calculated as operating revenue less cost of fuel and purchased power. Gross margin for our Gas Utilities is calculated as operating revenue less cost of natural gas sold. Our gross margin is impacted by the fluctuations in power purchases and natural gas and other fuel supply costs. However, while these fluctuating costs impact gross margin as a percentage of revenue, they only impact total gross margin if the costs cannot be passed through to our customers.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611" w:right="2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Electric Utilities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290"/>
              <w:spacing w:after="0"/>
              <w:rPr>
                <w:sz w:val="20"/>
                <w:szCs w:val="20"/>
                <w:color w:val="auto"/>
              </w:rPr>
            </w:pPr>
            <w:r>
              <w:rPr>
                <w:rFonts w:ascii="Arial" w:cs="Arial" w:eastAsia="Arial" w:hAnsi="Arial"/>
                <w:sz w:val="18"/>
                <w:szCs w:val="18"/>
                <w:color w:val="auto"/>
                <w:w w:val="94"/>
              </w:rPr>
              <w:t>Three Months Ended September 30,</w:t>
            </w:r>
          </w:p>
        </w:tc>
        <w:tc>
          <w:tcPr>
            <w:tcW w:w="260" w:type="dxa"/>
            <w:vAlign w:val="bottom"/>
          </w:tcPr>
          <w:p>
            <w:pPr>
              <w:spacing w:after="0"/>
              <w:rPr>
                <w:sz w:val="24"/>
                <w:szCs w:val="24"/>
                <w:color w:val="auto"/>
              </w:rPr>
            </w:pPr>
          </w:p>
        </w:tc>
        <w:tc>
          <w:tcPr>
            <w:tcW w:w="3140" w:type="dxa"/>
            <w:vAlign w:val="bottom"/>
            <w:gridSpan w:val="5"/>
          </w:tcPr>
          <w:p>
            <w:pPr>
              <w:jc w:val="right"/>
              <w:ind w:right="330"/>
              <w:spacing w:after="0"/>
              <w:rPr>
                <w:sz w:val="20"/>
                <w:szCs w:val="20"/>
                <w:color w:val="auto"/>
              </w:rPr>
            </w:pPr>
            <w:r>
              <w:rPr>
                <w:rFonts w:ascii="Arial" w:cs="Arial" w:eastAsia="Arial" w:hAnsi="Arial"/>
                <w:sz w:val="18"/>
                <w:szCs w:val="18"/>
                <w:color w:val="auto"/>
                <w:w w:val="96"/>
              </w:rPr>
              <w:t>Nine Months Ended September 30,</w:t>
            </w: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right"/>
              <w:ind w:right="51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183,571</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174,501</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9,070</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528,048</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503,258</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24,790</w:t>
            </w: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Total fuel and purchased power</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68,733</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66,953</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1,780</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199,398</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194,477</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4,921</w:t>
            </w: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114,838</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107,548</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7,290</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328,650</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308,781</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19,869</w:t>
            </w: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40,204</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38,108</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2,096</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125,302</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116,312</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8,990</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23,446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21,063</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2,383</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69,427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62,794</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6,633</w:t>
            </w:r>
          </w:p>
        </w:tc>
      </w:tr>
      <w:tr>
        <w:trPr>
          <w:trHeight w:val="27"/>
        </w:trPr>
        <w:tc>
          <w:tcPr>
            <w:tcW w:w="20" w:type="dxa"/>
            <w:vAlign w:val="bottom"/>
          </w:tcPr>
          <w:p>
            <w:pPr>
              <w:spacing w:after="0"/>
              <w:rPr>
                <w:sz w:val="2"/>
                <w:szCs w:val="2"/>
                <w:color w:val="auto"/>
              </w:rPr>
            </w:pPr>
          </w:p>
        </w:tc>
        <w:tc>
          <w:tcPr>
            <w:tcW w:w="1180" w:type="dxa"/>
            <w:vAlign w:val="bottom"/>
            <w:tcBorders>
              <w:bottom w:val="single" w:sz="8" w:color="CEFFE7"/>
            </w:tcBorders>
          </w:tcPr>
          <w:p>
            <w:pPr>
              <w:spacing w:after="0"/>
              <w:rPr>
                <w:sz w:val="2"/>
                <w:szCs w:val="2"/>
                <w:color w:val="auto"/>
              </w:rPr>
            </w:pPr>
          </w:p>
        </w:tc>
        <w:tc>
          <w:tcPr>
            <w:tcW w:w="33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45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63,650</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59,171</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4,479</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194,729</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179,106</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15,623</w:t>
            </w: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51,188</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48,377</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2,811</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133,921</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129,675</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4,246</w:t>
            </w: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(12,744)</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(12,046)</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(698)</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(39,049)</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(36,676)</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(2,373)</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1,579</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2,828</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(11,769)</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(13,485)</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1,716</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(28,065)</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(33,202)</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5,137</w:t>
            </w:r>
          </w:p>
        </w:tc>
      </w:tr>
      <w:tr>
        <w:trPr>
          <w:trHeight w:val="257"/>
        </w:trPr>
        <w:tc>
          <w:tcPr>
            <w:tcW w:w="20" w:type="dxa"/>
            <w:vAlign w:val="bottom"/>
          </w:tcPr>
          <w:p>
            <w:pPr>
              <w:spacing w:after="0"/>
              <w:rPr>
                <w:sz w:val="22"/>
                <w:szCs w:val="22"/>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27,324</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24,181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68,386</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62,625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5,761</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Results of Operations for the Electric Utilities for the Three Months Ended September 30, 2017 Compared to the Three Months Ended September 30, 2016: </w:t>
      </w:r>
      <w:r>
        <w:rPr>
          <w:rFonts w:ascii="Arial" w:cs="Arial" w:eastAsia="Arial" w:hAnsi="Arial"/>
          <w:sz w:val="17"/>
          <w:szCs w:val="17"/>
          <w:color w:val="auto"/>
        </w:rPr>
        <w:t>Net income available for common stock for the Electric Utilities was $27 million for the three months ended September 30, 2017, compared to Net</w:t>
      </w:r>
      <w:r>
        <w:rPr>
          <w:rFonts w:ascii="Arial" w:cs="Arial" w:eastAsia="Arial" w:hAnsi="Arial"/>
          <w:sz w:val="17"/>
          <w:szCs w:val="17"/>
          <w:b w:val="1"/>
          <w:bCs w:val="1"/>
          <w:color w:val="auto"/>
        </w:rPr>
        <w:t xml:space="preserve"> </w:t>
      </w:r>
      <w:r>
        <w:rPr>
          <w:rFonts w:ascii="Arial" w:cs="Arial" w:eastAsia="Arial" w:hAnsi="Arial"/>
          <w:sz w:val="17"/>
          <w:szCs w:val="17"/>
          <w:color w:val="auto"/>
        </w:rPr>
        <w:t>income available for common stock of $24 million for the three months ended September 30, 2016, as a result of:</w:t>
      </w:r>
    </w:p>
    <w:p>
      <w:pPr>
        <w:spacing w:after="0" w:line="1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increased due primarily to a $3.3 million increase in rider revenues primarily related to transmission investment recovery and a $3.0 million return on investment from the Peak View Wind Project.</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primarily due to $1.4 million of higher generation outage and major maintenance expenses for turbine, generator, pulverizer and boiler work as compared to the prior year. Employee costs increased $0.9 million as a result of prior year integration activities and transition expenses charged to the Corporate segment. In addition, operating expenses increased $0.4 million from the addition of the Peak View Wind Project and the 40-megawatt gas turbine at the Pueblo Airport Generating Station.</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the addition of the Peak View Wind Project and the 40-megawatt gas turbine at the Pueblo Airport Generating Station.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increased primarily due to higher intercompany debt resulting from additional investments as compared to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decreased due to reduced AFUDC with lower current year capital spend.</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was lower than the prior year due primarily to wind production tax credits related to the Peak View Wind Project.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67" w:right="259" w:bottom="1440" w:gutter="0" w:footer="0" w:header="0"/>
        </w:sectPr>
      </w:pPr>
    </w:p>
    <w:bookmarkStart w:id="45" w:name="page46"/>
    <w:bookmarkEnd w:id="45"/>
    <w:p>
      <w:pPr>
        <w:ind w:right="60"/>
        <w:spacing w:after="0" w:line="266" w:lineRule="auto"/>
        <w:rPr>
          <w:sz w:val="20"/>
          <w:szCs w:val="20"/>
          <w:color w:val="auto"/>
        </w:rPr>
      </w:pPr>
      <w:r>
        <w:rPr>
          <w:rFonts w:ascii="Arial" w:cs="Arial" w:eastAsia="Arial" w:hAnsi="Arial"/>
          <w:sz w:val="18"/>
          <w:szCs w:val="18"/>
          <w:b w:val="1"/>
          <w:bCs w:val="1"/>
          <w:color w:val="auto"/>
        </w:rPr>
        <w:t xml:space="preserve">Results of Operations for the Electric Utilities for the Nine Months Ended September 30, 2017 Compared to the Nine Months Ended September 30, 2016: </w:t>
      </w:r>
      <w:r>
        <w:rPr>
          <w:rFonts w:ascii="Arial" w:cs="Arial" w:eastAsia="Arial" w:hAnsi="Arial"/>
          <w:sz w:val="18"/>
          <w:szCs w:val="18"/>
          <w:color w:val="auto"/>
        </w:rPr>
        <w:t>Net income available for common stock for the Electric Utilities was $68 million for the nine months ended September 30, 2017, compared to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available for common stock of $63 million for the nine months ended September 30, 2016, as a result of:</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7"/>
          <w:szCs w:val="17"/>
          <w:u w:val="single" w:color="auto"/>
          <w:color w:val="auto"/>
        </w:rPr>
        <w:t>Gross margin</w:t>
      </w:r>
      <w:r>
        <w:rPr>
          <w:rFonts w:ascii="Arial" w:cs="Arial" w:eastAsia="Arial" w:hAnsi="Arial"/>
          <w:sz w:val="17"/>
          <w:szCs w:val="17"/>
          <w:color w:val="auto"/>
        </w:rPr>
        <w:t xml:space="preserve"> increased over the prior year reflecting a $7.5 million return on investment from the Peak View Wind Project, a $6.4 million increase in rider revenues primarily related to transmission investment recovery and a $3.3 million increase in commercial and industrial margins driven by increased demand largely associated with data centers in Cheyenne, Wyoming. A variety of smaller items contribute to the remainder of the increase.</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primarily due to $4.2 million of higher employee costs as a result of prior year integration activities and transition expenses charged to the Corporate segment, $2.0 million increase in generation outage and major maintenance expenses with increased scope of work, $1.9 million of higher property taxes with an increased asset base, and $1.3 million of higher operating expenses from the Peak View Wind Project and 40-megawatt gas turbine at the Pueblo Airport Generating Station.</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the addition of the Peak View Wind Project and the 40-megawatt gas turbine at the Pueblo Airport Generating Station.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increased primarily due to higher intercompany debt resulting from additional investments as compared to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decreased due to reduced AFUDC with lower current year capital spend.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was lower than the prior year due primarily to wind production tax credits related to the Peak View Wind Project.</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972"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60" w:type="dxa"/>
            <w:vAlign w:val="bottom"/>
            <w:gridSpan w:val="3"/>
          </w:tcPr>
          <w:p>
            <w:pPr>
              <w:jc w:val="right"/>
              <w:ind w:right="390"/>
              <w:spacing w:after="0"/>
              <w:rPr>
                <w:sz w:val="20"/>
                <w:szCs w:val="20"/>
                <w:color w:val="auto"/>
              </w:rPr>
            </w:pPr>
            <w:r>
              <w:rPr>
                <w:rFonts w:ascii="Arial" w:cs="Arial" w:eastAsia="Arial" w:hAnsi="Arial"/>
                <w:sz w:val="18"/>
                <w:szCs w:val="18"/>
                <w:color w:val="auto"/>
                <w:w w:val="94"/>
              </w:rPr>
              <w:t>Three Months Ended September 30,</w:t>
            </w:r>
          </w:p>
        </w:tc>
        <w:tc>
          <w:tcPr>
            <w:tcW w:w="400" w:type="dxa"/>
            <w:vAlign w:val="bottom"/>
          </w:tcPr>
          <w:p>
            <w:pPr>
              <w:spacing w:after="0"/>
              <w:rPr>
                <w:sz w:val="20"/>
                <w:szCs w:val="20"/>
                <w:color w:val="auto"/>
              </w:rPr>
            </w:pPr>
          </w:p>
        </w:tc>
        <w:tc>
          <w:tcPr>
            <w:tcW w:w="3200" w:type="dxa"/>
            <w:vAlign w:val="bottom"/>
            <w:gridSpan w:val="3"/>
          </w:tcPr>
          <w:p>
            <w:pPr>
              <w:jc w:val="right"/>
              <w:ind w:right="37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Revenue - Electric (in thousands)</w:t>
            </w:r>
          </w:p>
        </w:tc>
        <w:tc>
          <w:tcPr>
            <w:tcW w:w="300" w:type="dxa"/>
            <w:vAlign w:val="bottom"/>
          </w:tcPr>
          <w:p>
            <w:pPr>
              <w:spacing w:after="0"/>
              <w:rPr>
                <w:sz w:val="23"/>
                <w:szCs w:val="23"/>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3"/>
                <w:szCs w:val="23"/>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3"/>
                <w:szCs w:val="23"/>
                <w:color w:val="auto"/>
              </w:rPr>
            </w:pPr>
          </w:p>
        </w:tc>
        <w:tc>
          <w:tcPr>
            <w:tcW w:w="1420" w:type="dxa"/>
            <w:vAlign w:val="bottom"/>
          </w:tcPr>
          <w:p>
            <w:pPr>
              <w:jc w:val="right"/>
              <w:ind w:right="61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3"/>
                <w:szCs w:val="23"/>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Residential:</w:t>
            </w:r>
          </w:p>
        </w:tc>
        <w:tc>
          <w:tcPr>
            <w:tcW w:w="30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4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18,020</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17,501</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53,724</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53,057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30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10,083</w:t>
            </w:r>
          </w:p>
        </w:tc>
        <w:tc>
          <w:tcPr>
            <w:tcW w:w="50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9,585</w:t>
            </w:r>
          </w:p>
        </w:tc>
        <w:tc>
          <w:tcPr>
            <w:tcW w:w="40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29,571</w:t>
            </w:r>
          </w:p>
        </w:tc>
        <w:tc>
          <w:tcPr>
            <w:tcW w:w="4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29,283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27,763</w:t>
            </w:r>
          </w:p>
        </w:tc>
        <w:tc>
          <w:tcPr>
            <w:tcW w:w="5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27,460</w:t>
            </w:r>
          </w:p>
        </w:tc>
        <w:tc>
          <w:tcPr>
            <w:tcW w:w="40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74,722</w:t>
            </w: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73,721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2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Residential</w:t>
            </w:r>
          </w:p>
        </w:tc>
        <w:tc>
          <w:tcPr>
            <w:tcW w:w="300" w:type="dxa"/>
            <w:vAlign w:val="bottom"/>
            <w:tcBorders>
              <w:bottom w:val="single" w:sz="8" w:color="CEFFE7"/>
            </w:tcBorders>
            <w:shd w:val="clear" w:color="auto" w:fill="CEFFE7"/>
          </w:tcPr>
          <w:p>
            <w:pPr>
              <w:spacing w:after="0"/>
              <w:rPr>
                <w:sz w:val="22"/>
                <w:szCs w:val="22"/>
                <w:color w:val="auto"/>
              </w:rPr>
            </w:pPr>
          </w:p>
        </w:tc>
        <w:tc>
          <w:tcPr>
            <w:tcW w:w="1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55,866</w:t>
            </w:r>
          </w:p>
        </w:tc>
        <w:tc>
          <w:tcPr>
            <w:tcW w:w="50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54,546</w:t>
            </w:r>
          </w:p>
        </w:tc>
        <w:tc>
          <w:tcPr>
            <w:tcW w:w="400" w:type="dxa"/>
            <w:vAlign w:val="bottom"/>
            <w:tcBorders>
              <w:bottom w:val="single" w:sz="8" w:color="CEFFE7"/>
            </w:tcBorders>
            <w:shd w:val="clear" w:color="auto" w:fill="CEFFE7"/>
          </w:tcPr>
          <w:p>
            <w:pPr>
              <w:spacing w:after="0"/>
              <w:rPr>
                <w:sz w:val="22"/>
                <w:szCs w:val="22"/>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158,017</w:t>
            </w:r>
          </w:p>
        </w:tc>
        <w:tc>
          <w:tcPr>
            <w:tcW w:w="480" w:type="dxa"/>
            <w:vAlign w:val="bottom"/>
            <w:tcBorders>
              <w:bottom w:val="single" w:sz="8" w:color="CEFFE7"/>
            </w:tcBorders>
            <w:shd w:val="clear" w:color="auto" w:fill="CEFFE7"/>
          </w:tcPr>
          <w:p>
            <w:pPr>
              <w:spacing w:after="0"/>
              <w:rPr>
                <w:sz w:val="22"/>
                <w:szCs w:val="22"/>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156,061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Commercial:</w:t>
            </w:r>
          </w:p>
        </w:tc>
        <w:tc>
          <w:tcPr>
            <w:tcW w:w="30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4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25,459</w:t>
            </w:r>
          </w:p>
        </w:tc>
        <w:tc>
          <w:tcPr>
            <w:tcW w:w="5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25,714</w:t>
            </w:r>
          </w:p>
        </w:tc>
        <w:tc>
          <w:tcPr>
            <w:tcW w:w="40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72,608</w:t>
            </w: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30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16,389</w:t>
            </w:r>
          </w:p>
        </w:tc>
        <w:tc>
          <w:tcPr>
            <w:tcW w:w="50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16,306</w:t>
            </w:r>
          </w:p>
        </w:tc>
        <w:tc>
          <w:tcPr>
            <w:tcW w:w="40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48,565</w:t>
            </w:r>
          </w:p>
        </w:tc>
        <w:tc>
          <w:tcPr>
            <w:tcW w:w="4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47,818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26,196</w:t>
            </w:r>
          </w:p>
        </w:tc>
        <w:tc>
          <w:tcPr>
            <w:tcW w:w="5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25,907</w:t>
            </w:r>
          </w:p>
        </w:tc>
        <w:tc>
          <w:tcPr>
            <w:tcW w:w="40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74,322</w:t>
            </w: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72,782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2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Commercial</w:t>
            </w:r>
          </w:p>
        </w:tc>
        <w:tc>
          <w:tcPr>
            <w:tcW w:w="300" w:type="dxa"/>
            <w:vAlign w:val="bottom"/>
            <w:tcBorders>
              <w:bottom w:val="single" w:sz="8" w:color="CEFFE7"/>
            </w:tcBorders>
            <w:shd w:val="clear" w:color="auto" w:fill="CEFFE7"/>
          </w:tcPr>
          <w:p>
            <w:pPr>
              <w:spacing w:after="0"/>
              <w:rPr>
                <w:sz w:val="22"/>
                <w:szCs w:val="22"/>
                <w:color w:val="auto"/>
              </w:rPr>
            </w:pPr>
          </w:p>
        </w:tc>
        <w:tc>
          <w:tcPr>
            <w:tcW w:w="1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68,044</w:t>
            </w:r>
          </w:p>
        </w:tc>
        <w:tc>
          <w:tcPr>
            <w:tcW w:w="50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67,927</w:t>
            </w:r>
          </w:p>
        </w:tc>
        <w:tc>
          <w:tcPr>
            <w:tcW w:w="400" w:type="dxa"/>
            <w:vAlign w:val="bottom"/>
            <w:tcBorders>
              <w:bottom w:val="single" w:sz="8" w:color="CEFFE7"/>
            </w:tcBorders>
            <w:shd w:val="clear" w:color="auto" w:fill="CEFFE7"/>
          </w:tcPr>
          <w:p>
            <w:pPr>
              <w:spacing w:after="0"/>
              <w:rPr>
                <w:sz w:val="22"/>
                <w:szCs w:val="22"/>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195,495</w:t>
            </w:r>
          </w:p>
        </w:tc>
        <w:tc>
          <w:tcPr>
            <w:tcW w:w="480" w:type="dxa"/>
            <w:vAlign w:val="bottom"/>
            <w:tcBorders>
              <w:bottom w:val="single" w:sz="8" w:color="CEFFE7"/>
            </w:tcBorders>
            <w:shd w:val="clear" w:color="auto" w:fill="CEFFE7"/>
          </w:tcPr>
          <w:p>
            <w:pPr>
              <w:spacing w:after="0"/>
              <w:rPr>
                <w:sz w:val="22"/>
                <w:szCs w:val="22"/>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193,626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4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8,149</w:t>
            </w:r>
          </w:p>
        </w:tc>
        <w:tc>
          <w:tcPr>
            <w:tcW w:w="5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8,275</w:t>
            </w:r>
          </w:p>
        </w:tc>
        <w:tc>
          <w:tcPr>
            <w:tcW w:w="40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24,774</w:t>
            </w: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24,540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30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12,104</w:t>
            </w:r>
          </w:p>
        </w:tc>
        <w:tc>
          <w:tcPr>
            <w:tcW w:w="50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11,904</w:t>
            </w:r>
          </w:p>
        </w:tc>
        <w:tc>
          <w:tcPr>
            <w:tcW w:w="40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37,737</w:t>
            </w:r>
          </w:p>
        </w:tc>
        <w:tc>
          <w:tcPr>
            <w:tcW w:w="4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32,353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10,311</w:t>
            </w:r>
          </w:p>
        </w:tc>
        <w:tc>
          <w:tcPr>
            <w:tcW w:w="5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9,870</w:t>
            </w:r>
          </w:p>
        </w:tc>
        <w:tc>
          <w:tcPr>
            <w:tcW w:w="40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29,072</w:t>
            </w: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28,917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2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Industrial</w:t>
            </w:r>
          </w:p>
        </w:tc>
        <w:tc>
          <w:tcPr>
            <w:tcW w:w="300" w:type="dxa"/>
            <w:vAlign w:val="bottom"/>
            <w:tcBorders>
              <w:bottom w:val="single" w:sz="8" w:color="CEFFE7"/>
            </w:tcBorders>
            <w:shd w:val="clear" w:color="auto" w:fill="CEFFE7"/>
          </w:tcPr>
          <w:p>
            <w:pPr>
              <w:spacing w:after="0"/>
              <w:rPr>
                <w:sz w:val="22"/>
                <w:szCs w:val="22"/>
                <w:color w:val="auto"/>
              </w:rPr>
            </w:pPr>
          </w:p>
        </w:tc>
        <w:tc>
          <w:tcPr>
            <w:tcW w:w="1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30,564</w:t>
            </w:r>
          </w:p>
        </w:tc>
        <w:tc>
          <w:tcPr>
            <w:tcW w:w="50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30,049</w:t>
            </w:r>
          </w:p>
        </w:tc>
        <w:tc>
          <w:tcPr>
            <w:tcW w:w="400" w:type="dxa"/>
            <w:vAlign w:val="bottom"/>
            <w:tcBorders>
              <w:bottom w:val="single" w:sz="8" w:color="CEFFE7"/>
            </w:tcBorders>
            <w:shd w:val="clear" w:color="auto" w:fill="CEFFE7"/>
          </w:tcPr>
          <w:p>
            <w:pPr>
              <w:spacing w:after="0"/>
              <w:rPr>
                <w:sz w:val="22"/>
                <w:szCs w:val="22"/>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91,583</w:t>
            </w:r>
          </w:p>
        </w:tc>
        <w:tc>
          <w:tcPr>
            <w:tcW w:w="480" w:type="dxa"/>
            <w:vAlign w:val="bottom"/>
            <w:tcBorders>
              <w:bottom w:val="single" w:sz="8" w:color="CEFFE7"/>
            </w:tcBorders>
            <w:shd w:val="clear" w:color="auto" w:fill="CEFFE7"/>
          </w:tcPr>
          <w:p>
            <w:pPr>
              <w:spacing w:after="0"/>
              <w:rPr>
                <w:sz w:val="22"/>
                <w:szCs w:val="22"/>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85,810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Municipal:</w:t>
            </w:r>
          </w:p>
        </w:tc>
        <w:tc>
          <w:tcPr>
            <w:tcW w:w="30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4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1,071</w:t>
            </w:r>
          </w:p>
        </w:tc>
        <w:tc>
          <w:tcPr>
            <w:tcW w:w="5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1,053</w:t>
            </w:r>
          </w:p>
        </w:tc>
        <w:tc>
          <w:tcPr>
            <w:tcW w:w="40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2,849</w:t>
            </w: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30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542</w:t>
            </w:r>
          </w:p>
        </w:tc>
        <w:tc>
          <w:tcPr>
            <w:tcW w:w="50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543</w:t>
            </w:r>
          </w:p>
        </w:tc>
        <w:tc>
          <w:tcPr>
            <w:tcW w:w="40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1,588</w:t>
            </w:r>
          </w:p>
        </w:tc>
        <w:tc>
          <w:tcPr>
            <w:tcW w:w="4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3,345</w:t>
            </w:r>
          </w:p>
        </w:tc>
        <w:tc>
          <w:tcPr>
            <w:tcW w:w="5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3,299</w:t>
            </w:r>
          </w:p>
        </w:tc>
        <w:tc>
          <w:tcPr>
            <w:tcW w:w="40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9,497</w:t>
            </w: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2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Municipal</w:t>
            </w:r>
          </w:p>
        </w:tc>
        <w:tc>
          <w:tcPr>
            <w:tcW w:w="300" w:type="dxa"/>
            <w:vAlign w:val="bottom"/>
            <w:tcBorders>
              <w:bottom w:val="single" w:sz="8" w:color="CEFFE7"/>
            </w:tcBorders>
            <w:shd w:val="clear" w:color="auto" w:fill="CEFFE7"/>
          </w:tcPr>
          <w:p>
            <w:pPr>
              <w:spacing w:after="0"/>
              <w:rPr>
                <w:sz w:val="22"/>
                <w:szCs w:val="22"/>
                <w:color w:val="auto"/>
              </w:rPr>
            </w:pPr>
          </w:p>
        </w:tc>
        <w:tc>
          <w:tcPr>
            <w:tcW w:w="1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4,958</w:t>
            </w:r>
          </w:p>
        </w:tc>
        <w:tc>
          <w:tcPr>
            <w:tcW w:w="50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4,895</w:t>
            </w:r>
          </w:p>
        </w:tc>
        <w:tc>
          <w:tcPr>
            <w:tcW w:w="400" w:type="dxa"/>
            <w:vAlign w:val="bottom"/>
            <w:tcBorders>
              <w:bottom w:val="single" w:sz="8" w:color="CEFFE7"/>
            </w:tcBorders>
            <w:shd w:val="clear" w:color="auto" w:fill="CEFFE7"/>
          </w:tcPr>
          <w:p>
            <w:pPr>
              <w:spacing w:after="0"/>
              <w:rPr>
                <w:sz w:val="22"/>
                <w:szCs w:val="22"/>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13,934</w:t>
            </w:r>
          </w:p>
        </w:tc>
        <w:tc>
          <w:tcPr>
            <w:tcW w:w="480" w:type="dxa"/>
            <w:vAlign w:val="bottom"/>
            <w:tcBorders>
              <w:bottom w:val="single" w:sz="8" w:color="CEFFE7"/>
            </w:tcBorders>
            <w:shd w:val="clear" w:color="auto" w:fill="CEFFE7"/>
          </w:tcPr>
          <w:p>
            <w:pPr>
              <w:spacing w:after="0"/>
              <w:rPr>
                <w:sz w:val="22"/>
                <w:szCs w:val="22"/>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13,329</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Retail Revenue - Electric</w:t>
            </w:r>
          </w:p>
        </w:tc>
        <w:tc>
          <w:tcPr>
            <w:tcW w:w="30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159,432</w:t>
            </w:r>
          </w:p>
        </w:tc>
        <w:tc>
          <w:tcPr>
            <w:tcW w:w="500" w:type="dxa"/>
            <w:vAlign w:val="bottom"/>
            <w:tcBorders>
              <w:bottom w:val="single" w:sz="8" w:color="CEFFE7"/>
            </w:tcBorders>
            <w:shd w:val="clear" w:color="auto" w:fill="CEFFE7"/>
          </w:tcPr>
          <w:p>
            <w:pPr>
              <w:spacing w:after="0"/>
              <w:rPr>
                <w:sz w:val="23"/>
                <w:szCs w:val="23"/>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157,417</w:t>
            </w:r>
          </w:p>
        </w:tc>
        <w:tc>
          <w:tcPr>
            <w:tcW w:w="400" w:type="dxa"/>
            <w:vAlign w:val="bottom"/>
            <w:tcBorders>
              <w:bottom w:val="single" w:sz="8" w:color="CEFFE7"/>
            </w:tcBorders>
            <w:shd w:val="clear" w:color="auto" w:fill="CEFFE7"/>
          </w:tcPr>
          <w:p>
            <w:pPr>
              <w:spacing w:after="0"/>
              <w:rPr>
                <w:sz w:val="23"/>
                <w:szCs w:val="23"/>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459,029</w:t>
            </w:r>
          </w:p>
        </w:tc>
        <w:tc>
          <w:tcPr>
            <w:tcW w:w="4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448,826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Contract Wholesale:</w:t>
            </w:r>
          </w:p>
        </w:tc>
        <w:tc>
          <w:tcPr>
            <w:tcW w:w="30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4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w w:val="91"/>
              </w:rPr>
              <w:t xml:space="preserve">Total Contract Wholesale - South Dakota Electric </w:t>
            </w:r>
            <w:r>
              <w:rPr>
                <w:rFonts w:ascii="Arial" w:cs="Arial" w:eastAsia="Arial" w:hAnsi="Arial"/>
                <w:sz w:val="25"/>
                <w:szCs w:val="25"/>
                <w:color w:val="auto"/>
                <w:w w:val="91"/>
                <w:vertAlign w:val="superscript"/>
              </w:rPr>
              <w:t>(a)</w:t>
            </w:r>
          </w:p>
        </w:tc>
        <w:tc>
          <w:tcPr>
            <w:tcW w:w="3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8,048</w:t>
            </w:r>
          </w:p>
        </w:tc>
        <w:tc>
          <w:tcPr>
            <w:tcW w:w="5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4,596</w:t>
            </w:r>
          </w:p>
        </w:tc>
        <w:tc>
          <w:tcPr>
            <w:tcW w:w="4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22,593</w:t>
            </w:r>
          </w:p>
        </w:tc>
        <w:tc>
          <w:tcPr>
            <w:tcW w:w="4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12,717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2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40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48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Off-system Wholesale:</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South Dakota Electric</w:t>
            </w:r>
          </w:p>
        </w:tc>
        <w:tc>
          <w:tcPr>
            <w:tcW w:w="30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4,787</w:t>
            </w:r>
          </w:p>
        </w:tc>
        <w:tc>
          <w:tcPr>
            <w:tcW w:w="50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3,984</w:t>
            </w:r>
          </w:p>
        </w:tc>
        <w:tc>
          <w:tcPr>
            <w:tcW w:w="40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11,044</w:t>
            </w:r>
          </w:p>
        </w:tc>
        <w:tc>
          <w:tcPr>
            <w:tcW w:w="4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11,304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Wyoming Electric</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758</w:t>
            </w:r>
          </w:p>
        </w:tc>
        <w:tc>
          <w:tcPr>
            <w:tcW w:w="5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40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3,505</w:t>
            </w: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Colorado Electric</w:t>
            </w:r>
          </w:p>
        </w:tc>
        <w:tc>
          <w:tcPr>
            <w:tcW w:w="30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387</w:t>
            </w:r>
          </w:p>
        </w:tc>
        <w:tc>
          <w:tcPr>
            <w:tcW w:w="500" w:type="dxa"/>
            <w:vAlign w:val="bottom"/>
            <w:tcBorders>
              <w:bottom w:val="single" w:sz="8" w:color="CEFFE7"/>
            </w:tcBorders>
            <w:shd w:val="clear" w:color="auto" w:fill="CEFFE7"/>
          </w:tcPr>
          <w:p>
            <w:pPr>
              <w:spacing w:after="0"/>
              <w:rPr>
                <w:sz w:val="23"/>
                <w:szCs w:val="23"/>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522</w:t>
            </w:r>
          </w:p>
        </w:tc>
        <w:tc>
          <w:tcPr>
            <w:tcW w:w="400" w:type="dxa"/>
            <w:vAlign w:val="bottom"/>
            <w:tcBorders>
              <w:bottom w:val="single" w:sz="8" w:color="CEFFE7"/>
            </w:tcBorders>
            <w:shd w:val="clear" w:color="auto" w:fill="CEFFE7"/>
          </w:tcPr>
          <w:p>
            <w:pPr>
              <w:spacing w:after="0"/>
              <w:rPr>
                <w:sz w:val="23"/>
                <w:szCs w:val="23"/>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561</w:t>
            </w:r>
          </w:p>
        </w:tc>
        <w:tc>
          <w:tcPr>
            <w:tcW w:w="4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Total Off-system Wholesale</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5,932</w:t>
            </w:r>
          </w:p>
        </w:tc>
        <w:tc>
          <w:tcPr>
            <w:tcW w:w="5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5,430</w:t>
            </w:r>
          </w:p>
        </w:tc>
        <w:tc>
          <w:tcPr>
            <w:tcW w:w="4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15,110</w:t>
            </w:r>
          </w:p>
        </w:tc>
        <w:tc>
          <w:tcPr>
            <w:tcW w:w="4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2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40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48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South Dakota Electric</w:t>
            </w:r>
          </w:p>
        </w:tc>
        <w:tc>
          <w:tcPr>
            <w:tcW w:w="30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8,404</w:t>
            </w:r>
          </w:p>
        </w:tc>
        <w:tc>
          <w:tcPr>
            <w:tcW w:w="50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5,605</w:t>
            </w:r>
          </w:p>
        </w:tc>
        <w:tc>
          <w:tcPr>
            <w:tcW w:w="40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26,193</w:t>
            </w:r>
          </w:p>
        </w:tc>
        <w:tc>
          <w:tcPr>
            <w:tcW w:w="4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19,901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Wyoming Electric</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794</w:t>
            </w:r>
          </w:p>
        </w:tc>
        <w:tc>
          <w:tcPr>
            <w:tcW w:w="5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40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2,333</w:t>
            </w: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Colorado Electric</w:t>
            </w:r>
          </w:p>
        </w:tc>
        <w:tc>
          <w:tcPr>
            <w:tcW w:w="30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961</w:t>
            </w:r>
          </w:p>
        </w:tc>
        <w:tc>
          <w:tcPr>
            <w:tcW w:w="500" w:type="dxa"/>
            <w:vAlign w:val="bottom"/>
            <w:tcBorders>
              <w:bottom w:val="single" w:sz="8" w:color="CEFFE7"/>
            </w:tcBorders>
            <w:shd w:val="clear" w:color="auto" w:fill="CEFFE7"/>
          </w:tcPr>
          <w:p>
            <w:pPr>
              <w:spacing w:after="0"/>
              <w:rPr>
                <w:sz w:val="23"/>
                <w:szCs w:val="23"/>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1,128</w:t>
            </w:r>
          </w:p>
        </w:tc>
        <w:tc>
          <w:tcPr>
            <w:tcW w:w="400" w:type="dxa"/>
            <w:vAlign w:val="bottom"/>
            <w:tcBorders>
              <w:bottom w:val="single" w:sz="8" w:color="CEFFE7"/>
            </w:tcBorders>
            <w:shd w:val="clear" w:color="auto" w:fill="CEFFE7"/>
          </w:tcPr>
          <w:p>
            <w:pPr>
              <w:spacing w:after="0"/>
              <w:rPr>
                <w:sz w:val="23"/>
                <w:szCs w:val="23"/>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2,790</w:t>
            </w:r>
          </w:p>
        </w:tc>
        <w:tc>
          <w:tcPr>
            <w:tcW w:w="4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Total Other Revenue</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10,159</w:t>
            </w:r>
          </w:p>
        </w:tc>
        <w:tc>
          <w:tcPr>
            <w:tcW w:w="5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7,058</w:t>
            </w:r>
          </w:p>
        </w:tc>
        <w:tc>
          <w:tcPr>
            <w:tcW w:w="4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31,316</w:t>
            </w:r>
          </w:p>
        </w:tc>
        <w:tc>
          <w:tcPr>
            <w:tcW w:w="4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2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40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48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Total Revenue - Electric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183,571</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174,501</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528,048</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503,258</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6"/>
                <w:szCs w:val="16"/>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Increase for the three and nine months ended September 30, 2017 was primarily due to a new 50 MW power sales agreement effective January 1, 2017.</w:t>
      </w:r>
    </w:p>
    <w:p>
      <w:pPr>
        <w:sectPr>
          <w:pgSz w:w="11900" w:h="16838" w:orient="portrait"/>
          <w:cols w:equalWidth="0" w:num="1">
            <w:col w:w="11400"/>
          </w:cols>
          <w:pgMar w:left="240" w:top="746" w:right="25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746" w:right="25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620" w:type="dxa"/>
            <w:vAlign w:val="bottom"/>
            <w:gridSpan w:val="2"/>
          </w:tcPr>
          <w:p>
            <w:pPr>
              <w:jc w:val="right"/>
              <w:ind w:right="1090"/>
              <w:spacing w:after="0"/>
              <w:rPr>
                <w:sz w:val="20"/>
                <w:szCs w:val="20"/>
                <w:color w:val="auto"/>
              </w:rPr>
            </w:pPr>
            <w:r>
              <w:rPr>
                <w:rFonts w:ascii="Arial" w:cs="Arial" w:eastAsia="Arial" w:hAnsi="Arial"/>
                <w:sz w:val="18"/>
                <w:szCs w:val="18"/>
                <w:color w:val="auto"/>
              </w:rPr>
              <w:t>Three Months Ended</w:t>
            </w:r>
          </w:p>
        </w:tc>
        <w:tc>
          <w:tcPr>
            <w:tcW w:w="3080" w:type="dxa"/>
            <w:vAlign w:val="bottom"/>
            <w:gridSpan w:val="2"/>
          </w:tcPr>
          <w:p>
            <w:pPr>
              <w:jc w:val="right"/>
              <w:ind w:right="7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September 30,</w:t>
            </w:r>
          </w:p>
        </w:tc>
        <w:tc>
          <w:tcPr>
            <w:tcW w:w="13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September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Quantities Generated and Purchased (in MWh)</w:t>
            </w:r>
          </w:p>
        </w:tc>
        <w:tc>
          <w:tcPr>
            <w:tcW w:w="2280" w:type="dxa"/>
            <w:vAlign w:val="bottom"/>
          </w:tcPr>
          <w:p>
            <w:pPr>
              <w:jc w:val="right"/>
              <w:ind w:right="1210"/>
              <w:spacing w:after="0"/>
              <w:rPr>
                <w:sz w:val="20"/>
                <w:szCs w:val="20"/>
                <w:color w:val="auto"/>
              </w:rPr>
            </w:pPr>
            <w:r>
              <w:rPr>
                <w:rFonts w:ascii="Arial" w:cs="Arial" w:eastAsia="Arial" w:hAnsi="Arial"/>
                <w:sz w:val="18"/>
                <w:szCs w:val="18"/>
                <w:color w:val="auto"/>
              </w:rPr>
              <w:t>2017</w:t>
            </w:r>
          </w:p>
        </w:tc>
        <w:tc>
          <w:tcPr>
            <w:tcW w:w="1340" w:type="dxa"/>
            <w:vAlign w:val="bottom"/>
          </w:tcPr>
          <w:p>
            <w:pPr>
              <w:jc w:val="right"/>
              <w:ind w:right="830"/>
              <w:spacing w:after="0"/>
              <w:rPr>
                <w:sz w:val="20"/>
                <w:szCs w:val="20"/>
                <w:color w:val="auto"/>
              </w:rPr>
            </w:pPr>
            <w:r>
              <w:rPr>
                <w:rFonts w:ascii="Arial" w:cs="Arial" w:eastAsia="Arial" w:hAnsi="Arial"/>
                <w:sz w:val="18"/>
                <w:szCs w:val="18"/>
                <w:color w:val="auto"/>
                <w:w w:val="99"/>
              </w:rPr>
              <w:t>2016</w:t>
            </w:r>
          </w:p>
        </w:tc>
        <w:tc>
          <w:tcPr>
            <w:tcW w:w="2060" w:type="dxa"/>
            <w:vAlign w:val="bottom"/>
          </w:tcPr>
          <w:p>
            <w:pPr>
              <w:jc w:val="right"/>
              <w:ind w:right="1190"/>
              <w:spacing w:after="0"/>
              <w:rPr>
                <w:sz w:val="20"/>
                <w:szCs w:val="20"/>
                <w:color w:val="auto"/>
              </w:rPr>
            </w:pPr>
            <w:r>
              <w:rPr>
                <w:rFonts w:ascii="Arial" w:cs="Arial" w:eastAsia="Arial" w:hAnsi="Arial"/>
                <w:sz w:val="18"/>
                <w:szCs w:val="18"/>
                <w:color w:val="auto"/>
              </w:rPr>
              <w:t>2017</w:t>
            </w: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99"/>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Generated —</w:t>
            </w:r>
          </w:p>
        </w:tc>
        <w:tc>
          <w:tcPr>
            <w:tcW w:w="228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20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Coal-fired:</w:t>
            </w:r>
          </w:p>
        </w:tc>
        <w:tc>
          <w:tcPr>
            <w:tcW w:w="2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South Dakota Electric</w:t>
            </w:r>
          </w:p>
        </w:tc>
        <w:tc>
          <w:tcPr>
            <w:tcW w:w="2280" w:type="dxa"/>
            <w:vAlign w:val="bottom"/>
            <w:tcBorders>
              <w:bottom w:val="single" w:sz="8" w:color="CEFFE7"/>
            </w:tcBorders>
            <w:shd w:val="clear" w:color="auto" w:fill="CEFFE7"/>
          </w:tcPr>
          <w:p>
            <w:pPr>
              <w:jc w:val="right"/>
              <w:ind w:right="710"/>
              <w:spacing w:after="0"/>
              <w:rPr>
                <w:sz w:val="20"/>
                <w:szCs w:val="20"/>
                <w:color w:val="auto"/>
              </w:rPr>
            </w:pPr>
            <w:r>
              <w:rPr>
                <w:rFonts w:ascii="Arial" w:cs="Arial" w:eastAsia="Arial" w:hAnsi="Arial"/>
                <w:sz w:val="18"/>
                <w:szCs w:val="18"/>
                <w:color w:val="auto"/>
              </w:rPr>
              <w:t>423,766</w:t>
            </w:r>
          </w:p>
        </w:tc>
        <w:tc>
          <w:tcPr>
            <w:tcW w:w="134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401,231</w:t>
            </w:r>
          </w:p>
        </w:tc>
        <w:tc>
          <w:tcPr>
            <w:tcW w:w="2060" w:type="dxa"/>
            <w:vAlign w:val="bottom"/>
            <w:tcBorders>
              <w:bottom w:val="single" w:sz="8" w:color="CEFFE7"/>
            </w:tcBorders>
            <w:shd w:val="clear" w:color="auto" w:fill="CEFFE7"/>
          </w:tcPr>
          <w:p>
            <w:pPr>
              <w:jc w:val="right"/>
              <w:ind w:right="670"/>
              <w:spacing w:after="0"/>
              <w:rPr>
                <w:sz w:val="20"/>
                <w:szCs w:val="20"/>
                <w:color w:val="auto"/>
              </w:rPr>
            </w:pPr>
            <w:r>
              <w:rPr>
                <w:rFonts w:ascii="Arial" w:cs="Arial" w:eastAsia="Arial" w:hAnsi="Arial"/>
                <w:sz w:val="18"/>
                <w:szCs w:val="18"/>
                <w:color w:val="auto"/>
              </w:rPr>
              <w:t>1,101,291</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1,054,264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EFFE7"/>
            </w:tcBorders>
          </w:tcPr>
          <w:p>
            <w:pPr>
              <w:ind w:left="240"/>
              <w:spacing w:after="0" w:line="270" w:lineRule="exact"/>
              <w:rPr>
                <w:sz w:val="20"/>
                <w:szCs w:val="20"/>
                <w:color w:val="auto"/>
              </w:rPr>
            </w:pPr>
            <w:r>
              <w:rPr>
                <w:rFonts w:ascii="Arial" w:cs="Arial" w:eastAsia="Arial" w:hAnsi="Arial"/>
                <w:sz w:val="18"/>
                <w:szCs w:val="18"/>
                <w:color w:val="auto"/>
              </w:rPr>
              <w:t xml:space="preserve">Wyoming Electric </w:t>
            </w:r>
            <w:r>
              <w:rPr>
                <w:rFonts w:ascii="Arial" w:cs="Arial" w:eastAsia="Arial" w:hAnsi="Arial"/>
                <w:sz w:val="25"/>
                <w:szCs w:val="25"/>
                <w:color w:val="auto"/>
                <w:vertAlign w:val="superscript"/>
              </w:rPr>
              <w:t>(d)</w:t>
            </w:r>
          </w:p>
        </w:tc>
        <w:tc>
          <w:tcPr>
            <w:tcW w:w="2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201,824</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188,739</w:t>
            </w:r>
          </w:p>
        </w:tc>
        <w:tc>
          <w:tcPr>
            <w:tcW w:w="20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562,644</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548,513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Coal-fired</w:t>
            </w:r>
          </w:p>
        </w:tc>
        <w:tc>
          <w:tcPr>
            <w:tcW w:w="2280" w:type="dxa"/>
            <w:vAlign w:val="bottom"/>
            <w:tcBorders>
              <w:bottom w:val="single" w:sz="8" w:color="CEFFE7"/>
            </w:tcBorders>
            <w:shd w:val="clear" w:color="auto" w:fill="CEFFE7"/>
          </w:tcPr>
          <w:p>
            <w:pPr>
              <w:jc w:val="right"/>
              <w:ind w:right="710"/>
              <w:spacing w:after="0"/>
              <w:rPr>
                <w:sz w:val="20"/>
                <w:szCs w:val="20"/>
                <w:color w:val="auto"/>
              </w:rPr>
            </w:pPr>
            <w:r>
              <w:rPr>
                <w:rFonts w:ascii="Arial" w:cs="Arial" w:eastAsia="Arial" w:hAnsi="Arial"/>
                <w:sz w:val="18"/>
                <w:szCs w:val="18"/>
                <w:color w:val="auto"/>
              </w:rPr>
              <w:t>625,590</w:t>
            </w:r>
          </w:p>
        </w:tc>
        <w:tc>
          <w:tcPr>
            <w:tcW w:w="134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589,970</w:t>
            </w:r>
          </w:p>
        </w:tc>
        <w:tc>
          <w:tcPr>
            <w:tcW w:w="2060" w:type="dxa"/>
            <w:vAlign w:val="bottom"/>
            <w:tcBorders>
              <w:bottom w:val="single" w:sz="8" w:color="CEFFE7"/>
            </w:tcBorders>
            <w:shd w:val="clear" w:color="auto" w:fill="CEFFE7"/>
          </w:tcPr>
          <w:p>
            <w:pPr>
              <w:jc w:val="right"/>
              <w:ind w:right="670"/>
              <w:spacing w:after="0"/>
              <w:rPr>
                <w:sz w:val="20"/>
                <w:szCs w:val="20"/>
                <w:color w:val="auto"/>
              </w:rPr>
            </w:pPr>
            <w:r>
              <w:rPr>
                <w:rFonts w:ascii="Arial" w:cs="Arial" w:eastAsia="Arial" w:hAnsi="Arial"/>
                <w:sz w:val="18"/>
                <w:szCs w:val="18"/>
                <w:color w:val="auto"/>
              </w:rPr>
              <w:t>1,663,935</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1,602,777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Natural Gas and Oil:</w:t>
            </w:r>
          </w:p>
        </w:tc>
        <w:tc>
          <w:tcPr>
            <w:tcW w:w="228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20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240"/>
              <w:spacing w:after="0" w:line="270" w:lineRule="exact"/>
              <w:rPr>
                <w:sz w:val="20"/>
                <w:szCs w:val="20"/>
                <w:color w:val="auto"/>
              </w:rPr>
            </w:pPr>
            <w:r>
              <w:rPr>
                <w:rFonts w:ascii="Arial" w:cs="Arial" w:eastAsia="Arial" w:hAnsi="Arial"/>
                <w:sz w:val="18"/>
                <w:szCs w:val="18"/>
                <w:color w:val="auto"/>
              </w:rPr>
              <w:t xml:space="preserve">South Dakota Electric </w:t>
            </w:r>
            <w:r>
              <w:rPr>
                <w:rFonts w:ascii="Arial" w:cs="Arial" w:eastAsia="Arial" w:hAnsi="Arial"/>
                <w:sz w:val="25"/>
                <w:szCs w:val="25"/>
                <w:color w:val="auto"/>
                <w:vertAlign w:val="superscript"/>
              </w:rPr>
              <w:t>(a)</w:t>
            </w:r>
          </w:p>
        </w:tc>
        <w:tc>
          <w:tcPr>
            <w:tcW w:w="2280" w:type="dxa"/>
            <w:vAlign w:val="bottom"/>
          </w:tcPr>
          <w:p>
            <w:pPr>
              <w:jc w:val="right"/>
              <w:ind w:right="710"/>
              <w:spacing w:after="0"/>
              <w:rPr>
                <w:sz w:val="20"/>
                <w:szCs w:val="20"/>
                <w:color w:val="auto"/>
              </w:rPr>
            </w:pPr>
            <w:r>
              <w:rPr>
                <w:rFonts w:ascii="Arial" w:cs="Arial" w:eastAsia="Arial" w:hAnsi="Arial"/>
                <w:sz w:val="18"/>
                <w:szCs w:val="18"/>
                <w:color w:val="auto"/>
              </w:rPr>
              <w:t>54,466</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41,654</w:t>
            </w:r>
          </w:p>
        </w:tc>
        <w:tc>
          <w:tcPr>
            <w:tcW w:w="2060" w:type="dxa"/>
            <w:vAlign w:val="bottom"/>
          </w:tcPr>
          <w:p>
            <w:pPr>
              <w:jc w:val="right"/>
              <w:ind w:right="670"/>
              <w:spacing w:after="0"/>
              <w:rPr>
                <w:sz w:val="20"/>
                <w:szCs w:val="20"/>
                <w:color w:val="auto"/>
              </w:rPr>
            </w:pPr>
            <w:r>
              <w:rPr>
                <w:rFonts w:ascii="Arial" w:cs="Arial" w:eastAsia="Arial" w:hAnsi="Arial"/>
                <w:sz w:val="18"/>
                <w:szCs w:val="18"/>
                <w:color w:val="auto"/>
              </w:rPr>
              <w:t>75,840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96,649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Wyoming Electric </w:t>
            </w:r>
            <w:r>
              <w:rPr>
                <w:rFonts w:ascii="Arial" w:cs="Arial" w:eastAsia="Arial" w:hAnsi="Arial"/>
                <w:sz w:val="25"/>
                <w:szCs w:val="25"/>
                <w:color w:val="auto"/>
                <w:vertAlign w:val="superscript"/>
              </w:rPr>
              <w:t>(a)</w:t>
            </w:r>
          </w:p>
        </w:tc>
        <w:tc>
          <w:tcPr>
            <w:tcW w:w="2280" w:type="dxa"/>
            <w:vAlign w:val="bottom"/>
            <w:shd w:val="clear" w:color="auto" w:fill="CEFFE7"/>
          </w:tcPr>
          <w:p>
            <w:pPr>
              <w:jc w:val="right"/>
              <w:ind w:right="710"/>
              <w:spacing w:after="0"/>
              <w:rPr>
                <w:sz w:val="20"/>
                <w:szCs w:val="20"/>
                <w:color w:val="auto"/>
              </w:rPr>
            </w:pPr>
            <w:r>
              <w:rPr>
                <w:rFonts w:ascii="Arial" w:cs="Arial" w:eastAsia="Arial" w:hAnsi="Arial"/>
                <w:sz w:val="18"/>
                <w:szCs w:val="18"/>
                <w:color w:val="auto"/>
              </w:rPr>
              <w:t>25,567</w:t>
            </w:r>
          </w:p>
        </w:tc>
        <w:tc>
          <w:tcPr>
            <w:tcW w:w="134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rPr>
              <w:t>23,874</w:t>
            </w:r>
          </w:p>
        </w:tc>
        <w:tc>
          <w:tcPr>
            <w:tcW w:w="2060" w:type="dxa"/>
            <w:vAlign w:val="bottom"/>
            <w:shd w:val="clear" w:color="auto" w:fill="CEFFE7"/>
          </w:tcPr>
          <w:p>
            <w:pPr>
              <w:jc w:val="right"/>
              <w:ind w:right="670"/>
              <w:spacing w:after="0"/>
              <w:rPr>
                <w:sz w:val="20"/>
                <w:szCs w:val="20"/>
                <w:color w:val="auto"/>
              </w:rPr>
            </w:pPr>
            <w:r>
              <w:rPr>
                <w:rFonts w:ascii="Arial" w:cs="Arial" w:eastAsia="Arial" w:hAnsi="Arial"/>
                <w:sz w:val="18"/>
                <w:szCs w:val="18"/>
                <w:color w:val="auto"/>
              </w:rPr>
              <w:t>39,136</w:t>
            </w: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58,944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2280" w:type="dxa"/>
            <w:vAlign w:val="bottom"/>
          </w:tcPr>
          <w:p>
            <w:pPr>
              <w:jc w:val="right"/>
              <w:ind w:right="710"/>
              <w:spacing w:after="0"/>
              <w:rPr>
                <w:sz w:val="20"/>
                <w:szCs w:val="20"/>
                <w:color w:val="auto"/>
              </w:rPr>
            </w:pPr>
            <w:r>
              <w:rPr>
                <w:rFonts w:ascii="Arial" w:cs="Arial" w:eastAsia="Arial" w:hAnsi="Arial"/>
                <w:sz w:val="18"/>
                <w:szCs w:val="18"/>
                <w:color w:val="auto"/>
              </w:rPr>
              <w:t>76,432</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64,507</w:t>
            </w:r>
          </w:p>
        </w:tc>
        <w:tc>
          <w:tcPr>
            <w:tcW w:w="2060" w:type="dxa"/>
            <w:vAlign w:val="bottom"/>
          </w:tcPr>
          <w:p>
            <w:pPr>
              <w:jc w:val="right"/>
              <w:ind w:right="670"/>
              <w:spacing w:after="0"/>
              <w:rPr>
                <w:sz w:val="20"/>
                <w:szCs w:val="20"/>
                <w:color w:val="auto"/>
              </w:rPr>
            </w:pPr>
            <w:r>
              <w:rPr>
                <w:rFonts w:ascii="Arial" w:cs="Arial" w:eastAsia="Arial" w:hAnsi="Arial"/>
                <w:sz w:val="18"/>
                <w:szCs w:val="18"/>
                <w:color w:val="auto"/>
              </w:rPr>
              <w:t>134,089</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128,397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EFFE7"/>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Natural Gas and Oil</w:t>
            </w:r>
          </w:p>
        </w:tc>
        <w:tc>
          <w:tcPr>
            <w:tcW w:w="2280" w:type="dxa"/>
            <w:vAlign w:val="bottom"/>
            <w:tcBorders>
              <w:bottom w:val="single" w:sz="8" w:color="CEFFE7"/>
            </w:tcBorders>
            <w:shd w:val="clear" w:color="auto" w:fill="CEFFE7"/>
          </w:tcPr>
          <w:p>
            <w:pPr>
              <w:jc w:val="right"/>
              <w:ind w:right="710"/>
              <w:spacing w:after="0"/>
              <w:rPr>
                <w:sz w:val="20"/>
                <w:szCs w:val="20"/>
                <w:color w:val="auto"/>
              </w:rPr>
            </w:pPr>
            <w:r>
              <w:rPr>
                <w:rFonts w:ascii="Arial" w:cs="Arial" w:eastAsia="Arial" w:hAnsi="Arial"/>
                <w:sz w:val="18"/>
                <w:szCs w:val="18"/>
                <w:color w:val="auto"/>
              </w:rPr>
              <w:t>156,465</w:t>
            </w:r>
          </w:p>
        </w:tc>
        <w:tc>
          <w:tcPr>
            <w:tcW w:w="134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130,035</w:t>
            </w:r>
          </w:p>
        </w:tc>
        <w:tc>
          <w:tcPr>
            <w:tcW w:w="2060" w:type="dxa"/>
            <w:vAlign w:val="bottom"/>
            <w:tcBorders>
              <w:bottom w:val="single" w:sz="8" w:color="CEFFE7"/>
            </w:tcBorders>
            <w:shd w:val="clear" w:color="auto" w:fill="CEFFE7"/>
          </w:tcPr>
          <w:p>
            <w:pPr>
              <w:jc w:val="right"/>
              <w:ind w:right="670"/>
              <w:spacing w:after="0"/>
              <w:rPr>
                <w:sz w:val="20"/>
                <w:szCs w:val="20"/>
                <w:color w:val="auto"/>
              </w:rPr>
            </w:pPr>
            <w:r>
              <w:rPr>
                <w:rFonts w:ascii="Arial" w:cs="Arial" w:eastAsia="Arial" w:hAnsi="Arial"/>
                <w:sz w:val="18"/>
                <w:szCs w:val="18"/>
                <w:color w:val="auto"/>
              </w:rPr>
              <w:t>249,065</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283,990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Wind:</w:t>
            </w:r>
          </w:p>
        </w:tc>
        <w:tc>
          <w:tcPr>
            <w:tcW w:w="228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20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EFFE7"/>
            </w:tcBorders>
          </w:tcPr>
          <w:p>
            <w:pPr>
              <w:ind w:left="240"/>
              <w:spacing w:after="0" w:line="270" w:lineRule="exact"/>
              <w:rPr>
                <w:sz w:val="20"/>
                <w:szCs w:val="20"/>
                <w:color w:val="auto"/>
              </w:rPr>
            </w:pPr>
            <w:r>
              <w:rPr>
                <w:rFonts w:ascii="Arial" w:cs="Arial" w:eastAsia="Arial" w:hAnsi="Arial"/>
                <w:sz w:val="18"/>
                <w:szCs w:val="18"/>
                <w:color w:val="auto"/>
              </w:rPr>
              <w:t xml:space="preserve">Colorado Electric </w:t>
            </w:r>
            <w:r>
              <w:rPr>
                <w:rFonts w:ascii="Arial" w:cs="Arial" w:eastAsia="Arial" w:hAnsi="Arial"/>
                <w:sz w:val="25"/>
                <w:szCs w:val="25"/>
                <w:color w:val="auto"/>
                <w:vertAlign w:val="superscript"/>
              </w:rPr>
              <w:t>(b)</w:t>
            </w:r>
          </w:p>
        </w:tc>
        <w:tc>
          <w:tcPr>
            <w:tcW w:w="2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38,773</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10,676</w:t>
            </w:r>
          </w:p>
        </w:tc>
        <w:tc>
          <w:tcPr>
            <w:tcW w:w="20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167,429</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34,325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Wind</w:t>
            </w:r>
          </w:p>
        </w:tc>
        <w:tc>
          <w:tcPr>
            <w:tcW w:w="2280" w:type="dxa"/>
            <w:vAlign w:val="bottom"/>
            <w:tcBorders>
              <w:bottom w:val="single" w:sz="8" w:color="CEFFE7"/>
            </w:tcBorders>
            <w:shd w:val="clear" w:color="auto" w:fill="CEFFE7"/>
          </w:tcPr>
          <w:p>
            <w:pPr>
              <w:jc w:val="right"/>
              <w:ind w:right="710"/>
              <w:spacing w:after="0"/>
              <w:rPr>
                <w:sz w:val="20"/>
                <w:szCs w:val="20"/>
                <w:color w:val="auto"/>
              </w:rPr>
            </w:pPr>
            <w:r>
              <w:rPr>
                <w:rFonts w:ascii="Arial" w:cs="Arial" w:eastAsia="Arial" w:hAnsi="Arial"/>
                <w:sz w:val="18"/>
                <w:szCs w:val="18"/>
                <w:color w:val="auto"/>
              </w:rPr>
              <w:t>38,773</w:t>
            </w:r>
          </w:p>
        </w:tc>
        <w:tc>
          <w:tcPr>
            <w:tcW w:w="134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10,676</w:t>
            </w:r>
          </w:p>
        </w:tc>
        <w:tc>
          <w:tcPr>
            <w:tcW w:w="2060" w:type="dxa"/>
            <w:vAlign w:val="bottom"/>
            <w:tcBorders>
              <w:bottom w:val="single" w:sz="8" w:color="CEFFE7"/>
            </w:tcBorders>
            <w:shd w:val="clear" w:color="auto" w:fill="CEFFE7"/>
          </w:tcPr>
          <w:p>
            <w:pPr>
              <w:jc w:val="right"/>
              <w:ind w:right="670"/>
              <w:spacing w:after="0"/>
              <w:rPr>
                <w:sz w:val="20"/>
                <w:szCs w:val="20"/>
                <w:color w:val="auto"/>
              </w:rPr>
            </w:pPr>
            <w:r>
              <w:rPr>
                <w:rFonts w:ascii="Arial" w:cs="Arial" w:eastAsia="Arial" w:hAnsi="Arial"/>
                <w:sz w:val="18"/>
                <w:szCs w:val="18"/>
                <w:color w:val="auto"/>
              </w:rPr>
              <w:t>167,429</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34,325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Generated:</w:t>
            </w:r>
          </w:p>
        </w:tc>
        <w:tc>
          <w:tcPr>
            <w:tcW w:w="228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20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2280" w:type="dxa"/>
            <w:vAlign w:val="bottom"/>
          </w:tcPr>
          <w:p>
            <w:pPr>
              <w:jc w:val="right"/>
              <w:ind w:right="710"/>
              <w:spacing w:after="0"/>
              <w:rPr>
                <w:sz w:val="20"/>
                <w:szCs w:val="20"/>
                <w:color w:val="auto"/>
              </w:rPr>
            </w:pPr>
            <w:r>
              <w:rPr>
                <w:rFonts w:ascii="Arial" w:cs="Arial" w:eastAsia="Arial" w:hAnsi="Arial"/>
                <w:sz w:val="18"/>
                <w:szCs w:val="18"/>
                <w:color w:val="auto"/>
              </w:rPr>
              <w:t>478,232</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442,885</w:t>
            </w:r>
          </w:p>
        </w:tc>
        <w:tc>
          <w:tcPr>
            <w:tcW w:w="2060" w:type="dxa"/>
            <w:vAlign w:val="bottom"/>
          </w:tcPr>
          <w:p>
            <w:pPr>
              <w:jc w:val="right"/>
              <w:ind w:right="670"/>
              <w:spacing w:after="0"/>
              <w:rPr>
                <w:sz w:val="20"/>
                <w:szCs w:val="20"/>
                <w:color w:val="auto"/>
              </w:rPr>
            </w:pPr>
            <w:r>
              <w:rPr>
                <w:rFonts w:ascii="Arial" w:cs="Arial" w:eastAsia="Arial" w:hAnsi="Arial"/>
                <w:sz w:val="18"/>
                <w:szCs w:val="18"/>
                <w:color w:val="auto"/>
              </w:rPr>
              <w:t>1,177,131</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1,150,913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Wyoming Electric </w:t>
            </w:r>
            <w:r>
              <w:rPr>
                <w:rFonts w:ascii="Arial" w:cs="Arial" w:eastAsia="Arial" w:hAnsi="Arial"/>
                <w:sz w:val="25"/>
                <w:szCs w:val="25"/>
                <w:color w:val="auto"/>
                <w:vertAlign w:val="superscript"/>
              </w:rPr>
              <w:t>(a)</w:t>
            </w:r>
          </w:p>
        </w:tc>
        <w:tc>
          <w:tcPr>
            <w:tcW w:w="2280" w:type="dxa"/>
            <w:vAlign w:val="bottom"/>
            <w:shd w:val="clear" w:color="auto" w:fill="CEFFE7"/>
          </w:tcPr>
          <w:p>
            <w:pPr>
              <w:jc w:val="right"/>
              <w:ind w:right="710"/>
              <w:spacing w:after="0"/>
              <w:rPr>
                <w:sz w:val="20"/>
                <w:szCs w:val="20"/>
                <w:color w:val="auto"/>
              </w:rPr>
            </w:pPr>
            <w:r>
              <w:rPr>
                <w:rFonts w:ascii="Arial" w:cs="Arial" w:eastAsia="Arial" w:hAnsi="Arial"/>
                <w:sz w:val="18"/>
                <w:szCs w:val="18"/>
                <w:color w:val="auto"/>
              </w:rPr>
              <w:t>227,391</w:t>
            </w:r>
          </w:p>
        </w:tc>
        <w:tc>
          <w:tcPr>
            <w:tcW w:w="134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rPr>
              <w:t>212,613</w:t>
            </w:r>
          </w:p>
        </w:tc>
        <w:tc>
          <w:tcPr>
            <w:tcW w:w="2060" w:type="dxa"/>
            <w:vAlign w:val="bottom"/>
            <w:shd w:val="clear" w:color="auto" w:fill="CEFFE7"/>
          </w:tcPr>
          <w:p>
            <w:pPr>
              <w:jc w:val="right"/>
              <w:ind w:right="670"/>
              <w:spacing w:after="0"/>
              <w:rPr>
                <w:sz w:val="20"/>
                <w:szCs w:val="20"/>
                <w:color w:val="auto"/>
              </w:rPr>
            </w:pPr>
            <w:r>
              <w:rPr>
                <w:rFonts w:ascii="Arial" w:cs="Arial" w:eastAsia="Arial" w:hAnsi="Arial"/>
                <w:sz w:val="18"/>
                <w:szCs w:val="18"/>
                <w:color w:val="auto"/>
              </w:rPr>
              <w:t>601,780</w:t>
            </w: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607,457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EFFE7"/>
            </w:tcBorders>
          </w:tcPr>
          <w:p>
            <w:pPr>
              <w:ind w:left="240"/>
              <w:spacing w:after="0" w:line="270" w:lineRule="exact"/>
              <w:rPr>
                <w:sz w:val="20"/>
                <w:szCs w:val="20"/>
                <w:color w:val="auto"/>
              </w:rPr>
            </w:pPr>
            <w:r>
              <w:rPr>
                <w:rFonts w:ascii="Arial" w:cs="Arial" w:eastAsia="Arial" w:hAnsi="Arial"/>
                <w:sz w:val="18"/>
                <w:szCs w:val="18"/>
                <w:color w:val="auto"/>
              </w:rPr>
              <w:t xml:space="preserve">Colorado Electric </w:t>
            </w:r>
            <w:r>
              <w:rPr>
                <w:rFonts w:ascii="Arial" w:cs="Arial" w:eastAsia="Arial" w:hAnsi="Arial"/>
                <w:sz w:val="25"/>
                <w:szCs w:val="25"/>
                <w:color w:val="auto"/>
                <w:vertAlign w:val="superscript"/>
              </w:rPr>
              <w:t>(b)</w:t>
            </w:r>
          </w:p>
        </w:tc>
        <w:tc>
          <w:tcPr>
            <w:tcW w:w="2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115,205</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75,183</w:t>
            </w:r>
          </w:p>
        </w:tc>
        <w:tc>
          <w:tcPr>
            <w:tcW w:w="20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301,518</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162,722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Generated</w:t>
            </w:r>
          </w:p>
        </w:tc>
        <w:tc>
          <w:tcPr>
            <w:tcW w:w="2280" w:type="dxa"/>
            <w:vAlign w:val="bottom"/>
            <w:tcBorders>
              <w:bottom w:val="single" w:sz="8" w:color="CEFFE7"/>
            </w:tcBorders>
            <w:shd w:val="clear" w:color="auto" w:fill="CEFFE7"/>
          </w:tcPr>
          <w:p>
            <w:pPr>
              <w:jc w:val="right"/>
              <w:ind w:right="710"/>
              <w:spacing w:after="0"/>
              <w:rPr>
                <w:sz w:val="20"/>
                <w:szCs w:val="20"/>
                <w:color w:val="auto"/>
              </w:rPr>
            </w:pPr>
            <w:r>
              <w:rPr>
                <w:rFonts w:ascii="Arial" w:cs="Arial" w:eastAsia="Arial" w:hAnsi="Arial"/>
                <w:sz w:val="18"/>
                <w:szCs w:val="18"/>
                <w:color w:val="auto"/>
              </w:rPr>
              <w:t>820,828</w:t>
            </w:r>
          </w:p>
        </w:tc>
        <w:tc>
          <w:tcPr>
            <w:tcW w:w="134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730,681</w:t>
            </w:r>
          </w:p>
        </w:tc>
        <w:tc>
          <w:tcPr>
            <w:tcW w:w="2060" w:type="dxa"/>
            <w:vAlign w:val="bottom"/>
            <w:tcBorders>
              <w:bottom w:val="single" w:sz="8" w:color="CEFFE7"/>
            </w:tcBorders>
            <w:shd w:val="clear" w:color="auto" w:fill="CEFFE7"/>
          </w:tcPr>
          <w:p>
            <w:pPr>
              <w:jc w:val="right"/>
              <w:ind w:right="670"/>
              <w:spacing w:after="0"/>
              <w:rPr>
                <w:sz w:val="20"/>
                <w:szCs w:val="20"/>
                <w:color w:val="auto"/>
              </w:rPr>
            </w:pPr>
            <w:r>
              <w:rPr>
                <w:rFonts w:ascii="Arial" w:cs="Arial" w:eastAsia="Arial" w:hAnsi="Arial"/>
                <w:sz w:val="18"/>
                <w:szCs w:val="18"/>
                <w:color w:val="auto"/>
              </w:rPr>
              <w:t>2,080,429</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1,921,092</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Purchased —</w:t>
            </w:r>
          </w:p>
        </w:tc>
        <w:tc>
          <w:tcPr>
            <w:tcW w:w="228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20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240"/>
              <w:spacing w:after="0" w:line="270" w:lineRule="exact"/>
              <w:rPr>
                <w:sz w:val="20"/>
                <w:szCs w:val="20"/>
                <w:color w:val="auto"/>
              </w:rPr>
            </w:pPr>
            <w:r>
              <w:rPr>
                <w:rFonts w:ascii="Arial" w:cs="Arial" w:eastAsia="Arial" w:hAnsi="Arial"/>
                <w:sz w:val="18"/>
                <w:szCs w:val="18"/>
                <w:color w:val="auto"/>
              </w:rPr>
              <w:t xml:space="preserve">South Dakota Electric </w:t>
            </w:r>
            <w:r>
              <w:rPr>
                <w:rFonts w:ascii="Arial" w:cs="Arial" w:eastAsia="Arial" w:hAnsi="Arial"/>
                <w:sz w:val="25"/>
                <w:szCs w:val="25"/>
                <w:color w:val="auto"/>
                <w:vertAlign w:val="superscript"/>
              </w:rPr>
              <w:t>(c)</w:t>
            </w:r>
          </w:p>
        </w:tc>
        <w:tc>
          <w:tcPr>
            <w:tcW w:w="2280" w:type="dxa"/>
            <w:vAlign w:val="bottom"/>
          </w:tcPr>
          <w:p>
            <w:pPr>
              <w:jc w:val="right"/>
              <w:ind w:right="710"/>
              <w:spacing w:after="0"/>
              <w:rPr>
                <w:sz w:val="20"/>
                <w:szCs w:val="20"/>
                <w:color w:val="auto"/>
              </w:rPr>
            </w:pPr>
            <w:r>
              <w:rPr>
                <w:rFonts w:ascii="Arial" w:cs="Arial" w:eastAsia="Arial" w:hAnsi="Arial"/>
                <w:sz w:val="18"/>
                <w:szCs w:val="18"/>
                <w:color w:val="auto"/>
              </w:rPr>
              <w:t>357,053</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247,097</w:t>
            </w:r>
          </w:p>
        </w:tc>
        <w:tc>
          <w:tcPr>
            <w:tcW w:w="2060" w:type="dxa"/>
            <w:vAlign w:val="bottom"/>
          </w:tcPr>
          <w:p>
            <w:pPr>
              <w:jc w:val="right"/>
              <w:ind w:right="670"/>
              <w:spacing w:after="0"/>
              <w:rPr>
                <w:sz w:val="20"/>
                <w:szCs w:val="20"/>
                <w:color w:val="auto"/>
              </w:rPr>
            </w:pPr>
            <w:r>
              <w:rPr>
                <w:rFonts w:ascii="Arial" w:cs="Arial" w:eastAsia="Arial" w:hAnsi="Arial"/>
                <w:sz w:val="18"/>
                <w:szCs w:val="18"/>
                <w:color w:val="auto"/>
              </w:rPr>
              <w:t>1,222,864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902,166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Wyoming Electric </w:t>
            </w:r>
            <w:r>
              <w:rPr>
                <w:rFonts w:ascii="Arial" w:cs="Arial" w:eastAsia="Arial" w:hAnsi="Arial"/>
                <w:sz w:val="25"/>
                <w:szCs w:val="25"/>
                <w:color w:val="auto"/>
                <w:vertAlign w:val="superscript"/>
              </w:rPr>
              <w:t>(d)</w:t>
            </w:r>
          </w:p>
        </w:tc>
        <w:tc>
          <w:tcPr>
            <w:tcW w:w="2280" w:type="dxa"/>
            <w:vAlign w:val="bottom"/>
            <w:shd w:val="clear" w:color="auto" w:fill="CEFFE7"/>
          </w:tcPr>
          <w:p>
            <w:pPr>
              <w:jc w:val="right"/>
              <w:ind w:right="710"/>
              <w:spacing w:after="0"/>
              <w:rPr>
                <w:sz w:val="20"/>
                <w:szCs w:val="20"/>
                <w:color w:val="auto"/>
              </w:rPr>
            </w:pPr>
            <w:r>
              <w:rPr>
                <w:rFonts w:ascii="Arial" w:cs="Arial" w:eastAsia="Arial" w:hAnsi="Arial"/>
                <w:sz w:val="18"/>
                <w:szCs w:val="18"/>
                <w:color w:val="auto"/>
              </w:rPr>
              <w:t>207,554</w:t>
            </w:r>
          </w:p>
        </w:tc>
        <w:tc>
          <w:tcPr>
            <w:tcW w:w="134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rPr>
              <w:t>215,257</w:t>
            </w:r>
          </w:p>
        </w:tc>
        <w:tc>
          <w:tcPr>
            <w:tcW w:w="2060" w:type="dxa"/>
            <w:vAlign w:val="bottom"/>
            <w:shd w:val="clear" w:color="auto" w:fill="CEFFE7"/>
          </w:tcPr>
          <w:p>
            <w:pPr>
              <w:jc w:val="right"/>
              <w:ind w:right="670"/>
              <w:spacing w:after="0"/>
              <w:rPr>
                <w:sz w:val="20"/>
                <w:szCs w:val="20"/>
                <w:color w:val="auto"/>
              </w:rPr>
            </w:pPr>
            <w:r>
              <w:rPr>
                <w:rFonts w:ascii="Arial" w:cs="Arial" w:eastAsia="Arial" w:hAnsi="Arial"/>
                <w:sz w:val="18"/>
                <w:szCs w:val="18"/>
                <w:color w:val="auto"/>
              </w:rPr>
              <w:t>696,229</w:t>
            </w: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624,137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EFFE7"/>
            </w:tcBorders>
          </w:tcPr>
          <w:p>
            <w:pPr>
              <w:ind w:left="240"/>
              <w:spacing w:after="0" w:line="270" w:lineRule="exact"/>
              <w:rPr>
                <w:sz w:val="20"/>
                <w:szCs w:val="20"/>
                <w:color w:val="auto"/>
              </w:rPr>
            </w:pPr>
            <w:r>
              <w:rPr>
                <w:rFonts w:ascii="Arial" w:cs="Arial" w:eastAsia="Arial" w:hAnsi="Arial"/>
                <w:sz w:val="18"/>
                <w:szCs w:val="18"/>
                <w:color w:val="auto"/>
              </w:rPr>
              <w:t xml:space="preserve">Colorado Electric </w:t>
            </w:r>
            <w:r>
              <w:rPr>
                <w:rFonts w:ascii="Arial" w:cs="Arial" w:eastAsia="Arial" w:hAnsi="Arial"/>
                <w:sz w:val="25"/>
                <w:szCs w:val="25"/>
                <w:color w:val="auto"/>
                <w:vertAlign w:val="superscript"/>
              </w:rPr>
              <w:t>(b)</w:t>
            </w:r>
          </w:p>
        </w:tc>
        <w:tc>
          <w:tcPr>
            <w:tcW w:w="2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476,084</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527,947</w:t>
            </w:r>
          </w:p>
        </w:tc>
        <w:tc>
          <w:tcPr>
            <w:tcW w:w="20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1,273,125</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1,473,195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Purchased</w:t>
            </w:r>
          </w:p>
        </w:tc>
        <w:tc>
          <w:tcPr>
            <w:tcW w:w="2280" w:type="dxa"/>
            <w:vAlign w:val="bottom"/>
            <w:tcBorders>
              <w:bottom w:val="single" w:sz="8" w:color="CEFFE7"/>
            </w:tcBorders>
            <w:shd w:val="clear" w:color="auto" w:fill="CEFFE7"/>
          </w:tcPr>
          <w:p>
            <w:pPr>
              <w:jc w:val="right"/>
              <w:ind w:right="710"/>
              <w:spacing w:after="0"/>
              <w:rPr>
                <w:sz w:val="20"/>
                <w:szCs w:val="20"/>
                <w:color w:val="auto"/>
              </w:rPr>
            </w:pPr>
            <w:r>
              <w:rPr>
                <w:rFonts w:ascii="Arial" w:cs="Arial" w:eastAsia="Arial" w:hAnsi="Arial"/>
                <w:sz w:val="18"/>
                <w:szCs w:val="18"/>
                <w:color w:val="auto"/>
              </w:rPr>
              <w:t>1,040,691</w:t>
            </w:r>
          </w:p>
        </w:tc>
        <w:tc>
          <w:tcPr>
            <w:tcW w:w="134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990,301</w:t>
            </w:r>
          </w:p>
        </w:tc>
        <w:tc>
          <w:tcPr>
            <w:tcW w:w="2060" w:type="dxa"/>
            <w:vAlign w:val="bottom"/>
            <w:tcBorders>
              <w:bottom w:val="single" w:sz="8" w:color="CEFFE7"/>
            </w:tcBorders>
            <w:shd w:val="clear" w:color="auto" w:fill="CEFFE7"/>
          </w:tcPr>
          <w:p>
            <w:pPr>
              <w:jc w:val="right"/>
              <w:ind w:right="670"/>
              <w:spacing w:after="0"/>
              <w:rPr>
                <w:sz w:val="20"/>
                <w:szCs w:val="20"/>
                <w:color w:val="auto"/>
              </w:rPr>
            </w:pPr>
            <w:r>
              <w:rPr>
                <w:rFonts w:ascii="Arial" w:cs="Arial" w:eastAsia="Arial" w:hAnsi="Arial"/>
                <w:sz w:val="18"/>
                <w:szCs w:val="18"/>
                <w:color w:val="auto"/>
              </w:rPr>
              <w:t>3,192,218</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2,999,498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Generated and Purchased:</w:t>
            </w:r>
          </w:p>
        </w:tc>
        <w:tc>
          <w:tcPr>
            <w:tcW w:w="228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20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South Dakota Electric </w:t>
            </w:r>
            <w:r>
              <w:rPr>
                <w:rFonts w:ascii="Arial" w:cs="Arial" w:eastAsia="Arial" w:hAnsi="Arial"/>
                <w:sz w:val="25"/>
                <w:szCs w:val="25"/>
                <w:color w:val="auto"/>
                <w:vertAlign w:val="superscript"/>
              </w:rPr>
              <w:t>(c)</w:t>
            </w:r>
          </w:p>
        </w:tc>
        <w:tc>
          <w:tcPr>
            <w:tcW w:w="2280" w:type="dxa"/>
            <w:vAlign w:val="bottom"/>
          </w:tcPr>
          <w:p>
            <w:pPr>
              <w:jc w:val="right"/>
              <w:ind w:right="710"/>
              <w:spacing w:after="0"/>
              <w:rPr>
                <w:sz w:val="20"/>
                <w:szCs w:val="20"/>
                <w:color w:val="auto"/>
              </w:rPr>
            </w:pPr>
            <w:r>
              <w:rPr>
                <w:rFonts w:ascii="Arial" w:cs="Arial" w:eastAsia="Arial" w:hAnsi="Arial"/>
                <w:sz w:val="18"/>
                <w:szCs w:val="18"/>
                <w:color w:val="auto"/>
              </w:rPr>
              <w:t>835,285</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689,982</w:t>
            </w:r>
          </w:p>
        </w:tc>
        <w:tc>
          <w:tcPr>
            <w:tcW w:w="2060" w:type="dxa"/>
            <w:vAlign w:val="bottom"/>
          </w:tcPr>
          <w:p>
            <w:pPr>
              <w:jc w:val="right"/>
              <w:ind w:right="670"/>
              <w:spacing w:after="0"/>
              <w:rPr>
                <w:sz w:val="20"/>
                <w:szCs w:val="20"/>
                <w:color w:val="auto"/>
              </w:rPr>
            </w:pPr>
            <w:r>
              <w:rPr>
                <w:rFonts w:ascii="Arial" w:cs="Arial" w:eastAsia="Arial" w:hAnsi="Arial"/>
                <w:sz w:val="18"/>
                <w:szCs w:val="18"/>
                <w:color w:val="auto"/>
              </w:rPr>
              <w:t>2,399,995</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2,053,079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Wyoming Electric</w:t>
            </w:r>
          </w:p>
        </w:tc>
        <w:tc>
          <w:tcPr>
            <w:tcW w:w="2280" w:type="dxa"/>
            <w:vAlign w:val="bottom"/>
            <w:tcBorders>
              <w:bottom w:val="single" w:sz="8" w:color="CEFFE7"/>
            </w:tcBorders>
            <w:shd w:val="clear" w:color="auto" w:fill="CEFFE7"/>
          </w:tcPr>
          <w:p>
            <w:pPr>
              <w:jc w:val="right"/>
              <w:ind w:right="710"/>
              <w:spacing w:after="0"/>
              <w:rPr>
                <w:sz w:val="20"/>
                <w:szCs w:val="20"/>
                <w:color w:val="auto"/>
              </w:rPr>
            </w:pPr>
            <w:r>
              <w:rPr>
                <w:rFonts w:ascii="Arial" w:cs="Arial" w:eastAsia="Arial" w:hAnsi="Arial"/>
                <w:sz w:val="18"/>
                <w:szCs w:val="18"/>
                <w:color w:val="auto"/>
              </w:rPr>
              <w:t>434,945</w:t>
            </w:r>
          </w:p>
        </w:tc>
        <w:tc>
          <w:tcPr>
            <w:tcW w:w="134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427,870</w:t>
            </w:r>
          </w:p>
        </w:tc>
        <w:tc>
          <w:tcPr>
            <w:tcW w:w="2060" w:type="dxa"/>
            <w:vAlign w:val="bottom"/>
            <w:tcBorders>
              <w:bottom w:val="single" w:sz="8" w:color="CEFFE7"/>
            </w:tcBorders>
            <w:shd w:val="clear" w:color="auto" w:fill="CEFFE7"/>
          </w:tcPr>
          <w:p>
            <w:pPr>
              <w:jc w:val="right"/>
              <w:ind w:right="670"/>
              <w:spacing w:after="0"/>
              <w:rPr>
                <w:sz w:val="20"/>
                <w:szCs w:val="20"/>
                <w:color w:val="auto"/>
              </w:rPr>
            </w:pPr>
            <w:r>
              <w:rPr>
                <w:rFonts w:ascii="Arial" w:cs="Arial" w:eastAsia="Arial" w:hAnsi="Arial"/>
                <w:sz w:val="18"/>
                <w:szCs w:val="18"/>
                <w:color w:val="auto"/>
              </w:rPr>
              <w:t>1,298,009</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1,231,594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80"/>
              <w:spacing w:after="0"/>
              <w:rPr>
                <w:sz w:val="20"/>
                <w:szCs w:val="20"/>
                <w:color w:val="auto"/>
              </w:rPr>
            </w:pPr>
            <w:r>
              <w:rPr>
                <w:rFonts w:ascii="Arial" w:cs="Arial" w:eastAsia="Arial" w:hAnsi="Arial"/>
                <w:sz w:val="18"/>
                <w:szCs w:val="18"/>
                <w:color w:val="auto"/>
              </w:rPr>
              <w:t>Colorado Electric</w:t>
            </w:r>
          </w:p>
        </w:tc>
        <w:tc>
          <w:tcPr>
            <w:tcW w:w="2280" w:type="dxa"/>
            <w:vAlign w:val="bottom"/>
          </w:tcPr>
          <w:p>
            <w:pPr>
              <w:jc w:val="right"/>
              <w:ind w:right="710"/>
              <w:spacing w:after="0"/>
              <w:rPr>
                <w:sz w:val="20"/>
                <w:szCs w:val="20"/>
                <w:color w:val="auto"/>
              </w:rPr>
            </w:pPr>
            <w:r>
              <w:rPr>
                <w:rFonts w:ascii="Arial" w:cs="Arial" w:eastAsia="Arial" w:hAnsi="Arial"/>
                <w:sz w:val="18"/>
                <w:szCs w:val="18"/>
                <w:color w:val="auto"/>
              </w:rPr>
              <w:t>591,289</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603,130</w:t>
            </w:r>
          </w:p>
        </w:tc>
        <w:tc>
          <w:tcPr>
            <w:tcW w:w="2060" w:type="dxa"/>
            <w:vAlign w:val="bottom"/>
          </w:tcPr>
          <w:p>
            <w:pPr>
              <w:jc w:val="right"/>
              <w:ind w:right="670"/>
              <w:spacing w:after="0"/>
              <w:rPr>
                <w:sz w:val="20"/>
                <w:szCs w:val="20"/>
                <w:color w:val="auto"/>
              </w:rPr>
            </w:pPr>
            <w:r>
              <w:rPr>
                <w:rFonts w:ascii="Arial" w:cs="Arial" w:eastAsia="Arial" w:hAnsi="Arial"/>
                <w:sz w:val="18"/>
                <w:szCs w:val="18"/>
                <w:color w:val="auto"/>
              </w:rPr>
              <w:t>1,574,643</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1,635,917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EFFE7"/>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Generated and Purchased</w:t>
            </w:r>
          </w:p>
        </w:tc>
        <w:tc>
          <w:tcPr>
            <w:tcW w:w="2280" w:type="dxa"/>
            <w:vAlign w:val="bottom"/>
            <w:tcBorders>
              <w:bottom w:val="single" w:sz="8" w:color="auto"/>
            </w:tcBorders>
            <w:shd w:val="clear" w:color="auto" w:fill="CEFFE7"/>
          </w:tcPr>
          <w:p>
            <w:pPr>
              <w:jc w:val="right"/>
              <w:ind w:right="710"/>
              <w:spacing w:after="0"/>
              <w:rPr>
                <w:sz w:val="20"/>
                <w:szCs w:val="20"/>
                <w:color w:val="auto"/>
              </w:rPr>
            </w:pPr>
            <w:r>
              <w:rPr>
                <w:rFonts w:ascii="Arial" w:cs="Arial" w:eastAsia="Arial" w:hAnsi="Arial"/>
                <w:sz w:val="18"/>
                <w:szCs w:val="18"/>
                <w:color w:val="auto"/>
              </w:rPr>
              <w:t>1,861,519</w:t>
            </w:r>
          </w:p>
        </w:tc>
        <w:tc>
          <w:tcPr>
            <w:tcW w:w="1340" w:type="dxa"/>
            <w:vAlign w:val="bottom"/>
            <w:tcBorders>
              <w:bottom w:val="single" w:sz="8" w:color="auto"/>
            </w:tcBorders>
            <w:shd w:val="clear" w:color="auto" w:fill="CEFFE7"/>
          </w:tcPr>
          <w:p>
            <w:pPr>
              <w:jc w:val="right"/>
              <w:ind w:right="330"/>
              <w:spacing w:after="0"/>
              <w:rPr>
                <w:sz w:val="20"/>
                <w:szCs w:val="20"/>
                <w:color w:val="auto"/>
              </w:rPr>
            </w:pPr>
            <w:r>
              <w:rPr>
                <w:rFonts w:ascii="Arial" w:cs="Arial" w:eastAsia="Arial" w:hAnsi="Arial"/>
                <w:sz w:val="18"/>
                <w:szCs w:val="18"/>
                <w:color w:val="auto"/>
              </w:rPr>
              <w:t>1,720,982</w:t>
            </w:r>
          </w:p>
        </w:tc>
        <w:tc>
          <w:tcPr>
            <w:tcW w:w="2060" w:type="dxa"/>
            <w:vAlign w:val="bottom"/>
            <w:tcBorders>
              <w:bottom w:val="single" w:sz="8" w:color="auto"/>
            </w:tcBorders>
            <w:shd w:val="clear" w:color="auto" w:fill="CEFFE7"/>
          </w:tcPr>
          <w:p>
            <w:pPr>
              <w:jc w:val="right"/>
              <w:ind w:right="670"/>
              <w:spacing w:after="0"/>
              <w:rPr>
                <w:sz w:val="20"/>
                <w:szCs w:val="20"/>
                <w:color w:val="auto"/>
              </w:rPr>
            </w:pPr>
            <w:r>
              <w:rPr>
                <w:rFonts w:ascii="Arial" w:cs="Arial" w:eastAsia="Arial" w:hAnsi="Arial"/>
                <w:sz w:val="18"/>
                <w:szCs w:val="18"/>
                <w:color w:val="auto"/>
              </w:rPr>
              <w:t>5,272,647</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4,920,590</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6"/>
                <w:szCs w:val="16"/>
                <w:color w:val="auto"/>
              </w:rPr>
              <w:t>__________</w:t>
            </w:r>
          </w:p>
        </w:tc>
        <w:tc>
          <w:tcPr>
            <w:tcW w:w="2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gridSpan w:val="2"/>
            <w:vMerge w:val="continue"/>
          </w:tcPr>
          <w:p>
            <w:pPr>
              <w:spacing w:after="0"/>
              <w:rPr>
                <w:sz w:val="15"/>
                <w:szCs w:val="15"/>
                <w:color w:val="auto"/>
              </w:rPr>
            </w:pP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8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Variances for the three and nine months ended September 30, 2017 compared to the same periods in the prior year are driven primarily by the ability to purchase excess generation in the open market at a lower or higher cost than to generate.</w:t>
      </w:r>
    </w:p>
    <w:p>
      <w:pPr>
        <w:ind w:left="340" w:right="30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 in generation in 2017 is due to the addition of the Peak View Wind Project in November 2016. This generation replaced resources provided by PPAs in 2016, reducing the quantities purchased.</w:t>
      </w: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 in 2017 is primarily driven by resource needs from a new 50 MW power sales agreement effective January 1, 2017.</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Year over year increase for nine months ended September 30, 2017 is primarily driven by new load supporting data centers in Cheyenne, Wyoming.</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909" w:right="2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660" w:type="dxa"/>
            <w:vAlign w:val="bottom"/>
            <w:gridSpan w:val="2"/>
          </w:tcPr>
          <w:p>
            <w:pPr>
              <w:jc w:val="right"/>
              <w:ind w:right="530"/>
              <w:spacing w:after="0"/>
              <w:rPr>
                <w:sz w:val="20"/>
                <w:szCs w:val="20"/>
                <w:color w:val="auto"/>
              </w:rPr>
            </w:pPr>
            <w:r>
              <w:rPr>
                <w:rFonts w:ascii="Arial" w:cs="Arial" w:eastAsia="Arial" w:hAnsi="Arial"/>
                <w:sz w:val="18"/>
                <w:szCs w:val="18"/>
                <w:color w:val="auto"/>
              </w:rPr>
              <w:t>Three Months Ended September 30,</w:t>
            </w:r>
          </w:p>
        </w:tc>
        <w:tc>
          <w:tcPr>
            <w:tcW w:w="3280" w:type="dxa"/>
            <w:vAlign w:val="bottom"/>
            <w:gridSpan w:val="2"/>
          </w:tcPr>
          <w:p>
            <w:pPr>
              <w:jc w:val="right"/>
              <w:ind w:right="33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Quantity Sold (in MWh)</w:t>
            </w:r>
          </w:p>
        </w:tc>
        <w:tc>
          <w:tcPr>
            <w:tcW w:w="2000" w:type="dxa"/>
            <w:vAlign w:val="bottom"/>
          </w:tcPr>
          <w:p>
            <w:pPr>
              <w:jc w:val="right"/>
              <w:ind w:right="870"/>
              <w:spacing w:after="0"/>
              <w:rPr>
                <w:sz w:val="20"/>
                <w:szCs w:val="20"/>
                <w:color w:val="auto"/>
              </w:rPr>
            </w:pPr>
            <w:r>
              <w:rPr>
                <w:rFonts w:ascii="Arial" w:cs="Arial" w:eastAsia="Arial" w:hAnsi="Arial"/>
                <w:sz w:val="18"/>
                <w:szCs w:val="18"/>
                <w:color w:val="auto"/>
              </w:rPr>
              <w:t>2017</w:t>
            </w: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2016</w:t>
            </w:r>
          </w:p>
        </w:tc>
        <w:tc>
          <w:tcPr>
            <w:tcW w:w="1860" w:type="dxa"/>
            <w:vAlign w:val="bottom"/>
          </w:tcPr>
          <w:p>
            <w:pPr>
              <w:jc w:val="right"/>
              <w:ind w:right="850"/>
              <w:spacing w:after="0"/>
              <w:rPr>
                <w:sz w:val="20"/>
                <w:szCs w:val="20"/>
                <w:color w:val="auto"/>
              </w:rPr>
            </w:pPr>
            <w:r>
              <w:rPr>
                <w:rFonts w:ascii="Arial" w:cs="Arial" w:eastAsia="Arial" w:hAnsi="Arial"/>
                <w:sz w:val="18"/>
                <w:szCs w:val="18"/>
                <w:color w:val="auto"/>
              </w:rPr>
              <w:t>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Residential:</w:t>
            </w:r>
          </w:p>
        </w:tc>
        <w:tc>
          <w:tcPr>
            <w:tcW w:w="200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129,616</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124,012</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386,709</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381,616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20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65,723</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63,505</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190,087</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191,405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174,127</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176,900</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461,641</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470,246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Borders>
              <w:bottom w:val="single" w:sz="8" w:color="CEFFE7"/>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Residential</w:t>
            </w:r>
          </w:p>
        </w:tc>
        <w:tc>
          <w:tcPr>
            <w:tcW w:w="20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369,466</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364,417</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1,038,437</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1,043,267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Commercial:</w:t>
            </w:r>
          </w:p>
        </w:tc>
        <w:tc>
          <w:tcPr>
            <w:tcW w:w="200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212,773</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213,276</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582,899</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592,371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20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137,169</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137,534</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398,178</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398,414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208,033</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211,716</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566,177</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572,062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Borders>
              <w:bottom w:val="single" w:sz="8" w:color="CEFFE7"/>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Commercial</w:t>
            </w:r>
          </w:p>
        </w:tc>
        <w:tc>
          <w:tcPr>
            <w:tcW w:w="20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557,975</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562,526</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1,547,254</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1,562,847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Industrial:</w:t>
            </w:r>
          </w:p>
        </w:tc>
        <w:tc>
          <w:tcPr>
            <w:tcW w:w="200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109,745</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110,220</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323,038</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320,861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Wyoming Electric </w:t>
            </w:r>
            <w:r>
              <w:rPr>
                <w:rFonts w:ascii="Arial" w:cs="Arial" w:eastAsia="Arial" w:hAnsi="Arial"/>
                <w:sz w:val="25"/>
                <w:szCs w:val="25"/>
                <w:color w:val="auto"/>
                <w:vertAlign w:val="superscript"/>
              </w:rPr>
              <w:t>(a)</w:t>
            </w:r>
          </w:p>
        </w:tc>
        <w:tc>
          <w:tcPr>
            <w:tcW w:w="200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182,844</w:t>
            </w:r>
          </w:p>
        </w:tc>
        <w:tc>
          <w:tcPr>
            <w:tcW w:w="1660" w:type="dxa"/>
            <w:vAlign w:val="bottom"/>
            <w:shd w:val="clear" w:color="auto" w:fill="CEFFE7"/>
          </w:tcPr>
          <w:p>
            <w:pPr>
              <w:jc w:val="right"/>
              <w:ind w:right="250"/>
              <w:spacing w:after="0"/>
              <w:rPr>
                <w:sz w:val="20"/>
                <w:szCs w:val="20"/>
                <w:color w:val="auto"/>
              </w:rPr>
            </w:pPr>
            <w:r>
              <w:rPr>
                <w:rFonts w:ascii="Arial" w:cs="Arial" w:eastAsia="Arial" w:hAnsi="Arial"/>
                <w:sz w:val="18"/>
                <w:szCs w:val="18"/>
                <w:color w:val="auto"/>
              </w:rPr>
              <w:t>175,188</w:t>
            </w:r>
          </w:p>
        </w:tc>
        <w:tc>
          <w:tcPr>
            <w:tcW w:w="18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545,640</w:t>
            </w:r>
          </w:p>
        </w:tc>
        <w:tc>
          <w:tcPr>
            <w:tcW w:w="14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468,262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114,357</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116,073</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323,638</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329,016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Borders>
              <w:bottom w:val="single" w:sz="8" w:color="CEFFE7"/>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Industrial</w:t>
            </w:r>
          </w:p>
        </w:tc>
        <w:tc>
          <w:tcPr>
            <w:tcW w:w="20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406,946</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401,481</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1,192,316</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1,118,139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Municipal:</w:t>
            </w:r>
          </w:p>
        </w:tc>
        <w:tc>
          <w:tcPr>
            <w:tcW w:w="200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10,156</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9,927</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25,865</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25,855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20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2,154</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2,201</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6,643</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35,079</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34,507</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92,557</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91,116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Borders>
              <w:bottom w:val="single" w:sz="8" w:color="CEFFE7"/>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Municipal</w:t>
            </w:r>
          </w:p>
        </w:tc>
        <w:tc>
          <w:tcPr>
            <w:tcW w:w="20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47,389</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46,635</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125,065</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123,819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Retail Quantity Sold</w:t>
            </w:r>
          </w:p>
        </w:tc>
        <w:tc>
          <w:tcPr>
            <w:tcW w:w="20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1,381,776</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1,375,059</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3,903,072</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3,848,072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Contract Wholesale:</w:t>
            </w:r>
          </w:p>
        </w:tc>
        <w:tc>
          <w:tcPr>
            <w:tcW w:w="200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Borders>
              <w:bottom w:val="single" w:sz="8" w:color="CEFFE7"/>
            </w:tcBorders>
          </w:tcPr>
          <w:p>
            <w:pPr>
              <w:ind w:left="340"/>
              <w:spacing w:after="0" w:line="270" w:lineRule="exact"/>
              <w:rPr>
                <w:sz w:val="20"/>
                <w:szCs w:val="20"/>
                <w:color w:val="auto"/>
              </w:rPr>
            </w:pPr>
            <w:r>
              <w:rPr>
                <w:rFonts w:ascii="Arial" w:cs="Arial" w:eastAsia="Arial" w:hAnsi="Arial"/>
                <w:sz w:val="18"/>
                <w:szCs w:val="18"/>
                <w:color w:val="auto"/>
              </w:rPr>
              <w:t xml:space="preserve">Total Contract Wholesale-South Dakota Electric </w:t>
            </w:r>
            <w:r>
              <w:rPr>
                <w:rFonts w:ascii="Arial" w:cs="Arial" w:eastAsia="Arial" w:hAnsi="Arial"/>
                <w:sz w:val="25"/>
                <w:szCs w:val="25"/>
                <w:color w:val="auto"/>
                <w:vertAlign w:val="superscript"/>
              </w:rPr>
              <w:t>(b)</w:t>
            </w: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185,723</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62,547</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537,720</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182,087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EFFE7"/>
          </w:tcPr>
          <w:p>
            <w:pPr>
              <w:spacing w:after="0"/>
              <w:rPr>
                <w:sz w:val="13"/>
                <w:szCs w:val="13"/>
                <w:color w:val="auto"/>
              </w:rPr>
            </w:pPr>
          </w:p>
        </w:tc>
        <w:tc>
          <w:tcPr>
            <w:tcW w:w="2000" w:type="dxa"/>
            <w:vAlign w:val="bottom"/>
            <w:shd w:val="clear" w:color="auto" w:fill="CEFFE7"/>
          </w:tcPr>
          <w:p>
            <w:pPr>
              <w:spacing w:after="0"/>
              <w:rPr>
                <w:sz w:val="13"/>
                <w:szCs w:val="13"/>
                <w:color w:val="auto"/>
              </w:rPr>
            </w:pPr>
          </w:p>
        </w:tc>
        <w:tc>
          <w:tcPr>
            <w:tcW w:w="1660" w:type="dxa"/>
            <w:vAlign w:val="bottom"/>
            <w:shd w:val="clear" w:color="auto" w:fill="CEFFE7"/>
          </w:tcPr>
          <w:p>
            <w:pPr>
              <w:spacing w:after="0"/>
              <w:rPr>
                <w:sz w:val="13"/>
                <w:szCs w:val="13"/>
                <w:color w:val="auto"/>
              </w:rPr>
            </w:pPr>
          </w:p>
        </w:tc>
        <w:tc>
          <w:tcPr>
            <w:tcW w:w="1860" w:type="dxa"/>
            <w:vAlign w:val="bottom"/>
            <w:shd w:val="clear" w:color="auto" w:fill="CEFFE7"/>
          </w:tcPr>
          <w:p>
            <w:pPr>
              <w:spacing w:after="0"/>
              <w:rPr>
                <w:sz w:val="13"/>
                <w:szCs w:val="13"/>
                <w:color w:val="auto"/>
              </w:rPr>
            </w:pPr>
          </w:p>
        </w:tc>
        <w:tc>
          <w:tcPr>
            <w:tcW w:w="142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Off-system Wholesale:</w:t>
            </w:r>
          </w:p>
        </w:tc>
        <w:tc>
          <w:tcPr>
            <w:tcW w:w="20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South Dakota Electric </w:t>
            </w:r>
            <w:r>
              <w:rPr>
                <w:rFonts w:ascii="Arial" w:cs="Arial" w:eastAsia="Arial" w:hAnsi="Arial"/>
                <w:sz w:val="25"/>
                <w:szCs w:val="25"/>
                <w:color w:val="auto"/>
                <w:vertAlign w:val="superscript"/>
              </w:rPr>
              <w:t>(c)</w:t>
            </w:r>
          </w:p>
        </w:tc>
        <w:tc>
          <w:tcPr>
            <w:tcW w:w="200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130,825</w:t>
            </w:r>
          </w:p>
        </w:tc>
        <w:tc>
          <w:tcPr>
            <w:tcW w:w="1660" w:type="dxa"/>
            <w:vAlign w:val="bottom"/>
            <w:shd w:val="clear" w:color="auto" w:fill="CEFFE7"/>
          </w:tcPr>
          <w:p>
            <w:pPr>
              <w:jc w:val="right"/>
              <w:ind w:right="250"/>
              <w:spacing w:after="0"/>
              <w:rPr>
                <w:sz w:val="20"/>
                <w:szCs w:val="20"/>
                <w:color w:val="auto"/>
              </w:rPr>
            </w:pPr>
            <w:r>
              <w:rPr>
                <w:rFonts w:ascii="Arial" w:cs="Arial" w:eastAsia="Arial" w:hAnsi="Arial"/>
                <w:sz w:val="18"/>
                <w:szCs w:val="18"/>
                <w:color w:val="auto"/>
              </w:rPr>
              <w:t>128,415</w:t>
            </w:r>
          </w:p>
        </w:tc>
        <w:tc>
          <w:tcPr>
            <w:tcW w:w="18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388,287</w:t>
            </w:r>
          </w:p>
        </w:tc>
        <w:tc>
          <w:tcPr>
            <w:tcW w:w="14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438,852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Wyoming Electric</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17,981</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18,788</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72,517</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77,534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Colorado Electric </w:t>
            </w:r>
            <w:r>
              <w:rPr>
                <w:rFonts w:ascii="Arial" w:cs="Arial" w:eastAsia="Arial" w:hAnsi="Arial"/>
                <w:sz w:val="25"/>
                <w:szCs w:val="25"/>
                <w:color w:val="auto"/>
                <w:vertAlign w:val="superscript"/>
              </w:rPr>
              <w:t>(c)</w:t>
            </w:r>
          </w:p>
        </w:tc>
        <w:tc>
          <w:tcPr>
            <w:tcW w:w="200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10,619</w:t>
            </w:r>
          </w:p>
        </w:tc>
        <w:tc>
          <w:tcPr>
            <w:tcW w:w="166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17,949</w:t>
            </w:r>
          </w:p>
        </w:tc>
        <w:tc>
          <w:tcPr>
            <w:tcW w:w="186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16,479</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53,644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ind w:left="400"/>
              <w:spacing w:after="0"/>
              <w:rPr>
                <w:sz w:val="20"/>
                <w:szCs w:val="20"/>
                <w:color w:val="auto"/>
              </w:rPr>
            </w:pPr>
            <w:r>
              <w:rPr>
                <w:rFonts w:ascii="Arial" w:cs="Arial" w:eastAsia="Arial" w:hAnsi="Arial"/>
                <w:sz w:val="18"/>
                <w:szCs w:val="18"/>
                <w:color w:val="auto"/>
              </w:rPr>
              <w:t>Total Off-system Wholesale</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159,425</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165,152</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477,283</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570,030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Borders>
              <w:bottom w:val="single" w:sz="8" w:color="CEFFE7"/>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EFFE7"/>
          </w:tcPr>
          <w:p>
            <w:pPr>
              <w:spacing w:after="0"/>
              <w:rPr>
                <w:sz w:val="13"/>
                <w:szCs w:val="13"/>
                <w:color w:val="auto"/>
              </w:rPr>
            </w:pPr>
          </w:p>
        </w:tc>
        <w:tc>
          <w:tcPr>
            <w:tcW w:w="2000" w:type="dxa"/>
            <w:vAlign w:val="bottom"/>
            <w:shd w:val="clear" w:color="auto" w:fill="CEFFE7"/>
          </w:tcPr>
          <w:p>
            <w:pPr>
              <w:spacing w:after="0"/>
              <w:rPr>
                <w:sz w:val="13"/>
                <w:szCs w:val="13"/>
                <w:color w:val="auto"/>
              </w:rPr>
            </w:pPr>
          </w:p>
        </w:tc>
        <w:tc>
          <w:tcPr>
            <w:tcW w:w="1660" w:type="dxa"/>
            <w:vAlign w:val="bottom"/>
            <w:shd w:val="clear" w:color="auto" w:fill="CEFFE7"/>
          </w:tcPr>
          <w:p>
            <w:pPr>
              <w:spacing w:after="0"/>
              <w:rPr>
                <w:sz w:val="13"/>
                <w:szCs w:val="13"/>
                <w:color w:val="auto"/>
              </w:rPr>
            </w:pPr>
          </w:p>
        </w:tc>
        <w:tc>
          <w:tcPr>
            <w:tcW w:w="1860" w:type="dxa"/>
            <w:vAlign w:val="bottom"/>
            <w:shd w:val="clear" w:color="auto" w:fill="CEFFE7"/>
          </w:tcPr>
          <w:p>
            <w:pPr>
              <w:spacing w:after="0"/>
              <w:rPr>
                <w:sz w:val="13"/>
                <w:szCs w:val="13"/>
                <w:color w:val="auto"/>
              </w:rPr>
            </w:pPr>
          </w:p>
        </w:tc>
        <w:tc>
          <w:tcPr>
            <w:tcW w:w="142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Total Quantity Sold:</w:t>
            </w:r>
          </w:p>
        </w:tc>
        <w:tc>
          <w:tcPr>
            <w:tcW w:w="20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South Dakota Electric</w:t>
            </w:r>
          </w:p>
        </w:tc>
        <w:tc>
          <w:tcPr>
            <w:tcW w:w="20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778,838</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648,397</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2,244,518</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1,941,642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Wyoming Electric</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405,871</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397,216</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1,213,065</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1,142,463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Colorado Electric</w:t>
            </w:r>
          </w:p>
        </w:tc>
        <w:tc>
          <w:tcPr>
            <w:tcW w:w="20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542,215</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557,145</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1,460,492</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1,516,084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ind w:left="480"/>
              <w:spacing w:after="0"/>
              <w:rPr>
                <w:sz w:val="20"/>
                <w:szCs w:val="20"/>
                <w:color w:val="auto"/>
              </w:rPr>
            </w:pPr>
            <w:r>
              <w:rPr>
                <w:rFonts w:ascii="Arial" w:cs="Arial" w:eastAsia="Arial" w:hAnsi="Arial"/>
                <w:sz w:val="18"/>
                <w:szCs w:val="18"/>
                <w:color w:val="auto"/>
              </w:rPr>
              <w:t>Total Quantity Sold</w:t>
            </w:r>
          </w:p>
        </w:tc>
        <w:tc>
          <w:tcPr>
            <w:tcW w:w="20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1,726,924</w:t>
            </w:r>
          </w:p>
        </w:tc>
        <w:tc>
          <w:tcPr>
            <w:tcW w:w="16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1,602,758</w:t>
            </w:r>
          </w:p>
        </w:tc>
        <w:tc>
          <w:tcPr>
            <w:tcW w:w="1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4,918,075</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4,600,189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Borders>
              <w:bottom w:val="single" w:sz="8" w:color="CEFFE7"/>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EFFE7"/>
          </w:tcPr>
          <w:p>
            <w:pPr>
              <w:spacing w:after="0"/>
              <w:rPr>
                <w:sz w:val="13"/>
                <w:szCs w:val="13"/>
                <w:color w:val="auto"/>
              </w:rPr>
            </w:pPr>
          </w:p>
        </w:tc>
        <w:tc>
          <w:tcPr>
            <w:tcW w:w="2000" w:type="dxa"/>
            <w:vAlign w:val="bottom"/>
            <w:shd w:val="clear" w:color="auto" w:fill="CEFFE7"/>
          </w:tcPr>
          <w:p>
            <w:pPr>
              <w:spacing w:after="0"/>
              <w:rPr>
                <w:sz w:val="13"/>
                <w:szCs w:val="13"/>
                <w:color w:val="auto"/>
              </w:rPr>
            </w:pPr>
          </w:p>
        </w:tc>
        <w:tc>
          <w:tcPr>
            <w:tcW w:w="1660" w:type="dxa"/>
            <w:vAlign w:val="bottom"/>
            <w:shd w:val="clear" w:color="auto" w:fill="CEFFE7"/>
          </w:tcPr>
          <w:p>
            <w:pPr>
              <w:spacing w:after="0"/>
              <w:rPr>
                <w:sz w:val="13"/>
                <w:szCs w:val="13"/>
                <w:color w:val="auto"/>
              </w:rPr>
            </w:pPr>
          </w:p>
        </w:tc>
        <w:tc>
          <w:tcPr>
            <w:tcW w:w="1860" w:type="dxa"/>
            <w:vAlign w:val="bottom"/>
            <w:shd w:val="clear" w:color="auto" w:fill="CEFFE7"/>
          </w:tcPr>
          <w:p>
            <w:pPr>
              <w:spacing w:after="0"/>
              <w:rPr>
                <w:sz w:val="13"/>
                <w:szCs w:val="13"/>
                <w:color w:val="auto"/>
              </w:rPr>
            </w:pPr>
          </w:p>
        </w:tc>
        <w:tc>
          <w:tcPr>
            <w:tcW w:w="142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Uses, Losses or Generation, net </w:t>
            </w:r>
            <w:r>
              <w:rPr>
                <w:rFonts w:ascii="Arial" w:cs="Arial" w:eastAsia="Arial" w:hAnsi="Arial"/>
                <w:sz w:val="25"/>
                <w:szCs w:val="25"/>
                <w:color w:val="auto"/>
                <w:vertAlign w:val="superscript"/>
              </w:rPr>
              <w:t>(d)</w:t>
            </w:r>
            <w:r>
              <w:rPr>
                <w:rFonts w:ascii="Arial" w:cs="Arial" w:eastAsia="Arial" w:hAnsi="Arial"/>
                <w:sz w:val="18"/>
                <w:szCs w:val="18"/>
                <w:color w:val="auto"/>
              </w:rPr>
              <w:t>:</w:t>
            </w:r>
          </w:p>
        </w:tc>
        <w:tc>
          <w:tcPr>
            <w:tcW w:w="20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South Dakota Electric</w:t>
            </w:r>
          </w:p>
        </w:tc>
        <w:tc>
          <w:tcPr>
            <w:tcW w:w="20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56,447</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41,585</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155,477</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111,437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Wyoming Electric</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29,074</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30,654</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84,944</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89,131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Colorado Electric</w:t>
            </w:r>
          </w:p>
        </w:tc>
        <w:tc>
          <w:tcPr>
            <w:tcW w:w="20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49,074</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45,985</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114,151</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119,833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ind w:left="400"/>
              <w:spacing w:after="0"/>
              <w:rPr>
                <w:sz w:val="20"/>
                <w:szCs w:val="20"/>
                <w:color w:val="auto"/>
              </w:rPr>
            </w:pPr>
            <w:r>
              <w:rPr>
                <w:rFonts w:ascii="Arial" w:cs="Arial" w:eastAsia="Arial" w:hAnsi="Arial"/>
                <w:sz w:val="18"/>
                <w:szCs w:val="18"/>
                <w:color w:val="auto"/>
              </w:rPr>
              <w:t>Total Other Uses, Losses and Generation, net</w:t>
            </w:r>
          </w:p>
        </w:tc>
        <w:tc>
          <w:tcPr>
            <w:tcW w:w="20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134,595</w:t>
            </w:r>
          </w:p>
        </w:tc>
        <w:tc>
          <w:tcPr>
            <w:tcW w:w="16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118,224</w:t>
            </w:r>
          </w:p>
        </w:tc>
        <w:tc>
          <w:tcPr>
            <w:tcW w:w="1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354,572</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320,401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Borders>
              <w:bottom w:val="single" w:sz="8" w:color="CEFFE7"/>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EFFE7"/>
          </w:tcPr>
          <w:p>
            <w:pPr>
              <w:spacing w:after="0"/>
              <w:rPr>
                <w:sz w:val="13"/>
                <w:szCs w:val="13"/>
                <w:color w:val="auto"/>
              </w:rPr>
            </w:pPr>
          </w:p>
        </w:tc>
        <w:tc>
          <w:tcPr>
            <w:tcW w:w="2000" w:type="dxa"/>
            <w:vAlign w:val="bottom"/>
            <w:shd w:val="clear" w:color="auto" w:fill="CEFFE7"/>
          </w:tcPr>
          <w:p>
            <w:pPr>
              <w:spacing w:after="0"/>
              <w:rPr>
                <w:sz w:val="13"/>
                <w:szCs w:val="13"/>
                <w:color w:val="auto"/>
              </w:rPr>
            </w:pPr>
          </w:p>
        </w:tc>
        <w:tc>
          <w:tcPr>
            <w:tcW w:w="1660" w:type="dxa"/>
            <w:vAlign w:val="bottom"/>
            <w:shd w:val="clear" w:color="auto" w:fill="CEFFE7"/>
          </w:tcPr>
          <w:p>
            <w:pPr>
              <w:spacing w:after="0"/>
              <w:rPr>
                <w:sz w:val="13"/>
                <w:szCs w:val="13"/>
                <w:color w:val="auto"/>
              </w:rPr>
            </w:pPr>
          </w:p>
        </w:tc>
        <w:tc>
          <w:tcPr>
            <w:tcW w:w="1860" w:type="dxa"/>
            <w:vAlign w:val="bottom"/>
            <w:shd w:val="clear" w:color="auto" w:fill="CEFFE7"/>
          </w:tcPr>
          <w:p>
            <w:pPr>
              <w:spacing w:after="0"/>
              <w:rPr>
                <w:sz w:val="13"/>
                <w:szCs w:val="13"/>
                <w:color w:val="auto"/>
              </w:rPr>
            </w:pPr>
          </w:p>
        </w:tc>
        <w:tc>
          <w:tcPr>
            <w:tcW w:w="142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Total Energy</w:t>
            </w: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1,861,519</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1,720,982</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5,272,647</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4,920,590</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jc w:val="right"/>
              <w:ind w:right="3550"/>
              <w:spacing w:after="0"/>
              <w:rPr>
                <w:sz w:val="20"/>
                <w:szCs w:val="20"/>
                <w:color w:val="auto"/>
              </w:rPr>
            </w:pPr>
            <w:r>
              <w:rPr>
                <w:rFonts w:ascii="Arial" w:cs="Arial" w:eastAsia="Arial" w:hAnsi="Arial"/>
                <w:sz w:val="16"/>
                <w:szCs w:val="16"/>
                <w:color w:val="auto"/>
                <w:w w:val="89"/>
              </w:rPr>
              <w:t>__________</w:t>
            </w:r>
          </w:p>
        </w:tc>
        <w:tc>
          <w:tcPr>
            <w:tcW w:w="20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60" w:type="dxa"/>
            <w:vAlign w:val="bottom"/>
            <w:gridSpan w:val="2"/>
            <w:vMerge w:val="continue"/>
          </w:tcPr>
          <w:p>
            <w:pPr>
              <w:spacing w:after="0"/>
              <w:rPr>
                <w:sz w:val="15"/>
                <w:szCs w:val="15"/>
                <w:color w:val="auto"/>
              </w:rPr>
            </w:pPr>
          </w:p>
        </w:tc>
        <w:tc>
          <w:tcPr>
            <w:tcW w:w="2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Year over year increases are driven by new load supporting data centers in Cheyenne, Wyoming.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 for the three and nine months ended September 30, 2017 was primarily due to a new 50 MW power sales agreement effective January 1, 2017.</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 in 2017 was primarily driven by commodity prices that impacted power marketing sales.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company uses, line losses, and excess exchange production.</w:t>
      </w:r>
    </w:p>
    <w:p>
      <w:pPr>
        <w:sectPr>
          <w:pgSz w:w="11900" w:h="16838" w:orient="portrait"/>
          <w:cols w:equalWidth="0" w:num="1">
            <w:col w:w="11400"/>
          </w:cols>
          <w:pgMar w:left="240" w:top="936" w:right="25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936" w:right="25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34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Three Months Ended September 30,</w:t>
            </w:r>
          </w:p>
        </w:tc>
        <w:tc>
          <w:tcPr>
            <w:tcW w:w="1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460" w:type="dxa"/>
            <w:vAlign w:val="bottom"/>
            <w:gridSpan w:val="3"/>
          </w:tcPr>
          <w:p>
            <w:pPr>
              <w:ind w:left="20"/>
              <w:spacing w:after="0"/>
              <w:rPr>
                <w:sz w:val="20"/>
                <w:szCs w:val="20"/>
                <w:color w:val="auto"/>
              </w:rPr>
            </w:pPr>
            <w:r>
              <w:rPr>
                <w:rFonts w:ascii="Arial" w:cs="Arial" w:eastAsia="Arial" w:hAnsi="Arial"/>
                <w:sz w:val="18"/>
                <w:szCs w:val="18"/>
                <w:color w:val="auto"/>
              </w:rPr>
              <w:t>Degree Days</w:t>
            </w:r>
          </w:p>
        </w:tc>
        <w:tc>
          <w:tcPr>
            <w:tcW w:w="480" w:type="dxa"/>
            <w:vAlign w:val="bottom"/>
          </w:tcPr>
          <w:p>
            <w:pPr>
              <w:spacing w:after="0"/>
              <w:rPr>
                <w:sz w:val="23"/>
                <w:szCs w:val="23"/>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0" w:type="dxa"/>
            <w:vAlign w:val="bottom"/>
          </w:tcPr>
          <w:p>
            <w:pPr>
              <w:jc w:val="right"/>
              <w:ind w:right="1510"/>
              <w:spacing w:after="0"/>
              <w:rPr>
                <w:sz w:val="20"/>
                <w:szCs w:val="20"/>
                <w:color w:val="auto"/>
              </w:rPr>
            </w:pPr>
            <w:r>
              <w:rPr>
                <w:rFonts w:ascii="Arial" w:cs="Arial" w:eastAsia="Arial" w:hAnsi="Arial"/>
                <w:sz w:val="18"/>
                <w:szCs w:val="18"/>
                <w:color w:val="auto"/>
                <w:w w:val="94"/>
              </w:rPr>
              <w:t>2016</w:t>
            </w:r>
          </w:p>
        </w:tc>
      </w:tr>
      <w:tr>
        <w:trPr>
          <w:trHeight w:val="27"/>
        </w:trPr>
        <w:tc>
          <w:tcPr>
            <w:tcW w:w="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Variance from</w:t>
            </w:r>
          </w:p>
        </w:tc>
        <w:tc>
          <w:tcPr>
            <w:tcW w:w="2240" w:type="dxa"/>
            <w:vAlign w:val="bottom"/>
          </w:tcPr>
          <w:p>
            <w:pPr>
              <w:jc w:val="center"/>
              <w:ind w:right="530"/>
              <w:spacing w:after="0"/>
              <w:rPr>
                <w:sz w:val="20"/>
                <w:szCs w:val="20"/>
                <w:color w:val="auto"/>
              </w:rPr>
            </w:pPr>
            <w:r>
              <w:rPr>
                <w:rFonts w:ascii="Arial" w:cs="Arial" w:eastAsia="Arial" w:hAnsi="Arial"/>
                <w:sz w:val="18"/>
                <w:szCs w:val="18"/>
                <w:color w:val="auto"/>
                <w:w w:val="91"/>
              </w:rPr>
              <w:t>Actual Variance to</w:t>
            </w:r>
          </w:p>
        </w:tc>
        <w:tc>
          <w:tcPr>
            <w:tcW w:w="1100" w:type="dxa"/>
            <w:vAlign w:val="bottom"/>
          </w:tcPr>
          <w:p>
            <w:pPr>
              <w:spacing w:after="0"/>
              <w:rPr>
                <w:sz w:val="19"/>
                <w:szCs w:val="19"/>
                <w:color w:val="auto"/>
              </w:rPr>
            </w:pPr>
          </w:p>
        </w:tc>
        <w:tc>
          <w:tcPr>
            <w:tcW w:w="2000" w:type="dxa"/>
            <w:vAlign w:val="bottom"/>
          </w:tcPr>
          <w:p>
            <w:pPr>
              <w:jc w:val="center"/>
              <w:ind w:left="90"/>
              <w:spacing w:after="0"/>
              <w:rPr>
                <w:sz w:val="20"/>
                <w:szCs w:val="20"/>
                <w:color w:val="auto"/>
              </w:rPr>
            </w:pPr>
            <w:r>
              <w:rPr>
                <w:rFonts w:ascii="Arial" w:cs="Arial" w:eastAsia="Arial" w:hAnsi="Arial"/>
                <w:sz w:val="18"/>
                <w:szCs w:val="18"/>
                <w:color w:val="auto"/>
                <w:w w:val="91"/>
              </w:rPr>
              <w:t>Variance from</w:t>
            </w:r>
          </w:p>
        </w:tc>
      </w:t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ind w:left="560"/>
              <w:spacing w:after="0"/>
              <w:rPr>
                <w:sz w:val="20"/>
                <w:szCs w:val="20"/>
                <w:color w:val="auto"/>
              </w:rPr>
            </w:pPr>
            <w:r>
              <w:rPr>
                <w:rFonts w:ascii="Arial" w:cs="Arial" w:eastAsia="Arial" w:hAnsi="Arial"/>
                <w:sz w:val="18"/>
                <w:szCs w:val="18"/>
                <w:color w:val="auto"/>
              </w:rPr>
              <w:t>Actual</w:t>
            </w:r>
          </w:p>
        </w:tc>
        <w:tc>
          <w:tcPr>
            <w:tcW w:w="48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30-Year Average</w:t>
            </w:r>
          </w:p>
        </w:tc>
        <w:tc>
          <w:tcPr>
            <w:tcW w:w="2240" w:type="dxa"/>
            <w:vAlign w:val="bottom"/>
          </w:tcPr>
          <w:p>
            <w:pPr>
              <w:jc w:val="center"/>
              <w:ind w:right="530"/>
              <w:spacing w:after="0"/>
              <w:rPr>
                <w:sz w:val="20"/>
                <w:szCs w:val="20"/>
                <w:color w:val="auto"/>
              </w:rPr>
            </w:pPr>
            <w:r>
              <w:rPr>
                <w:rFonts w:ascii="Arial" w:cs="Arial" w:eastAsia="Arial" w:hAnsi="Arial"/>
                <w:sz w:val="18"/>
                <w:szCs w:val="18"/>
                <w:color w:val="auto"/>
                <w:w w:val="91"/>
              </w:rPr>
              <w:t>Prior Year</w:t>
            </w: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Actual</w:t>
            </w:r>
          </w:p>
        </w:tc>
        <w:tc>
          <w:tcPr>
            <w:tcW w:w="2000" w:type="dxa"/>
            <w:vAlign w:val="bottom"/>
          </w:tcPr>
          <w:p>
            <w:pPr>
              <w:jc w:val="center"/>
              <w:ind w:left="90"/>
              <w:spacing w:after="0"/>
              <w:rPr>
                <w:sz w:val="20"/>
                <w:szCs w:val="20"/>
                <w:color w:val="auto"/>
              </w:rPr>
            </w:pPr>
            <w:r>
              <w:rPr>
                <w:rFonts w:ascii="Arial" w:cs="Arial" w:eastAsia="Arial" w:hAnsi="Arial"/>
                <w:sz w:val="18"/>
                <w:szCs w:val="18"/>
                <w:color w:val="auto"/>
                <w:w w:val="89"/>
              </w:rPr>
              <w:t>30-Year Average</w:t>
            </w:r>
          </w:p>
        </w:tc>
      </w:tr>
      <w:tr>
        <w:trPr>
          <w:trHeight w:val="27"/>
        </w:trPr>
        <w:tc>
          <w:tcPr>
            <w:tcW w:w="20" w:type="dxa"/>
            <w:vAlign w:val="bottom"/>
            <w:tcBorders>
              <w:bottom w:val="single" w:sz="8" w:color="CEFFE7"/>
            </w:tcBorders>
          </w:tcPr>
          <w:p>
            <w:pPr>
              <w:spacing w:after="0"/>
              <w:rPr>
                <w:sz w:val="2"/>
                <w:szCs w:val="2"/>
                <w:color w:val="auto"/>
              </w:rPr>
            </w:pPr>
          </w:p>
        </w:tc>
        <w:tc>
          <w:tcPr>
            <w:tcW w:w="234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EFFE7"/>
            </w:tcBorders>
            <w:shd w:val="clear" w:color="auto" w:fill="CEFFE7"/>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8"/>
                <w:szCs w:val="18"/>
                <w:color w:val="auto"/>
              </w:rPr>
              <w:t>Heating Degree Days:</w:t>
            </w:r>
          </w:p>
        </w:tc>
        <w:tc>
          <w:tcPr>
            <w:tcW w:w="480" w:type="dxa"/>
            <w:vAlign w:val="bottom"/>
            <w:tcBorders>
              <w:bottom w:val="single" w:sz="8" w:color="CEFFE7"/>
            </w:tcBorders>
            <w:shd w:val="clear" w:color="auto" w:fill="CEFFE7"/>
          </w:tcPr>
          <w:p>
            <w:pPr>
              <w:spacing w:after="0"/>
              <w:rPr>
                <w:sz w:val="21"/>
                <w:szCs w:val="21"/>
                <w:color w:val="auto"/>
              </w:rPr>
            </w:pPr>
          </w:p>
        </w:tc>
        <w:tc>
          <w:tcPr>
            <w:tcW w:w="2100" w:type="dxa"/>
            <w:vAlign w:val="bottom"/>
            <w:tcBorders>
              <w:bottom w:val="single" w:sz="8" w:color="CEFFE7"/>
            </w:tcBorders>
            <w:shd w:val="clear" w:color="auto" w:fill="CEFFE7"/>
          </w:tcPr>
          <w:p>
            <w:pPr>
              <w:spacing w:after="0"/>
              <w:rPr>
                <w:sz w:val="21"/>
                <w:szCs w:val="21"/>
                <w:color w:val="auto"/>
              </w:rPr>
            </w:pPr>
          </w:p>
        </w:tc>
        <w:tc>
          <w:tcPr>
            <w:tcW w:w="22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South Dakota Electric</w:t>
            </w:r>
          </w:p>
        </w:tc>
        <w:tc>
          <w:tcPr>
            <w:tcW w:w="480" w:type="dxa"/>
            <w:vAlign w:val="bottom"/>
          </w:tcPr>
          <w:p>
            <w:pPr>
              <w:jc w:val="right"/>
              <w:spacing w:after="0"/>
              <w:rPr>
                <w:sz w:val="20"/>
                <w:szCs w:val="20"/>
                <w:color w:val="auto"/>
              </w:rPr>
            </w:pPr>
            <w:r>
              <w:rPr>
                <w:rFonts w:ascii="Arial" w:cs="Arial" w:eastAsia="Arial" w:hAnsi="Arial"/>
                <w:sz w:val="18"/>
                <w:szCs w:val="18"/>
                <w:color w:val="auto"/>
              </w:rPr>
              <w:t>202</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2240" w:type="dxa"/>
            <w:vAlign w:val="bottom"/>
          </w:tcPr>
          <w:p>
            <w:pPr>
              <w:jc w:val="center"/>
              <w:ind w:right="530"/>
              <w:spacing w:after="0"/>
              <w:rPr>
                <w:sz w:val="20"/>
                <w:szCs w:val="20"/>
                <w:color w:val="auto"/>
              </w:rPr>
            </w:pPr>
            <w:r>
              <w:rPr>
                <w:rFonts w:ascii="Arial" w:cs="Arial" w:eastAsia="Arial" w:hAnsi="Arial"/>
                <w:sz w:val="18"/>
                <w:szCs w:val="18"/>
                <w:color w:val="auto"/>
                <w:w w:val="94"/>
              </w:rPr>
              <w:t>25%</w:t>
            </w: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2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400"/>
              <w:spacing w:after="0"/>
              <w:rPr>
                <w:sz w:val="20"/>
                <w:szCs w:val="20"/>
                <w:color w:val="auto"/>
              </w:rPr>
            </w:pPr>
            <w:r>
              <w:rPr>
                <w:rFonts w:ascii="Arial" w:cs="Arial" w:eastAsia="Arial" w:hAnsi="Arial"/>
                <w:sz w:val="18"/>
                <w:szCs w:val="18"/>
                <w:color w:val="auto"/>
              </w:rPr>
              <w:t>Wyoming Electric</w:t>
            </w:r>
          </w:p>
        </w:tc>
        <w:tc>
          <w:tcPr>
            <w:tcW w:w="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292</w:t>
            </w:r>
          </w:p>
        </w:tc>
        <w:tc>
          <w:tcPr>
            <w:tcW w:w="21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w:t>
            </w:r>
          </w:p>
        </w:tc>
        <w:tc>
          <w:tcPr>
            <w:tcW w:w="2240" w:type="dxa"/>
            <w:vAlign w:val="bottom"/>
            <w:tcBorders>
              <w:bottom w:val="single" w:sz="8" w:color="CEFFE7"/>
            </w:tcBorders>
            <w:shd w:val="clear" w:color="auto" w:fill="CEFFE7"/>
          </w:tcPr>
          <w:p>
            <w:pPr>
              <w:jc w:val="center"/>
              <w:ind w:right="530"/>
              <w:spacing w:after="0"/>
              <w:rPr>
                <w:sz w:val="20"/>
                <w:szCs w:val="20"/>
                <w:color w:val="auto"/>
              </w:rPr>
            </w:pPr>
            <w:r>
              <w:rPr>
                <w:rFonts w:ascii="Arial" w:cs="Arial" w:eastAsia="Arial" w:hAnsi="Arial"/>
                <w:sz w:val="18"/>
                <w:szCs w:val="18"/>
                <w:color w:val="auto"/>
                <w:w w:val="94"/>
              </w:rPr>
              <w:t>39%</w:t>
            </w: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210</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Colorado Electric</w:t>
            </w: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2240" w:type="dxa"/>
            <w:vAlign w:val="bottom"/>
          </w:tcPr>
          <w:p>
            <w:pPr>
              <w:jc w:val="center"/>
              <w:ind w:right="530"/>
              <w:spacing w:after="0"/>
              <w:rPr>
                <w:sz w:val="20"/>
                <w:szCs w:val="20"/>
                <w:color w:val="auto"/>
              </w:rPr>
            </w:pPr>
            <w:r>
              <w:rPr>
                <w:rFonts w:ascii="Arial" w:cs="Arial" w:eastAsia="Arial" w:hAnsi="Arial"/>
                <w:sz w:val="18"/>
                <w:szCs w:val="18"/>
                <w:color w:val="auto"/>
                <w:w w:val="91"/>
              </w:rPr>
              <w:t>335%</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0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20" w:type="dxa"/>
            <w:vAlign w:val="bottom"/>
            <w:shd w:val="clear" w:color="auto" w:fill="CEFFE7"/>
          </w:tcPr>
          <w:p>
            <w:pPr>
              <w:spacing w:after="0"/>
              <w:rPr>
                <w:sz w:val="23"/>
                <w:szCs w:val="23"/>
                <w:color w:val="auto"/>
              </w:rPr>
            </w:pPr>
          </w:p>
        </w:tc>
        <w:tc>
          <w:tcPr>
            <w:tcW w:w="3460" w:type="dxa"/>
            <w:vAlign w:val="bottom"/>
            <w:gridSpan w:val="3"/>
            <w:shd w:val="clear" w:color="auto" w:fill="CEFFE7"/>
          </w:tcPr>
          <w:p>
            <w:pPr>
              <w:ind w:left="70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(a)</w:t>
            </w:r>
          </w:p>
        </w:tc>
        <w:tc>
          <w:tcPr>
            <w:tcW w:w="4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168</w:t>
            </w:r>
          </w:p>
        </w:tc>
        <w:tc>
          <w:tcPr>
            <w:tcW w:w="210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(8)%</w:t>
            </w:r>
          </w:p>
        </w:tc>
        <w:tc>
          <w:tcPr>
            <w:tcW w:w="2240" w:type="dxa"/>
            <w:vAlign w:val="bottom"/>
            <w:shd w:val="clear" w:color="auto" w:fill="CEFFE7"/>
          </w:tcPr>
          <w:p>
            <w:pPr>
              <w:jc w:val="center"/>
              <w:ind w:right="530"/>
              <w:spacing w:after="0"/>
              <w:rPr>
                <w:sz w:val="20"/>
                <w:szCs w:val="20"/>
                <w:color w:val="auto"/>
              </w:rPr>
            </w:pPr>
            <w:r>
              <w:rPr>
                <w:rFonts w:ascii="Arial" w:cs="Arial" w:eastAsia="Arial" w:hAnsi="Arial"/>
                <w:sz w:val="18"/>
                <w:szCs w:val="18"/>
                <w:color w:val="auto"/>
                <w:w w:val="94"/>
              </w:rPr>
              <w:t>57%</w:t>
            </w:r>
          </w:p>
        </w:tc>
        <w:tc>
          <w:tcPr>
            <w:tcW w:w="11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107</w:t>
            </w:r>
          </w:p>
        </w:tc>
        <w:tc>
          <w:tcPr>
            <w:tcW w:w="2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8"/>
                <w:szCs w:val="18"/>
                <w:color w:val="auto"/>
              </w:rPr>
              <w:t>Cooling Degree Days:</w:t>
            </w:r>
          </w:p>
        </w:tc>
        <w:tc>
          <w:tcPr>
            <w:tcW w:w="480" w:type="dxa"/>
            <w:vAlign w:val="bottom"/>
            <w:tcBorders>
              <w:bottom w:val="single" w:sz="8" w:color="CEFFE7"/>
            </w:tcBorders>
            <w:shd w:val="clear" w:color="auto" w:fill="CEFFE7"/>
          </w:tcPr>
          <w:p>
            <w:pPr>
              <w:spacing w:after="0"/>
              <w:rPr>
                <w:sz w:val="21"/>
                <w:szCs w:val="21"/>
                <w:color w:val="auto"/>
              </w:rPr>
            </w:pPr>
          </w:p>
        </w:tc>
        <w:tc>
          <w:tcPr>
            <w:tcW w:w="2100" w:type="dxa"/>
            <w:vAlign w:val="bottom"/>
            <w:tcBorders>
              <w:bottom w:val="single" w:sz="8" w:color="CEFFE7"/>
            </w:tcBorders>
            <w:shd w:val="clear" w:color="auto" w:fill="CEFFE7"/>
          </w:tcPr>
          <w:p>
            <w:pPr>
              <w:spacing w:after="0"/>
              <w:rPr>
                <w:sz w:val="21"/>
                <w:szCs w:val="21"/>
                <w:color w:val="auto"/>
              </w:rPr>
            </w:pPr>
          </w:p>
        </w:tc>
        <w:tc>
          <w:tcPr>
            <w:tcW w:w="22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South Dakota Electric</w:t>
            </w:r>
          </w:p>
        </w:tc>
        <w:tc>
          <w:tcPr>
            <w:tcW w:w="480" w:type="dxa"/>
            <w:vAlign w:val="bottom"/>
          </w:tcPr>
          <w:p>
            <w:pPr>
              <w:jc w:val="right"/>
              <w:spacing w:after="0"/>
              <w:rPr>
                <w:sz w:val="20"/>
                <w:szCs w:val="20"/>
                <w:color w:val="auto"/>
              </w:rPr>
            </w:pPr>
            <w:r>
              <w:rPr>
                <w:rFonts w:ascii="Arial" w:cs="Arial" w:eastAsia="Arial" w:hAnsi="Arial"/>
                <w:sz w:val="18"/>
                <w:szCs w:val="18"/>
                <w:color w:val="auto"/>
              </w:rPr>
              <w:t>595</w:t>
            </w: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11 %</w:t>
            </w:r>
          </w:p>
        </w:tc>
        <w:tc>
          <w:tcPr>
            <w:tcW w:w="2240" w:type="dxa"/>
            <w:vAlign w:val="bottom"/>
          </w:tcPr>
          <w:p>
            <w:pPr>
              <w:jc w:val="center"/>
              <w:ind w:right="530"/>
              <w:spacing w:after="0"/>
              <w:rPr>
                <w:sz w:val="20"/>
                <w:szCs w:val="20"/>
                <w:color w:val="auto"/>
              </w:rPr>
            </w:pPr>
            <w:r>
              <w:rPr>
                <w:rFonts w:ascii="Arial" w:cs="Arial" w:eastAsia="Arial" w:hAnsi="Arial"/>
                <w:sz w:val="18"/>
                <w:szCs w:val="18"/>
                <w:color w:val="auto"/>
                <w:w w:val="94"/>
              </w:rPr>
              <w:t>29%</w:t>
            </w:r>
          </w:p>
        </w:tc>
        <w:tc>
          <w:tcPr>
            <w:tcW w:w="1100" w:type="dxa"/>
            <w:vAlign w:val="bottom"/>
          </w:tcPr>
          <w:p>
            <w:pPr>
              <w:jc w:val="right"/>
              <w:spacing w:after="0"/>
              <w:rPr>
                <w:sz w:val="20"/>
                <w:szCs w:val="20"/>
                <w:color w:val="auto"/>
              </w:rPr>
            </w:pPr>
            <w:r>
              <w:rPr>
                <w:rFonts w:ascii="Arial" w:cs="Arial" w:eastAsia="Arial" w:hAnsi="Arial"/>
                <w:sz w:val="18"/>
                <w:szCs w:val="18"/>
                <w:color w:val="auto"/>
              </w:rPr>
              <w:t>460</w:t>
            </w: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400"/>
              <w:spacing w:after="0"/>
              <w:rPr>
                <w:sz w:val="20"/>
                <w:szCs w:val="20"/>
                <w:color w:val="auto"/>
              </w:rPr>
            </w:pPr>
            <w:r>
              <w:rPr>
                <w:rFonts w:ascii="Arial" w:cs="Arial" w:eastAsia="Arial" w:hAnsi="Arial"/>
                <w:sz w:val="18"/>
                <w:szCs w:val="18"/>
                <w:color w:val="auto"/>
              </w:rPr>
              <w:t>Wyoming Electric</w:t>
            </w:r>
          </w:p>
        </w:tc>
        <w:tc>
          <w:tcPr>
            <w:tcW w:w="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388</w:t>
            </w:r>
          </w:p>
        </w:tc>
        <w:tc>
          <w:tcPr>
            <w:tcW w:w="21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30 %</w:t>
            </w:r>
          </w:p>
        </w:tc>
        <w:tc>
          <w:tcPr>
            <w:tcW w:w="2240" w:type="dxa"/>
            <w:vAlign w:val="bottom"/>
            <w:tcBorders>
              <w:bottom w:val="single" w:sz="8" w:color="CEFFE7"/>
            </w:tcBorders>
            <w:shd w:val="clear" w:color="auto" w:fill="CEFFE7"/>
          </w:tcPr>
          <w:p>
            <w:pPr>
              <w:jc w:val="center"/>
              <w:ind w:right="550"/>
              <w:spacing w:after="0"/>
              <w:rPr>
                <w:sz w:val="20"/>
                <w:szCs w:val="20"/>
                <w:color w:val="auto"/>
              </w:rPr>
            </w:pPr>
            <w:r>
              <w:rPr>
                <w:rFonts w:ascii="Arial" w:cs="Arial" w:eastAsia="Arial" w:hAnsi="Arial"/>
                <w:sz w:val="18"/>
                <w:szCs w:val="18"/>
                <w:color w:val="auto"/>
                <w:w w:val="92"/>
              </w:rPr>
              <w:t>8%</w:t>
            </w: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358</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Colorado Electric</w:t>
            </w:r>
          </w:p>
        </w:tc>
        <w:tc>
          <w:tcPr>
            <w:tcW w:w="480" w:type="dxa"/>
            <w:vAlign w:val="bottom"/>
          </w:tcPr>
          <w:p>
            <w:pPr>
              <w:jc w:val="right"/>
              <w:spacing w:after="0"/>
              <w:rPr>
                <w:sz w:val="20"/>
                <w:szCs w:val="20"/>
                <w:color w:val="auto"/>
              </w:rPr>
            </w:pPr>
            <w:r>
              <w:rPr>
                <w:rFonts w:ascii="Arial" w:cs="Arial" w:eastAsia="Arial" w:hAnsi="Arial"/>
                <w:sz w:val="18"/>
                <w:szCs w:val="18"/>
                <w:color w:val="auto"/>
              </w:rPr>
              <w:t>784</w:t>
            </w: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14 %</w:t>
            </w:r>
          </w:p>
        </w:tc>
        <w:tc>
          <w:tcPr>
            <w:tcW w:w="2240" w:type="dxa"/>
            <w:vAlign w:val="bottom"/>
          </w:tcPr>
          <w:p>
            <w:pPr>
              <w:jc w:val="center"/>
              <w:ind w:right="530"/>
              <w:spacing w:after="0"/>
              <w:rPr>
                <w:sz w:val="20"/>
                <w:szCs w:val="20"/>
                <w:color w:val="auto"/>
              </w:rPr>
            </w:pPr>
            <w:r>
              <w:rPr>
                <w:rFonts w:ascii="Arial" w:cs="Arial" w:eastAsia="Arial" w:hAnsi="Arial"/>
                <w:sz w:val="18"/>
                <w:szCs w:val="18"/>
                <w:color w:val="auto"/>
                <w:w w:val="95"/>
              </w:rPr>
              <w:t>(19)%</w:t>
            </w:r>
          </w:p>
        </w:tc>
        <w:tc>
          <w:tcPr>
            <w:tcW w:w="1100" w:type="dxa"/>
            <w:vAlign w:val="bottom"/>
          </w:tcPr>
          <w:p>
            <w:pPr>
              <w:jc w:val="right"/>
              <w:spacing w:after="0"/>
              <w:rPr>
                <w:sz w:val="20"/>
                <w:szCs w:val="20"/>
                <w:color w:val="auto"/>
              </w:rPr>
            </w:pPr>
            <w:r>
              <w:rPr>
                <w:rFonts w:ascii="Arial" w:cs="Arial" w:eastAsia="Arial" w:hAnsi="Arial"/>
                <w:sz w:val="18"/>
                <w:szCs w:val="18"/>
                <w:color w:val="auto"/>
              </w:rPr>
              <w:t>968</w:t>
            </w:r>
          </w:p>
        </w:tc>
        <w:tc>
          <w:tcPr>
            <w:tcW w:w="200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20" w:type="dxa"/>
            <w:vAlign w:val="bottom"/>
            <w:shd w:val="clear" w:color="auto" w:fill="CEFFE7"/>
          </w:tcPr>
          <w:p>
            <w:pPr>
              <w:spacing w:after="0"/>
              <w:rPr>
                <w:sz w:val="23"/>
                <w:szCs w:val="23"/>
                <w:color w:val="auto"/>
              </w:rPr>
            </w:pPr>
          </w:p>
        </w:tc>
        <w:tc>
          <w:tcPr>
            <w:tcW w:w="3460" w:type="dxa"/>
            <w:vAlign w:val="bottom"/>
            <w:gridSpan w:val="3"/>
            <w:shd w:val="clear" w:color="auto" w:fill="CEFFE7"/>
          </w:tcPr>
          <w:p>
            <w:pPr>
              <w:ind w:left="70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(a)</w:t>
            </w:r>
          </w:p>
        </w:tc>
        <w:tc>
          <w:tcPr>
            <w:tcW w:w="4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640</w:t>
            </w:r>
          </w:p>
        </w:tc>
        <w:tc>
          <w:tcPr>
            <w:tcW w:w="210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15 %</w:t>
            </w:r>
          </w:p>
        </w:tc>
        <w:tc>
          <w:tcPr>
            <w:tcW w:w="2240" w:type="dxa"/>
            <w:vAlign w:val="bottom"/>
            <w:shd w:val="clear" w:color="auto" w:fill="CEFFE7"/>
          </w:tcPr>
          <w:p>
            <w:pPr>
              <w:jc w:val="center"/>
              <w:ind w:right="550"/>
              <w:spacing w:after="0"/>
              <w:rPr>
                <w:sz w:val="20"/>
                <w:szCs w:val="20"/>
                <w:color w:val="auto"/>
              </w:rPr>
            </w:pPr>
            <w:r>
              <w:rPr>
                <w:rFonts w:ascii="Arial" w:cs="Arial" w:eastAsia="Arial" w:hAnsi="Arial"/>
                <w:sz w:val="18"/>
                <w:szCs w:val="18"/>
                <w:color w:val="auto"/>
                <w:w w:val="94"/>
              </w:rPr>
              <w:t>(5)%</w:t>
            </w:r>
          </w:p>
        </w:tc>
        <w:tc>
          <w:tcPr>
            <w:tcW w:w="11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673</w:t>
            </w:r>
          </w:p>
        </w:tc>
        <w:tc>
          <w:tcPr>
            <w:tcW w:w="2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15 %</w:t>
            </w:r>
          </w:p>
        </w:tc>
      </w:tr>
      <w:tr>
        <w:trPr>
          <w:trHeight w:val="864"/>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gridSpan w:val="2"/>
          </w:tcPr>
          <w:p>
            <w:pPr>
              <w:jc w:val="center"/>
              <w:ind w:left="1450"/>
              <w:spacing w:after="0"/>
              <w:rPr>
                <w:sz w:val="20"/>
                <w:szCs w:val="20"/>
                <w:color w:val="auto"/>
              </w:rPr>
            </w:pPr>
            <w:r>
              <w:rPr>
                <w:rFonts w:ascii="Arial" w:cs="Arial" w:eastAsia="Arial" w:hAnsi="Arial"/>
                <w:sz w:val="18"/>
                <w:szCs w:val="18"/>
                <w:color w:val="auto"/>
                <w:w w:val="89"/>
              </w:rPr>
              <w:t>Nine Months Ended September 30,</w:t>
            </w:r>
          </w:p>
        </w:tc>
        <w:tc>
          <w:tcPr>
            <w:tcW w:w="11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460" w:type="dxa"/>
            <w:vAlign w:val="bottom"/>
            <w:gridSpan w:val="3"/>
          </w:tcPr>
          <w:p>
            <w:pPr>
              <w:ind w:left="20"/>
              <w:spacing w:after="0"/>
              <w:rPr>
                <w:sz w:val="20"/>
                <w:szCs w:val="20"/>
                <w:color w:val="auto"/>
              </w:rPr>
            </w:pPr>
            <w:r>
              <w:rPr>
                <w:rFonts w:ascii="Arial" w:cs="Arial" w:eastAsia="Arial" w:hAnsi="Arial"/>
                <w:sz w:val="18"/>
                <w:szCs w:val="18"/>
                <w:color w:val="auto"/>
              </w:rPr>
              <w:t>Degree Days</w:t>
            </w:r>
          </w:p>
        </w:tc>
        <w:tc>
          <w:tcPr>
            <w:tcW w:w="480" w:type="dxa"/>
            <w:vAlign w:val="bottom"/>
          </w:tcPr>
          <w:p>
            <w:pPr>
              <w:spacing w:after="0"/>
              <w:rPr>
                <w:sz w:val="23"/>
                <w:szCs w:val="23"/>
                <w:color w:val="auto"/>
              </w:rPr>
            </w:pPr>
          </w:p>
        </w:tc>
        <w:tc>
          <w:tcPr>
            <w:tcW w:w="2100" w:type="dxa"/>
            <w:vAlign w:val="bottom"/>
          </w:tcPr>
          <w:p>
            <w:pPr>
              <w:jc w:val="right"/>
              <w:ind w:right="1630"/>
              <w:spacing w:after="0"/>
              <w:rPr>
                <w:sz w:val="20"/>
                <w:szCs w:val="20"/>
                <w:color w:val="auto"/>
              </w:rPr>
            </w:pPr>
            <w:r>
              <w:rPr>
                <w:rFonts w:ascii="Arial" w:cs="Arial" w:eastAsia="Arial" w:hAnsi="Arial"/>
                <w:sz w:val="18"/>
                <w:szCs w:val="18"/>
                <w:color w:val="auto"/>
                <w:w w:val="89"/>
              </w:rPr>
              <w:t>2017</w:t>
            </w:r>
          </w:p>
        </w:tc>
        <w:tc>
          <w:tcPr>
            <w:tcW w:w="2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0" w:type="dxa"/>
            <w:vAlign w:val="bottom"/>
          </w:tcPr>
          <w:p>
            <w:pPr>
              <w:jc w:val="right"/>
              <w:ind w:right="1490"/>
              <w:spacing w:after="0"/>
              <w:rPr>
                <w:sz w:val="20"/>
                <w:szCs w:val="20"/>
                <w:color w:val="auto"/>
              </w:rPr>
            </w:pPr>
            <w:r>
              <w:rPr>
                <w:rFonts w:ascii="Arial" w:cs="Arial" w:eastAsia="Arial" w:hAnsi="Arial"/>
                <w:sz w:val="18"/>
                <w:szCs w:val="18"/>
                <w:color w:val="auto"/>
                <w:w w:val="99"/>
              </w:rPr>
              <w:t>2016</w:t>
            </w:r>
          </w:p>
        </w:tc>
      </w:tr>
      <w:tr>
        <w:trPr>
          <w:trHeight w:val="27"/>
        </w:trPr>
        <w:tc>
          <w:tcPr>
            <w:tcW w:w="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Variance from</w:t>
            </w:r>
          </w:p>
        </w:tc>
        <w:tc>
          <w:tcPr>
            <w:tcW w:w="2240" w:type="dxa"/>
            <w:vAlign w:val="bottom"/>
          </w:tcPr>
          <w:p>
            <w:pPr>
              <w:jc w:val="center"/>
              <w:ind w:right="490"/>
              <w:spacing w:after="0"/>
              <w:rPr>
                <w:sz w:val="20"/>
                <w:szCs w:val="20"/>
                <w:color w:val="auto"/>
              </w:rPr>
            </w:pPr>
            <w:r>
              <w:rPr>
                <w:rFonts w:ascii="Arial" w:cs="Arial" w:eastAsia="Arial" w:hAnsi="Arial"/>
                <w:sz w:val="18"/>
                <w:szCs w:val="18"/>
                <w:color w:val="auto"/>
                <w:w w:val="91"/>
              </w:rPr>
              <w:t>Actual Variance to</w:t>
            </w:r>
          </w:p>
        </w:tc>
        <w:tc>
          <w:tcPr>
            <w:tcW w:w="1100" w:type="dxa"/>
            <w:vAlign w:val="bottom"/>
          </w:tcPr>
          <w:p>
            <w:pPr>
              <w:spacing w:after="0"/>
              <w:rPr>
                <w:sz w:val="19"/>
                <w:szCs w:val="19"/>
                <w:color w:val="auto"/>
              </w:rPr>
            </w:pPr>
          </w:p>
        </w:tc>
        <w:tc>
          <w:tcPr>
            <w:tcW w:w="2000" w:type="dxa"/>
            <w:vAlign w:val="bottom"/>
          </w:tcPr>
          <w:p>
            <w:pPr>
              <w:jc w:val="center"/>
              <w:ind w:left="110"/>
              <w:spacing w:after="0"/>
              <w:rPr>
                <w:sz w:val="20"/>
                <w:szCs w:val="20"/>
                <w:color w:val="auto"/>
              </w:rPr>
            </w:pPr>
            <w:r>
              <w:rPr>
                <w:rFonts w:ascii="Arial" w:cs="Arial" w:eastAsia="Arial" w:hAnsi="Arial"/>
                <w:sz w:val="18"/>
                <w:szCs w:val="18"/>
                <w:color w:val="auto"/>
                <w:w w:val="92"/>
              </w:rPr>
              <w:t>Variance from</w:t>
            </w:r>
          </w:p>
        </w:tc>
      </w:t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ind w:left="580"/>
              <w:spacing w:after="0"/>
              <w:rPr>
                <w:sz w:val="20"/>
                <w:szCs w:val="20"/>
                <w:color w:val="auto"/>
              </w:rPr>
            </w:pPr>
            <w:r>
              <w:rPr>
                <w:rFonts w:ascii="Arial" w:cs="Arial" w:eastAsia="Arial" w:hAnsi="Arial"/>
                <w:sz w:val="18"/>
                <w:szCs w:val="18"/>
                <w:color w:val="auto"/>
                <w:w w:val="99"/>
              </w:rPr>
              <w:t>Actual</w:t>
            </w:r>
          </w:p>
        </w:tc>
        <w:tc>
          <w:tcPr>
            <w:tcW w:w="48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30-Year Average</w:t>
            </w:r>
          </w:p>
        </w:tc>
        <w:tc>
          <w:tcPr>
            <w:tcW w:w="2240" w:type="dxa"/>
            <w:vAlign w:val="bottom"/>
          </w:tcPr>
          <w:p>
            <w:pPr>
              <w:jc w:val="center"/>
              <w:ind w:right="490"/>
              <w:spacing w:after="0"/>
              <w:rPr>
                <w:sz w:val="20"/>
                <w:szCs w:val="20"/>
                <w:color w:val="auto"/>
              </w:rPr>
            </w:pPr>
            <w:r>
              <w:rPr>
                <w:rFonts w:ascii="Arial" w:cs="Arial" w:eastAsia="Arial" w:hAnsi="Arial"/>
                <w:sz w:val="18"/>
                <w:szCs w:val="18"/>
                <w:color w:val="auto"/>
                <w:w w:val="91"/>
              </w:rPr>
              <w:t>Prior Year</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Actual</w:t>
            </w:r>
          </w:p>
        </w:tc>
        <w:tc>
          <w:tcPr>
            <w:tcW w:w="2000" w:type="dxa"/>
            <w:vAlign w:val="bottom"/>
          </w:tcPr>
          <w:p>
            <w:pPr>
              <w:jc w:val="center"/>
              <w:ind w:left="110"/>
              <w:spacing w:after="0"/>
              <w:rPr>
                <w:sz w:val="20"/>
                <w:szCs w:val="20"/>
                <w:color w:val="auto"/>
              </w:rPr>
            </w:pPr>
            <w:r>
              <w:rPr>
                <w:rFonts w:ascii="Arial" w:cs="Arial" w:eastAsia="Arial" w:hAnsi="Arial"/>
                <w:sz w:val="18"/>
                <w:szCs w:val="18"/>
                <w:color w:val="auto"/>
                <w:w w:val="88"/>
              </w:rPr>
              <w:t>30-Year Average</w:t>
            </w:r>
          </w:p>
        </w:tc>
      </w:tr>
      <w:tr>
        <w:trPr>
          <w:trHeight w:val="27"/>
        </w:trPr>
        <w:tc>
          <w:tcPr>
            <w:tcW w:w="20" w:type="dxa"/>
            <w:vAlign w:val="bottom"/>
          </w:tcPr>
          <w:p>
            <w:pPr>
              <w:spacing w:after="0"/>
              <w:rPr>
                <w:sz w:val="2"/>
                <w:szCs w:val="2"/>
                <w:color w:val="auto"/>
              </w:rPr>
            </w:pPr>
          </w:p>
        </w:tc>
        <w:tc>
          <w:tcPr>
            <w:tcW w:w="2360" w:type="dxa"/>
            <w:vAlign w:val="bottom"/>
            <w:tcBorders>
              <w:bottom w:val="single" w:sz="8" w:color="CEFFE7"/>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8"/>
                <w:szCs w:val="18"/>
                <w:color w:val="auto"/>
              </w:rPr>
              <w:t>Heating Degree Days:</w:t>
            </w:r>
          </w:p>
        </w:tc>
        <w:tc>
          <w:tcPr>
            <w:tcW w:w="480" w:type="dxa"/>
            <w:vAlign w:val="bottom"/>
            <w:tcBorders>
              <w:bottom w:val="single" w:sz="8" w:color="CEFFE7"/>
            </w:tcBorders>
            <w:shd w:val="clear" w:color="auto" w:fill="CEFFE7"/>
          </w:tcPr>
          <w:p>
            <w:pPr>
              <w:spacing w:after="0"/>
              <w:rPr>
                <w:sz w:val="21"/>
                <w:szCs w:val="21"/>
                <w:color w:val="auto"/>
              </w:rPr>
            </w:pPr>
          </w:p>
        </w:tc>
        <w:tc>
          <w:tcPr>
            <w:tcW w:w="2100" w:type="dxa"/>
            <w:vAlign w:val="bottom"/>
            <w:tcBorders>
              <w:bottom w:val="single" w:sz="8" w:color="CEFFE7"/>
            </w:tcBorders>
            <w:shd w:val="clear" w:color="auto" w:fill="CEFFE7"/>
          </w:tcPr>
          <w:p>
            <w:pPr>
              <w:spacing w:after="0"/>
              <w:rPr>
                <w:sz w:val="21"/>
                <w:szCs w:val="21"/>
                <w:color w:val="auto"/>
              </w:rPr>
            </w:pPr>
          </w:p>
        </w:tc>
        <w:tc>
          <w:tcPr>
            <w:tcW w:w="22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South Dakota Electric</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4,242</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2240" w:type="dxa"/>
            <w:vAlign w:val="bottom"/>
          </w:tcPr>
          <w:p>
            <w:pPr>
              <w:jc w:val="center"/>
              <w:ind w:right="510"/>
              <w:spacing w:after="0"/>
              <w:rPr>
                <w:sz w:val="20"/>
                <w:szCs w:val="20"/>
                <w:color w:val="auto"/>
              </w:rPr>
            </w:pPr>
            <w:r>
              <w:rPr>
                <w:rFonts w:ascii="Arial" w:cs="Arial" w:eastAsia="Arial" w:hAnsi="Arial"/>
                <w:sz w:val="18"/>
                <w:szCs w:val="18"/>
                <w:color w:val="auto"/>
                <w:w w:val="88"/>
              </w:rPr>
              <w:t>10%</w:t>
            </w:r>
          </w:p>
        </w:tc>
        <w:tc>
          <w:tcPr>
            <w:tcW w:w="1100" w:type="dxa"/>
            <w:vAlign w:val="bottom"/>
          </w:tcPr>
          <w:p>
            <w:pPr>
              <w:jc w:val="right"/>
              <w:spacing w:after="0"/>
              <w:rPr>
                <w:sz w:val="20"/>
                <w:szCs w:val="20"/>
                <w:color w:val="auto"/>
              </w:rPr>
            </w:pPr>
            <w:r>
              <w:rPr>
                <w:rFonts w:ascii="Arial" w:cs="Arial" w:eastAsia="Arial" w:hAnsi="Arial"/>
                <w:sz w:val="18"/>
                <w:szCs w:val="18"/>
                <w:color w:val="auto"/>
              </w:rPr>
              <w:t>3,844</w:t>
            </w:r>
          </w:p>
        </w:tc>
        <w:tc>
          <w:tcPr>
            <w:tcW w:w="2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400"/>
              <w:spacing w:after="0"/>
              <w:rPr>
                <w:sz w:val="20"/>
                <w:szCs w:val="20"/>
                <w:color w:val="auto"/>
              </w:rPr>
            </w:pPr>
            <w:r>
              <w:rPr>
                <w:rFonts w:ascii="Arial" w:cs="Arial" w:eastAsia="Arial" w:hAnsi="Arial"/>
                <w:sz w:val="18"/>
                <w:szCs w:val="18"/>
                <w:color w:val="auto"/>
              </w:rPr>
              <w:t>Wyoming Electric</w:t>
            </w:r>
          </w:p>
        </w:tc>
        <w:tc>
          <w:tcPr>
            <w:tcW w:w="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3"/>
              </w:rPr>
              <w:t>4,186</w:t>
            </w:r>
          </w:p>
        </w:tc>
        <w:tc>
          <w:tcPr>
            <w:tcW w:w="21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(11)%</w:t>
            </w:r>
          </w:p>
        </w:tc>
        <w:tc>
          <w:tcPr>
            <w:tcW w:w="2240" w:type="dxa"/>
            <w:vAlign w:val="bottom"/>
            <w:tcBorders>
              <w:bottom w:val="single" w:sz="8" w:color="CEFFE7"/>
            </w:tcBorders>
            <w:shd w:val="clear" w:color="auto" w:fill="CEFFE7"/>
          </w:tcPr>
          <w:p>
            <w:pPr>
              <w:jc w:val="center"/>
              <w:ind w:right="510"/>
              <w:spacing w:after="0"/>
              <w:rPr>
                <w:sz w:val="20"/>
                <w:szCs w:val="20"/>
                <w:color w:val="auto"/>
              </w:rPr>
            </w:pPr>
            <w:r>
              <w:rPr>
                <w:rFonts w:ascii="Arial" w:cs="Arial" w:eastAsia="Arial" w:hAnsi="Arial"/>
                <w:sz w:val="18"/>
                <w:szCs w:val="18"/>
                <w:color w:val="auto"/>
                <w:w w:val="92"/>
              </w:rPr>
              <w:t>2%</w:t>
            </w: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4,120</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Colorado Electric</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2,773</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2240" w:type="dxa"/>
            <w:vAlign w:val="bottom"/>
          </w:tcPr>
          <w:p>
            <w:pPr>
              <w:jc w:val="center"/>
              <w:ind w:right="510"/>
              <w:spacing w:after="0"/>
              <w:rPr>
                <w:sz w:val="20"/>
                <w:szCs w:val="20"/>
                <w:color w:val="auto"/>
              </w:rPr>
            </w:pPr>
            <w:r>
              <w:rPr>
                <w:rFonts w:ascii="Arial" w:cs="Arial" w:eastAsia="Arial" w:hAnsi="Arial"/>
                <w:sz w:val="18"/>
                <w:szCs w:val="18"/>
                <w:color w:val="auto"/>
                <w:w w:val="94"/>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2,821</w:t>
            </w: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460" w:type="dxa"/>
            <w:vAlign w:val="bottom"/>
            <w:gridSpan w:val="3"/>
            <w:shd w:val="clear" w:color="auto" w:fill="CEFFE7"/>
          </w:tcPr>
          <w:p>
            <w:pPr>
              <w:ind w:left="70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(a)</w:t>
            </w:r>
          </w:p>
        </w:tc>
        <w:tc>
          <w:tcPr>
            <w:tcW w:w="4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3"/>
              </w:rPr>
              <w:t>3,559</w:t>
            </w:r>
          </w:p>
        </w:tc>
        <w:tc>
          <w:tcPr>
            <w:tcW w:w="210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(11)%</w:t>
            </w:r>
          </w:p>
        </w:tc>
        <w:tc>
          <w:tcPr>
            <w:tcW w:w="2240" w:type="dxa"/>
            <w:vAlign w:val="bottom"/>
            <w:shd w:val="clear" w:color="auto" w:fill="CEFFE7"/>
          </w:tcPr>
          <w:p>
            <w:pPr>
              <w:jc w:val="center"/>
              <w:ind w:right="510"/>
              <w:spacing w:after="0"/>
              <w:rPr>
                <w:sz w:val="20"/>
                <w:szCs w:val="20"/>
                <w:color w:val="auto"/>
              </w:rPr>
            </w:pPr>
            <w:r>
              <w:rPr>
                <w:rFonts w:ascii="Arial" w:cs="Arial" w:eastAsia="Arial" w:hAnsi="Arial"/>
                <w:sz w:val="18"/>
                <w:szCs w:val="18"/>
                <w:color w:val="auto"/>
                <w:w w:val="92"/>
              </w:rPr>
              <w:t>4%</w:t>
            </w:r>
          </w:p>
        </w:tc>
        <w:tc>
          <w:tcPr>
            <w:tcW w:w="11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3,430</w:t>
            </w:r>
          </w:p>
        </w:tc>
        <w:tc>
          <w:tcPr>
            <w:tcW w:w="2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20" w:type="dxa"/>
            <w:vAlign w:val="bottom"/>
          </w:tcPr>
          <w:p>
            <w:pPr>
              <w:spacing w:after="0"/>
              <w:rPr>
                <w:sz w:val="21"/>
                <w:szCs w:val="21"/>
                <w:color w:val="auto"/>
              </w:rPr>
            </w:pPr>
          </w:p>
        </w:tc>
        <w:tc>
          <w:tcPr>
            <w:tcW w:w="2360" w:type="dxa"/>
            <w:vAlign w:val="bottom"/>
            <w:gridSpan w:val="2"/>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8"/>
                <w:szCs w:val="18"/>
                <w:color w:val="auto"/>
              </w:rPr>
              <w:t>Cooling Degree Days:</w:t>
            </w:r>
          </w:p>
        </w:tc>
        <w:tc>
          <w:tcPr>
            <w:tcW w:w="480" w:type="dxa"/>
            <w:vAlign w:val="bottom"/>
            <w:tcBorders>
              <w:bottom w:val="single" w:sz="8" w:color="CEFFE7"/>
            </w:tcBorders>
            <w:shd w:val="clear" w:color="auto" w:fill="CEFFE7"/>
          </w:tcPr>
          <w:p>
            <w:pPr>
              <w:spacing w:after="0"/>
              <w:rPr>
                <w:sz w:val="21"/>
                <w:szCs w:val="21"/>
                <w:color w:val="auto"/>
              </w:rPr>
            </w:pPr>
          </w:p>
        </w:tc>
        <w:tc>
          <w:tcPr>
            <w:tcW w:w="2100" w:type="dxa"/>
            <w:vAlign w:val="bottom"/>
            <w:tcBorders>
              <w:bottom w:val="single" w:sz="8" w:color="CEFFE7"/>
            </w:tcBorders>
            <w:shd w:val="clear" w:color="auto" w:fill="CEFFE7"/>
          </w:tcPr>
          <w:p>
            <w:pPr>
              <w:spacing w:after="0"/>
              <w:rPr>
                <w:sz w:val="21"/>
                <w:szCs w:val="21"/>
                <w:color w:val="auto"/>
              </w:rPr>
            </w:pPr>
          </w:p>
        </w:tc>
        <w:tc>
          <w:tcPr>
            <w:tcW w:w="22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South Dakota Electric</w:t>
            </w:r>
          </w:p>
        </w:tc>
        <w:tc>
          <w:tcPr>
            <w:tcW w:w="480" w:type="dxa"/>
            <w:vAlign w:val="bottom"/>
          </w:tcPr>
          <w:p>
            <w:pPr>
              <w:jc w:val="right"/>
              <w:spacing w:after="0"/>
              <w:rPr>
                <w:sz w:val="20"/>
                <w:szCs w:val="20"/>
                <w:color w:val="auto"/>
              </w:rPr>
            </w:pPr>
            <w:r>
              <w:rPr>
                <w:rFonts w:ascii="Arial" w:cs="Arial" w:eastAsia="Arial" w:hAnsi="Arial"/>
                <w:sz w:val="18"/>
                <w:szCs w:val="18"/>
                <w:color w:val="auto"/>
              </w:rPr>
              <w:t>709</w:t>
            </w: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12 %</w:t>
            </w:r>
          </w:p>
        </w:tc>
        <w:tc>
          <w:tcPr>
            <w:tcW w:w="2240" w:type="dxa"/>
            <w:vAlign w:val="bottom"/>
          </w:tcPr>
          <w:p>
            <w:pPr>
              <w:jc w:val="center"/>
              <w:ind w:right="510"/>
              <w:spacing w:after="0"/>
              <w:rPr>
                <w:sz w:val="20"/>
                <w:szCs w:val="20"/>
                <w:color w:val="auto"/>
              </w:rPr>
            </w:pPr>
            <w:r>
              <w:rPr>
                <w:rFonts w:ascii="Arial" w:cs="Arial" w:eastAsia="Arial" w:hAnsi="Arial"/>
                <w:sz w:val="18"/>
                <w:szCs w:val="18"/>
                <w:color w:val="auto"/>
                <w:w w:val="88"/>
              </w:rPr>
              <w:t>10%</w:t>
            </w:r>
          </w:p>
        </w:tc>
        <w:tc>
          <w:tcPr>
            <w:tcW w:w="1100" w:type="dxa"/>
            <w:vAlign w:val="bottom"/>
          </w:tcPr>
          <w:p>
            <w:pPr>
              <w:jc w:val="right"/>
              <w:spacing w:after="0"/>
              <w:rPr>
                <w:sz w:val="20"/>
                <w:szCs w:val="20"/>
                <w:color w:val="auto"/>
              </w:rPr>
            </w:pPr>
            <w:r>
              <w:rPr>
                <w:rFonts w:ascii="Arial" w:cs="Arial" w:eastAsia="Arial" w:hAnsi="Arial"/>
                <w:sz w:val="18"/>
                <w:szCs w:val="18"/>
                <w:color w:val="auto"/>
              </w:rPr>
              <w:t>646</w:t>
            </w:r>
          </w:p>
        </w:tc>
        <w:tc>
          <w:tcPr>
            <w:tcW w:w="2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EFFE7"/>
            </w:tcBorders>
            <w:gridSpan w:val="3"/>
            <w:shd w:val="clear" w:color="auto" w:fill="CEFFE7"/>
          </w:tcPr>
          <w:p>
            <w:pPr>
              <w:ind w:left="400"/>
              <w:spacing w:after="0"/>
              <w:rPr>
                <w:sz w:val="20"/>
                <w:szCs w:val="20"/>
                <w:color w:val="auto"/>
              </w:rPr>
            </w:pPr>
            <w:r>
              <w:rPr>
                <w:rFonts w:ascii="Arial" w:cs="Arial" w:eastAsia="Arial" w:hAnsi="Arial"/>
                <w:sz w:val="18"/>
                <w:szCs w:val="18"/>
                <w:color w:val="auto"/>
              </w:rPr>
              <w:t>Wyoming Electric</w:t>
            </w:r>
          </w:p>
        </w:tc>
        <w:tc>
          <w:tcPr>
            <w:tcW w:w="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429</w:t>
            </w:r>
          </w:p>
        </w:tc>
        <w:tc>
          <w:tcPr>
            <w:tcW w:w="21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23 %</w:t>
            </w:r>
          </w:p>
        </w:tc>
        <w:tc>
          <w:tcPr>
            <w:tcW w:w="2240" w:type="dxa"/>
            <w:vAlign w:val="bottom"/>
            <w:tcBorders>
              <w:bottom w:val="single" w:sz="8" w:color="CEFFE7"/>
            </w:tcBorders>
            <w:shd w:val="clear" w:color="auto" w:fill="CEFFE7"/>
          </w:tcPr>
          <w:p>
            <w:pPr>
              <w:jc w:val="center"/>
              <w:ind w:right="510"/>
              <w:spacing w:after="0"/>
              <w:rPr>
                <w:sz w:val="20"/>
                <w:szCs w:val="20"/>
                <w:color w:val="auto"/>
              </w:rPr>
            </w:pPr>
            <w:r>
              <w:rPr>
                <w:rFonts w:ascii="Arial" w:cs="Arial" w:eastAsia="Arial" w:hAnsi="Arial"/>
                <w:sz w:val="18"/>
                <w:szCs w:val="18"/>
                <w:color w:val="auto"/>
                <w:w w:val="94"/>
              </w:rPr>
              <w:t>(7)%</w:t>
            </w: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460</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20" w:type="dxa"/>
            <w:vAlign w:val="bottom"/>
          </w:tcPr>
          <w:p>
            <w:pPr>
              <w:spacing w:after="0"/>
              <w:rPr>
                <w:sz w:val="21"/>
                <w:szCs w:val="21"/>
                <w:color w:val="auto"/>
              </w:rPr>
            </w:pP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Colorado Electric</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1,027</w:t>
            </w: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15 %</w:t>
            </w:r>
          </w:p>
        </w:tc>
        <w:tc>
          <w:tcPr>
            <w:tcW w:w="2240" w:type="dxa"/>
            <w:vAlign w:val="bottom"/>
          </w:tcPr>
          <w:p>
            <w:pPr>
              <w:jc w:val="center"/>
              <w:ind w:right="510"/>
              <w:spacing w:after="0"/>
              <w:rPr>
                <w:sz w:val="20"/>
                <w:szCs w:val="20"/>
                <w:color w:val="auto"/>
              </w:rPr>
            </w:pPr>
            <w:r>
              <w:rPr>
                <w:rFonts w:ascii="Arial" w:cs="Arial" w:eastAsia="Arial" w:hAnsi="Arial"/>
                <w:sz w:val="18"/>
                <w:szCs w:val="18"/>
                <w:color w:val="auto"/>
                <w:w w:val="91"/>
              </w:rPr>
              <w:t>(23)%</w:t>
            </w:r>
          </w:p>
        </w:tc>
        <w:tc>
          <w:tcPr>
            <w:tcW w:w="1100" w:type="dxa"/>
            <w:vAlign w:val="bottom"/>
          </w:tcPr>
          <w:p>
            <w:pPr>
              <w:jc w:val="right"/>
              <w:spacing w:after="0"/>
              <w:rPr>
                <w:sz w:val="20"/>
                <w:szCs w:val="20"/>
                <w:color w:val="auto"/>
              </w:rPr>
            </w:pPr>
            <w:r>
              <w:rPr>
                <w:rFonts w:ascii="Arial" w:cs="Arial" w:eastAsia="Arial" w:hAnsi="Arial"/>
                <w:sz w:val="18"/>
                <w:szCs w:val="18"/>
                <w:color w:val="auto"/>
              </w:rPr>
              <w:t>1,337</w:t>
            </w:r>
          </w:p>
        </w:tc>
        <w:tc>
          <w:tcPr>
            <w:tcW w:w="200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460" w:type="dxa"/>
            <w:vAlign w:val="bottom"/>
            <w:gridSpan w:val="3"/>
            <w:shd w:val="clear" w:color="auto" w:fill="CEFFE7"/>
          </w:tcPr>
          <w:p>
            <w:pPr>
              <w:ind w:left="70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(a)</w:t>
            </w:r>
          </w:p>
        </w:tc>
        <w:tc>
          <w:tcPr>
            <w:tcW w:w="4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798</w:t>
            </w:r>
          </w:p>
        </w:tc>
        <w:tc>
          <w:tcPr>
            <w:tcW w:w="210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15 %</w:t>
            </w:r>
          </w:p>
        </w:tc>
        <w:tc>
          <w:tcPr>
            <w:tcW w:w="2240" w:type="dxa"/>
            <w:vAlign w:val="bottom"/>
            <w:shd w:val="clear" w:color="auto" w:fill="CEFFE7"/>
          </w:tcPr>
          <w:p>
            <w:pPr>
              <w:jc w:val="center"/>
              <w:ind w:right="510"/>
              <w:spacing w:after="0"/>
              <w:rPr>
                <w:sz w:val="20"/>
                <w:szCs w:val="20"/>
                <w:color w:val="auto"/>
              </w:rPr>
            </w:pPr>
            <w:r>
              <w:rPr>
                <w:rFonts w:ascii="Arial" w:cs="Arial" w:eastAsia="Arial" w:hAnsi="Arial"/>
                <w:sz w:val="18"/>
                <w:szCs w:val="18"/>
                <w:color w:val="auto"/>
                <w:w w:val="91"/>
              </w:rPr>
              <w:t>(14)%</w:t>
            </w:r>
          </w:p>
        </w:tc>
        <w:tc>
          <w:tcPr>
            <w:tcW w:w="11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926</w:t>
            </w:r>
          </w:p>
        </w:tc>
        <w:tc>
          <w:tcPr>
            <w:tcW w:w="2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26 %</w:t>
            </w:r>
          </w:p>
        </w:tc>
      </w:tr>
    </w:tbl>
    <w:p>
      <w:pPr>
        <w:spacing w:after="0"/>
        <w:rPr>
          <w:sz w:val="20"/>
          <w:szCs w:val="20"/>
          <w:color w:val="auto"/>
        </w:rPr>
      </w:pPr>
      <w:r>
        <w:rPr>
          <w:rFonts w:ascii="Arial" w:cs="Arial" w:eastAsia="Arial" w:hAnsi="Arial"/>
          <w:sz w:val="16"/>
          <w:szCs w:val="16"/>
          <w:color w:val="auto"/>
        </w:rPr>
        <w:t>__________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Combined actuals are calculated based on the weighted average number of total customers by state.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40"/>
              <w:spacing w:after="0"/>
              <w:rPr>
                <w:sz w:val="20"/>
                <w:szCs w:val="20"/>
                <w:color w:val="auto"/>
              </w:rPr>
            </w:pPr>
            <w:r>
              <w:rPr>
                <w:rFonts w:ascii="Arial" w:cs="Arial" w:eastAsia="Arial" w:hAnsi="Arial"/>
                <w:sz w:val="18"/>
                <w:szCs w:val="18"/>
                <w:color w:val="auto"/>
              </w:rPr>
              <w:t>Electric Utilities Power Plant Availability</w:t>
            </w:r>
          </w:p>
        </w:tc>
        <w:tc>
          <w:tcPr>
            <w:tcW w:w="3800" w:type="dxa"/>
            <w:vAlign w:val="bottom"/>
            <w:gridSpan w:val="2"/>
          </w:tcPr>
          <w:p>
            <w:pPr>
              <w:jc w:val="right"/>
              <w:ind w:right="550"/>
              <w:spacing w:after="0"/>
              <w:rPr>
                <w:sz w:val="20"/>
                <w:szCs w:val="20"/>
                <w:color w:val="auto"/>
              </w:rPr>
            </w:pPr>
            <w:r>
              <w:rPr>
                <w:rFonts w:ascii="Arial" w:cs="Arial" w:eastAsia="Arial" w:hAnsi="Arial"/>
                <w:sz w:val="18"/>
                <w:szCs w:val="18"/>
                <w:color w:val="auto"/>
              </w:rPr>
              <w:t>Three Months Ended September 30,</w:t>
            </w:r>
          </w:p>
        </w:tc>
        <w:tc>
          <w:tcPr>
            <w:tcW w:w="3640" w:type="dxa"/>
            <w:vAlign w:val="bottom"/>
            <w:gridSpan w:val="2"/>
          </w:tcPr>
          <w:p>
            <w:pPr>
              <w:jc w:val="right"/>
              <w:ind w:right="490"/>
              <w:spacing w:after="0"/>
              <w:rPr>
                <w:sz w:val="20"/>
                <w:szCs w:val="20"/>
                <w:color w:val="auto"/>
              </w:rPr>
            </w:pPr>
            <w:r>
              <w:rPr>
                <w:rFonts w:ascii="Arial" w:cs="Arial" w:eastAsia="Arial" w:hAnsi="Arial"/>
                <w:sz w:val="18"/>
                <w:szCs w:val="18"/>
                <w:color w:val="auto"/>
              </w:rPr>
              <w:t>Nine Months Ended September 30,</w:t>
            </w:r>
          </w:p>
        </w:tc>
      </w:tr>
      <w:tr>
        <w:trPr>
          <w:trHeight w:val="27"/>
        </w:trPr>
        <w:tc>
          <w:tcPr>
            <w:tcW w:w="39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040" w:type="dxa"/>
            <w:vAlign w:val="bottom"/>
          </w:tcPr>
          <w:p>
            <w:pPr>
              <w:jc w:val="right"/>
              <w:ind w:right="830"/>
              <w:spacing w:after="0"/>
              <w:rPr>
                <w:sz w:val="20"/>
                <w:szCs w:val="20"/>
                <w:color w:val="auto"/>
              </w:rPr>
            </w:pPr>
            <w:r>
              <w:rPr>
                <w:rFonts w:ascii="Arial" w:cs="Arial" w:eastAsia="Arial" w:hAnsi="Arial"/>
                <w:sz w:val="18"/>
                <w:szCs w:val="18"/>
                <w:color w:val="auto"/>
              </w:rPr>
              <w:t>2017</w:t>
            </w:r>
          </w:p>
        </w:tc>
        <w:tc>
          <w:tcPr>
            <w:tcW w:w="1760" w:type="dxa"/>
            <w:vAlign w:val="bottom"/>
          </w:tcPr>
          <w:p>
            <w:pPr>
              <w:jc w:val="right"/>
              <w:ind w:right="750"/>
              <w:spacing w:after="0"/>
              <w:rPr>
                <w:sz w:val="20"/>
                <w:szCs w:val="20"/>
                <w:color w:val="auto"/>
              </w:rPr>
            </w:pPr>
            <w:r>
              <w:rPr>
                <w:rFonts w:ascii="Arial" w:cs="Arial" w:eastAsia="Arial" w:hAnsi="Arial"/>
                <w:sz w:val="18"/>
                <w:szCs w:val="18"/>
                <w:color w:val="auto"/>
              </w:rPr>
              <w:t>2016</w:t>
            </w:r>
          </w:p>
        </w:tc>
        <w:tc>
          <w:tcPr>
            <w:tcW w:w="1880" w:type="dxa"/>
            <w:vAlign w:val="bottom"/>
          </w:tcPr>
          <w:p>
            <w:pPr>
              <w:jc w:val="right"/>
              <w:ind w:right="950"/>
              <w:spacing w:after="0"/>
              <w:rPr>
                <w:sz w:val="20"/>
                <w:szCs w:val="20"/>
                <w:color w:val="auto"/>
              </w:rPr>
            </w:pPr>
            <w:r>
              <w:rPr>
                <w:rFonts w:ascii="Arial" w:cs="Arial" w:eastAsia="Arial" w:hAnsi="Arial"/>
                <w:sz w:val="18"/>
                <w:szCs w:val="18"/>
                <w:color w:val="auto"/>
              </w:rPr>
              <w:t>2017</w:t>
            </w:r>
          </w:p>
        </w:tc>
        <w:tc>
          <w:tcPr>
            <w:tcW w:w="1760" w:type="dxa"/>
            <w:vAlign w:val="bottom"/>
          </w:tcPr>
          <w:p>
            <w:pPr>
              <w:jc w:val="right"/>
              <w:ind w:right="830"/>
              <w:spacing w:after="0"/>
              <w:rPr>
                <w:sz w:val="20"/>
                <w:szCs w:val="20"/>
                <w:color w:val="auto"/>
              </w:rPr>
            </w:pPr>
            <w:r>
              <w:rPr>
                <w:rFonts w:ascii="Arial" w:cs="Arial" w:eastAsia="Arial" w:hAnsi="Arial"/>
                <w:sz w:val="18"/>
                <w:szCs w:val="18"/>
                <w:color w:val="auto"/>
              </w:rPr>
              <w:t>2016</w:t>
            </w:r>
          </w:p>
        </w:tc>
      </w:tr>
      <w:tr>
        <w:trPr>
          <w:trHeight w:val="27"/>
        </w:trPr>
        <w:tc>
          <w:tcPr>
            <w:tcW w:w="3960" w:type="dxa"/>
            <w:vAlign w:val="bottom"/>
            <w:tcBorders>
              <w:bottom w:val="single" w:sz="8" w:color="CEFFE7"/>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396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Coal-fired plants </w:t>
            </w:r>
            <w:r>
              <w:rPr>
                <w:rFonts w:ascii="Arial" w:cs="Arial" w:eastAsia="Arial" w:hAnsi="Arial"/>
                <w:sz w:val="25"/>
                <w:szCs w:val="25"/>
                <w:color w:val="auto"/>
                <w:vertAlign w:val="superscript"/>
              </w:rPr>
              <w:t>(a)</w:t>
            </w:r>
          </w:p>
        </w:tc>
        <w:tc>
          <w:tcPr>
            <w:tcW w:w="2040" w:type="dxa"/>
            <w:vAlign w:val="bottom"/>
            <w:shd w:val="clear" w:color="auto" w:fill="CEFFE7"/>
          </w:tcPr>
          <w:p>
            <w:pPr>
              <w:jc w:val="right"/>
              <w:ind w:right="490"/>
              <w:spacing w:after="0"/>
              <w:rPr>
                <w:sz w:val="20"/>
                <w:szCs w:val="20"/>
                <w:color w:val="auto"/>
              </w:rPr>
            </w:pPr>
            <w:r>
              <w:rPr>
                <w:rFonts w:ascii="Arial" w:cs="Arial" w:eastAsia="Arial" w:hAnsi="Arial"/>
                <w:sz w:val="18"/>
                <w:szCs w:val="18"/>
                <w:color w:val="auto"/>
              </w:rPr>
              <w:t>98.3%</w:t>
            </w:r>
          </w:p>
        </w:tc>
        <w:tc>
          <w:tcPr>
            <w:tcW w:w="176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94.8%</w:t>
            </w:r>
          </w:p>
        </w:tc>
        <w:tc>
          <w:tcPr>
            <w:tcW w:w="188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88.1%</w:t>
            </w:r>
          </w:p>
        </w:tc>
        <w:tc>
          <w:tcPr>
            <w:tcW w:w="17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88.0%</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Natural gas fired plants and Other plants</w:t>
            </w: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94.6%</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98.4%</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95.8%</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97.0%</w:t>
            </w:r>
          </w:p>
        </w:tc>
      </w:tr>
      <w:tr>
        <w:trPr>
          <w:trHeight w:val="27"/>
        </w:trPr>
        <w:tc>
          <w:tcPr>
            <w:tcW w:w="3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96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Wind </w:t>
            </w:r>
            <w:r>
              <w:rPr>
                <w:rFonts w:ascii="Arial" w:cs="Arial" w:eastAsia="Arial" w:hAnsi="Arial"/>
                <w:sz w:val="25"/>
                <w:szCs w:val="25"/>
                <w:color w:val="auto"/>
                <w:vertAlign w:val="superscript"/>
              </w:rPr>
              <w:t>(b)</w:t>
            </w:r>
          </w:p>
        </w:tc>
        <w:tc>
          <w:tcPr>
            <w:tcW w:w="2040" w:type="dxa"/>
            <w:vAlign w:val="bottom"/>
            <w:shd w:val="clear" w:color="auto" w:fill="CEFFE7"/>
          </w:tcPr>
          <w:p>
            <w:pPr>
              <w:jc w:val="right"/>
              <w:ind w:right="490"/>
              <w:spacing w:after="0"/>
              <w:rPr>
                <w:sz w:val="20"/>
                <w:szCs w:val="20"/>
                <w:color w:val="auto"/>
              </w:rPr>
            </w:pPr>
            <w:r>
              <w:rPr>
                <w:rFonts w:ascii="Arial" w:cs="Arial" w:eastAsia="Arial" w:hAnsi="Arial"/>
                <w:sz w:val="18"/>
                <w:szCs w:val="18"/>
                <w:color w:val="auto"/>
              </w:rPr>
              <w:t>91.0%</w:t>
            </w:r>
          </w:p>
        </w:tc>
        <w:tc>
          <w:tcPr>
            <w:tcW w:w="176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99.1%</w:t>
            </w:r>
          </w:p>
        </w:tc>
        <w:tc>
          <w:tcPr>
            <w:tcW w:w="188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92.0%</w:t>
            </w:r>
          </w:p>
        </w:tc>
        <w:tc>
          <w:tcPr>
            <w:tcW w:w="17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99.2%</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Total availability</w:t>
            </w: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95.5%</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97.1%</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93.0%</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93.7%</w:t>
            </w:r>
          </w:p>
        </w:tc>
      </w:tr>
      <w:tr>
        <w:trPr>
          <w:trHeight w:val="27"/>
        </w:trPr>
        <w:tc>
          <w:tcPr>
            <w:tcW w:w="3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0"/>
        </w:trPr>
        <w:tc>
          <w:tcPr>
            <w:tcW w:w="3960" w:type="dxa"/>
            <w:vAlign w:val="bottom"/>
            <w:shd w:val="clear" w:color="auto" w:fill="CEFFE7"/>
          </w:tcPr>
          <w:p>
            <w:pPr>
              <w:spacing w:after="0"/>
              <w:rPr>
                <w:sz w:val="19"/>
                <w:szCs w:val="19"/>
                <w:color w:val="auto"/>
              </w:rPr>
            </w:pPr>
          </w:p>
        </w:tc>
        <w:tc>
          <w:tcPr>
            <w:tcW w:w="2040" w:type="dxa"/>
            <w:vAlign w:val="bottom"/>
            <w:shd w:val="clear" w:color="auto" w:fill="CEFFE7"/>
          </w:tcPr>
          <w:p>
            <w:pPr>
              <w:spacing w:after="0"/>
              <w:rPr>
                <w:sz w:val="19"/>
                <w:szCs w:val="19"/>
                <w:color w:val="auto"/>
              </w:rPr>
            </w:pPr>
          </w:p>
        </w:tc>
        <w:tc>
          <w:tcPr>
            <w:tcW w:w="1760" w:type="dxa"/>
            <w:vAlign w:val="bottom"/>
            <w:shd w:val="clear" w:color="auto" w:fill="CEFFE7"/>
          </w:tcPr>
          <w:p>
            <w:pPr>
              <w:spacing w:after="0"/>
              <w:rPr>
                <w:sz w:val="19"/>
                <w:szCs w:val="19"/>
                <w:color w:val="auto"/>
              </w:rPr>
            </w:pPr>
          </w:p>
        </w:tc>
        <w:tc>
          <w:tcPr>
            <w:tcW w:w="1880" w:type="dxa"/>
            <w:vAlign w:val="bottom"/>
            <w:shd w:val="clear" w:color="auto" w:fill="CEFFE7"/>
          </w:tcPr>
          <w:p>
            <w:pPr>
              <w:spacing w:after="0"/>
              <w:rPr>
                <w:sz w:val="19"/>
                <w:szCs w:val="19"/>
                <w:color w:val="auto"/>
              </w:rPr>
            </w:pPr>
          </w:p>
        </w:tc>
        <w:tc>
          <w:tcPr>
            <w:tcW w:w="1760" w:type="dxa"/>
            <w:vAlign w:val="bottom"/>
            <w:shd w:val="clear" w:color="auto" w:fill="CEFFE7"/>
          </w:tcPr>
          <w:p>
            <w:pPr>
              <w:spacing w:after="0"/>
              <w:rPr>
                <w:sz w:val="19"/>
                <w:szCs w:val="19"/>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Wind capacity factor</w:t>
            </w: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23.6%</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33.5%</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34.3%</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36.1%</w:t>
            </w:r>
          </w:p>
        </w:tc>
      </w:tr>
      <w:tr>
        <w:trPr>
          <w:trHeight w:val="220"/>
        </w:trPr>
        <w:tc>
          <w:tcPr>
            <w:tcW w:w="3960" w:type="dxa"/>
            <w:vAlign w:val="bottom"/>
          </w:tcPr>
          <w:p>
            <w:pPr>
              <w:spacing w:after="0"/>
              <w:rPr>
                <w:sz w:val="20"/>
                <w:szCs w:val="20"/>
                <w:color w:val="auto"/>
              </w:rPr>
            </w:pPr>
            <w:r>
              <w:rPr>
                <w:rFonts w:ascii="Arial" w:cs="Arial" w:eastAsia="Arial" w:hAnsi="Arial"/>
                <w:sz w:val="16"/>
                <w:szCs w:val="16"/>
                <w:color w:val="auto"/>
              </w:rPr>
              <w:t>__________</w:t>
            </w:r>
          </w:p>
        </w:tc>
        <w:tc>
          <w:tcPr>
            <w:tcW w:w="20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ind w:left="340" w:hanging="332"/>
        <w:spacing w:after="0" w:line="246"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Both the nine months ended September 30, 2017 and 2016 included outages. 2017 included planned outages at Neil Simpson II, Wyodak and Wygen II, and 2016 included a planned outage at Wygen III and an extended planned outage at Wyodak.</w:t>
      </w: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2017 is lower than the prior year primarily due to the addition of the Peak View Wind Project for which 2017 is the first year of commercial operation.</w:t>
      </w:r>
    </w:p>
    <w:p>
      <w:pPr>
        <w:sectPr>
          <w:pgSz w:w="11900" w:h="16838" w:orient="portrait"/>
          <w:cols w:equalWidth="0" w:num="1">
            <w:col w:w="11420"/>
          </w:cols>
          <w:pgMar w:left="240" w:top="895"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895" w:right="2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i w:val="1"/>
                <w:iCs w:val="1"/>
                <w:color w:val="auto"/>
              </w:rPr>
              <w:t>Gas Utilities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92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290"/>
              <w:spacing w:after="0"/>
              <w:rPr>
                <w:sz w:val="20"/>
                <w:szCs w:val="20"/>
                <w:color w:val="auto"/>
              </w:rPr>
            </w:pPr>
            <w:r>
              <w:rPr>
                <w:rFonts w:ascii="Arial" w:cs="Arial" w:eastAsia="Arial" w:hAnsi="Arial"/>
                <w:sz w:val="18"/>
                <w:szCs w:val="18"/>
                <w:color w:val="auto"/>
                <w:w w:val="94"/>
              </w:rPr>
              <w:t>Three Months Ended September 30,</w:t>
            </w:r>
          </w:p>
        </w:tc>
        <w:tc>
          <w:tcPr>
            <w:tcW w:w="260" w:type="dxa"/>
            <w:vAlign w:val="bottom"/>
          </w:tcPr>
          <w:p>
            <w:pPr>
              <w:spacing w:after="0"/>
              <w:rPr>
                <w:sz w:val="24"/>
                <w:szCs w:val="24"/>
                <w:color w:val="auto"/>
              </w:rPr>
            </w:pPr>
          </w:p>
        </w:tc>
        <w:tc>
          <w:tcPr>
            <w:tcW w:w="3160" w:type="dxa"/>
            <w:vAlign w:val="bottom"/>
            <w:gridSpan w:val="5"/>
          </w:tcPr>
          <w:p>
            <w:pPr>
              <w:jc w:val="right"/>
              <w:ind w:right="330"/>
              <w:spacing w:after="0"/>
              <w:rPr>
                <w:sz w:val="20"/>
                <w:szCs w:val="20"/>
                <w:color w:val="auto"/>
              </w:rPr>
            </w:pPr>
            <w:r>
              <w:rPr>
                <w:rFonts w:ascii="Arial" w:cs="Arial" w:eastAsia="Arial" w:hAnsi="Arial"/>
                <w:sz w:val="18"/>
                <w:szCs w:val="18"/>
                <w:color w:val="auto"/>
                <w:w w:val="96"/>
              </w:rPr>
              <w:t>Nine Months Ended September 30,</w:t>
            </w:r>
          </w:p>
        </w:tc>
      </w:tr>
      <w:tr>
        <w:trPr>
          <w:trHeight w:val="270"/>
        </w:trPr>
        <w:tc>
          <w:tcPr>
            <w:tcW w:w="9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20" w:type="dxa"/>
            <w:vAlign w:val="bottom"/>
          </w:tcPr>
          <w:p>
            <w:pPr>
              <w:jc w:val="right"/>
              <w:ind w:right="170"/>
              <w:spacing w:after="0"/>
              <w:rPr>
                <w:sz w:val="20"/>
                <w:szCs w:val="20"/>
                <w:color w:val="auto"/>
              </w:rPr>
            </w:pPr>
            <w:r>
              <w:rPr>
                <w:rFonts w:ascii="Arial" w:cs="Arial" w:eastAsia="Arial" w:hAnsi="Arial"/>
                <w:sz w:val="16"/>
                <w:szCs w:val="16"/>
                <w:color w:val="auto"/>
              </w:rPr>
              <w:t>Variance</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6"/>
                <w:szCs w:val="16"/>
                <w:color w:val="auto"/>
              </w:rPr>
              <w:t>Variance</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right"/>
              <w:ind w:right="53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Natural gas — regulated</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126,865</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123,699</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3,166</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618,924</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515,963</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102,961</w:t>
            </w: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Other — non-regulated services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16,029</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17,746</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55,327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47,916</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7,411</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EFFE7"/>
            </w:tcBorders>
            <w:gridSpan w:val="2"/>
            <w:shd w:val="clear" w:color="auto" w:fill="CEFFE7"/>
          </w:tcPr>
          <w:p>
            <w:pPr>
              <w:ind w:left="60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EFFE7"/>
            </w:tcBorders>
            <w:shd w:val="clear" w:color="auto" w:fill="CEFFE7"/>
          </w:tcPr>
          <w:p>
            <w:pPr>
              <w:spacing w:after="0"/>
              <w:rPr>
                <w:sz w:val="22"/>
                <w:szCs w:val="22"/>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142,894</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141,445</w:t>
            </w:r>
          </w:p>
        </w:tc>
        <w:tc>
          <w:tcPr>
            <w:tcW w:w="20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1,449</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674,251</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563,879</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110,372</w:t>
            </w:r>
          </w:p>
        </w:tc>
      </w:tr>
      <w:tr>
        <w:trPr>
          <w:trHeight w:val="318"/>
        </w:trPr>
        <w:tc>
          <w:tcPr>
            <w:tcW w:w="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Natural gas — regulated</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33,376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29,330</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4,046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255,410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202,244</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53,166</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Other — non-regulated services</w:t>
            </w:r>
          </w:p>
        </w:tc>
        <w:tc>
          <w:tcPr>
            <w:tcW w:w="26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11,917</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12,400</w:t>
            </w:r>
          </w:p>
        </w:tc>
        <w:tc>
          <w:tcPr>
            <w:tcW w:w="20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(483)</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33,615</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25,755</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7,860</w:t>
            </w:r>
          </w:p>
        </w:tc>
      </w:tr>
      <w:tr>
        <w:trPr>
          <w:trHeight w:val="237"/>
        </w:trPr>
        <w:tc>
          <w:tcPr>
            <w:tcW w:w="4580" w:type="dxa"/>
            <w:vAlign w:val="bottom"/>
            <w:gridSpan w:val="2"/>
          </w:tcPr>
          <w:p>
            <w:pPr>
              <w:ind w:left="600"/>
              <w:spacing w:after="0"/>
              <w:rPr>
                <w:sz w:val="20"/>
                <w:szCs w:val="20"/>
                <w:color w:val="auto"/>
              </w:rPr>
            </w:pPr>
            <w:r>
              <w:rPr>
                <w:rFonts w:ascii="Arial" w:cs="Arial" w:eastAsia="Arial" w:hAnsi="Arial"/>
                <w:sz w:val="18"/>
                <w:szCs w:val="18"/>
                <w:color w:val="auto"/>
              </w:rPr>
              <w:t>Total cost of sales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45,293</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41,730</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3,563</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289,025</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227,999</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61,026</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920" w:type="dxa"/>
            <w:vAlign w:val="bottom"/>
            <w:shd w:val="clear" w:color="auto" w:fill="CEFFE7"/>
          </w:tcPr>
          <w:p>
            <w:pPr>
              <w:spacing w:after="0"/>
              <w:rPr>
                <w:sz w:val="24"/>
                <w:szCs w:val="24"/>
                <w:color w:val="auto"/>
              </w:rPr>
            </w:pPr>
          </w:p>
        </w:tc>
        <w:tc>
          <w:tcPr>
            <w:tcW w:w="36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97,601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99,715</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385,226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335,880</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49,346</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920" w:type="dxa"/>
            <w:vAlign w:val="bottom"/>
            <w:shd w:val="clear" w:color="auto" w:fill="CEFFE7"/>
          </w:tcPr>
          <w:p>
            <w:pPr>
              <w:spacing w:after="0"/>
              <w:rPr>
                <w:sz w:val="24"/>
                <w:szCs w:val="24"/>
                <w:color w:val="auto"/>
              </w:rPr>
            </w:pPr>
          </w:p>
        </w:tc>
        <w:tc>
          <w:tcPr>
            <w:tcW w:w="36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Operations and maintenance</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65,390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64,921</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201,105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179,845</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21,260</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20,937</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21,193</w:t>
            </w:r>
          </w:p>
        </w:tc>
        <w:tc>
          <w:tcPr>
            <w:tcW w:w="20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(256)</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62,658</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57,096</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5,562</w:t>
            </w:r>
          </w:p>
        </w:tc>
      </w:tr>
      <w:tr>
        <w:trPr>
          <w:trHeight w:val="237"/>
        </w:trPr>
        <w:tc>
          <w:tcPr>
            <w:tcW w:w="458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86,327</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86,114</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263,763</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236,941</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26,822</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920" w:type="dxa"/>
            <w:vAlign w:val="bottom"/>
            <w:shd w:val="clear" w:color="auto" w:fill="CEFFE7"/>
          </w:tcPr>
          <w:p>
            <w:pPr>
              <w:spacing w:after="0"/>
              <w:rPr>
                <w:sz w:val="24"/>
                <w:szCs w:val="24"/>
                <w:color w:val="auto"/>
              </w:rPr>
            </w:pPr>
          </w:p>
        </w:tc>
        <w:tc>
          <w:tcPr>
            <w:tcW w:w="36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458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11,274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13,601</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121,463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98,939</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22,524</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920" w:type="dxa"/>
            <w:vAlign w:val="bottom"/>
            <w:shd w:val="clear" w:color="auto" w:fill="CEFFE7"/>
          </w:tcPr>
          <w:p>
            <w:pPr>
              <w:spacing w:after="0"/>
              <w:rPr>
                <w:sz w:val="24"/>
                <w:szCs w:val="24"/>
                <w:color w:val="auto"/>
              </w:rPr>
            </w:pPr>
          </w:p>
        </w:tc>
        <w:tc>
          <w:tcPr>
            <w:tcW w:w="36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(19,527)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(21,267)</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1,740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(58,919)</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(53,858)</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(5,061)</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(294)</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124</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(342)</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4,218</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5,128</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(20,686)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(15,065)</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(5,621)</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(4,329)</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(2,956)</w:t>
            </w:r>
          </w:p>
        </w:tc>
        <w:tc>
          <w:tcPr>
            <w:tcW w:w="2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(1,373)</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41,516</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29,988</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11,528</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(4,329)</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(2,939)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(1,390)</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41,409</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29,975</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11,434</w:t>
            </w:r>
          </w:p>
        </w:tc>
      </w:tr>
      <w:tr>
        <w:trPr>
          <w:trHeight w:val="20"/>
        </w:trPr>
        <w:tc>
          <w:tcPr>
            <w:tcW w:w="9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22"/>
        </w:trPr>
        <w:tc>
          <w:tcPr>
            <w:tcW w:w="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51</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783" w:right="239" w:bottom="1440" w:gutter="0" w:footer="0" w:header="0"/>
        </w:sectPr>
      </w:pPr>
    </w:p>
    <w:bookmarkStart w:id="51" w:name="page52"/>
    <w:bookmarkEnd w:id="51"/>
    <w:p>
      <w:pPr>
        <w:ind w:right="240"/>
        <w:spacing w:after="0" w:line="266" w:lineRule="auto"/>
        <w:rPr>
          <w:sz w:val="20"/>
          <w:szCs w:val="20"/>
          <w:color w:val="auto"/>
        </w:rPr>
      </w:pPr>
      <w:r>
        <w:rPr>
          <w:rFonts w:ascii="Arial" w:cs="Arial" w:eastAsia="Arial" w:hAnsi="Arial"/>
          <w:sz w:val="18"/>
          <w:szCs w:val="18"/>
          <w:b w:val="1"/>
          <w:bCs w:val="1"/>
          <w:color w:val="auto"/>
        </w:rPr>
        <w:t xml:space="preserve">Results of Operations for the Gas Utilities for the Three Months Ended September 30, 2017 Compared to the Three Months Ended September 30, 2016: </w:t>
      </w:r>
      <w:r>
        <w:rPr>
          <w:rFonts w:ascii="Arial" w:cs="Arial" w:eastAsia="Arial" w:hAnsi="Arial"/>
          <w:sz w:val="18"/>
          <w:szCs w:val="18"/>
          <w:color w:val="auto"/>
        </w:rPr>
        <w:t>Net loss available for common stock for the Gas Utilities was $(4.3) million for the three months ended September 30, 2017, compared to Net loss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common stock of $(3.0) million for the three months ended September 30, 2016, as a result of:</w:t>
      </w:r>
    </w:p>
    <w:p>
      <w:pPr>
        <w:spacing w:after="0" w:line="18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decreased primarily due to a $3.4 million weather impact from cooler summer temperatures and higher precipitation driving lower irrigation load to agriculture customers in our Nebraska Gas service territory as compared to the same period in the prior year. This is partially offset by gas utilities' customer growth and higher rider revenue.</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primarily due to $1.2 million higher employee related expenses as a result of prior year integration activities and transition expenses charged to the Corporate segment, partially offset by lower pension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decreased primarily due to the August 2016 refinancing of the debt assumed in the SourceGas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2017 effective tax rate is lower than 2016 due to increased flow-through benefits and no changes to uncertain tax positions as compared to 2016.</w:t>
      </w:r>
    </w:p>
    <w:p>
      <w:pPr>
        <w:spacing w:after="0" w:line="12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Results of Operations for the Gas Utilities for the Nine Months Ended September 30, 2017 Compared to the Nine Months Ended September 30, 2016: </w:t>
      </w:r>
      <w:r>
        <w:rPr>
          <w:rFonts w:ascii="Arial" w:cs="Arial" w:eastAsia="Arial" w:hAnsi="Arial"/>
          <w:sz w:val="18"/>
          <w:szCs w:val="18"/>
          <w:color w:val="auto"/>
        </w:rPr>
        <w:t>Net income available for common stock for the Gas Utilities was $41 million for the nine months ended September 30, 2017, compared to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common stock of $30 million for the nine months ended September 30, 2016, as a result of:</w:t>
      </w:r>
    </w:p>
    <w:p>
      <w:pPr>
        <w:spacing w:after="0" w:line="1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u w:val="single" w:color="auto"/>
          <w:color w:val="auto"/>
        </w:rPr>
        <w:t>Gross margin</w:t>
      </w:r>
      <w:r>
        <w:rPr>
          <w:rFonts w:ascii="Arial" w:cs="Arial" w:eastAsia="Arial" w:hAnsi="Arial"/>
          <w:sz w:val="17"/>
          <w:szCs w:val="17"/>
          <w:color w:val="auto"/>
        </w:rPr>
        <w:t xml:space="preserve"> increased primarily due to additional margins of approximately $51 million contributed by the SourceGas utilities in the first quarter of 2017 compared to the first quarter of 2016 which included approximately 1.5 months of SourceGas results. 2017 reflects a full nine months of SourceGas results as compared to approximately 7.5 months in 2016. This is partially offset by lower irrigation loads delivered to agriculture customers primarily in the Nebraska service territory due to cooler summer temperatures and higher precipitation in the third quarter of 2017.</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u w:val="single" w:color="auto"/>
          <w:color w:val="auto"/>
        </w:rPr>
        <w:t>Operations and maintenance</w:t>
      </w:r>
      <w:r>
        <w:rPr>
          <w:rFonts w:ascii="Arial" w:cs="Arial" w:eastAsia="Arial" w:hAnsi="Arial"/>
          <w:sz w:val="17"/>
          <w:szCs w:val="17"/>
          <w:color w:val="auto"/>
        </w:rPr>
        <w:t xml:space="preserve"> increased primarily due to additional operating costs of approximately $19 million for the acquired SourceGas utilities, reflecting a full nine months of results in 2017 as compared to approximately 7.5 months in 2016. In addition, employee related expenses increased $5.2 million for the Black Hills legacy gas utilities as a result of prior year integration activities and transition expenses charged to the Corporate segment. A variety of smaller items contribute to the partially offsetting decrease in operations and maintenance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additional depreciation from the acquired SourceGas utilities.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increased primarily due to additional interest expense from the acquired SourceGas utilities.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was comparable to the same period in the prior year.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0"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4"/>
          </w:tcPr>
          <w:p>
            <w:pPr>
              <w:ind w:left="180"/>
              <w:spacing w:after="0"/>
              <w:rPr>
                <w:sz w:val="20"/>
                <w:szCs w:val="20"/>
                <w:color w:val="auto"/>
              </w:rPr>
            </w:pPr>
            <w:r>
              <w:rPr>
                <w:rFonts w:ascii="Arial" w:cs="Arial" w:eastAsia="Arial" w:hAnsi="Arial"/>
                <w:sz w:val="18"/>
                <w:szCs w:val="18"/>
                <w:color w:val="auto"/>
              </w:rPr>
              <w:t>Three Months Ended September 30,</w:t>
            </w:r>
          </w:p>
        </w:tc>
        <w:tc>
          <w:tcPr>
            <w:tcW w:w="320" w:type="dxa"/>
            <w:vAlign w:val="bottom"/>
          </w:tcPr>
          <w:p>
            <w:pPr>
              <w:spacing w:after="0"/>
              <w:rPr>
                <w:sz w:val="20"/>
                <w:szCs w:val="20"/>
                <w:color w:val="auto"/>
              </w:rPr>
            </w:pPr>
          </w:p>
        </w:tc>
        <w:tc>
          <w:tcPr>
            <w:tcW w:w="3200" w:type="dxa"/>
            <w:vAlign w:val="bottom"/>
            <w:gridSpan w:val="3"/>
          </w:tcPr>
          <w:p>
            <w:pPr>
              <w:jc w:val="right"/>
              <w:ind w:right="390"/>
              <w:spacing w:after="0"/>
              <w:rPr>
                <w:sz w:val="20"/>
                <w:szCs w:val="20"/>
                <w:color w:val="auto"/>
              </w:rPr>
            </w:pPr>
            <w:r>
              <w:rPr>
                <w:rFonts w:ascii="Arial" w:cs="Arial" w:eastAsia="Arial" w:hAnsi="Arial"/>
                <w:sz w:val="18"/>
                <w:szCs w:val="18"/>
                <w:color w:val="auto"/>
                <w:w w:val="96"/>
              </w:rPr>
              <w:t>Nine Months Ended September 30,</w:t>
            </w:r>
          </w:p>
        </w:tc>
      </w:tr>
      <w:tr>
        <w:trPr>
          <w:trHeight w:val="297"/>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Revenue (in thousands) </w:t>
            </w:r>
            <w:r>
              <w:rPr>
                <w:rFonts w:ascii="Arial" w:cs="Arial" w:eastAsia="Arial" w:hAnsi="Arial"/>
                <w:sz w:val="25"/>
                <w:szCs w:val="25"/>
                <w:color w:val="auto"/>
                <w:vertAlign w:val="superscript"/>
              </w:rPr>
              <w:t>(a)</w:t>
            </w: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2016</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Arkansas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9,085</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8,201</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57,992</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33,778</w:t>
            </w:r>
          </w:p>
        </w:tc>
      </w:tr>
      <w:tr>
        <w:trPr>
          <w:trHeight w:val="243"/>
        </w:trPr>
        <w:tc>
          <w:tcPr>
            <w:tcW w:w="4240" w:type="dxa"/>
            <w:vAlign w:val="bottom"/>
          </w:tcPr>
          <w:p>
            <w:pPr>
              <w:ind w:left="240"/>
              <w:spacing w:after="0"/>
              <w:rPr>
                <w:sz w:val="20"/>
                <w:szCs w:val="20"/>
                <w:color w:val="auto"/>
              </w:rPr>
            </w:pPr>
            <w:r>
              <w:rPr>
                <w:rFonts w:ascii="Arial" w:cs="Arial" w:eastAsia="Arial" w:hAnsi="Arial"/>
                <w:sz w:val="18"/>
                <w:szCs w:val="18"/>
                <w:color w:val="auto"/>
              </w:rPr>
              <w:t>Colorado</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12,911</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80,351</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65,285</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Nebraska </w:t>
            </w:r>
            <w:r>
              <w:rPr>
                <w:rFonts w:ascii="Arial" w:cs="Arial" w:eastAsia="Arial" w:hAnsi="Arial"/>
                <w:sz w:val="25"/>
                <w:szCs w:val="25"/>
                <w:color w:val="auto"/>
                <w:vertAlign w:val="superscript"/>
              </w:rPr>
              <w:t>(b)</w:t>
            </w:r>
          </w:p>
        </w:tc>
        <w:tc>
          <w:tcPr>
            <w:tcW w:w="300" w:type="dxa"/>
            <w:vAlign w:val="bottom"/>
            <w:shd w:val="clear" w:color="auto" w:fill="CEFFE7"/>
          </w:tcPr>
          <w:p>
            <w:pPr>
              <w:spacing w:after="0"/>
              <w:rPr>
                <w:sz w:val="23"/>
                <w:szCs w:val="23"/>
                <w:color w:val="auto"/>
              </w:rPr>
            </w:pPr>
          </w:p>
        </w:tc>
        <w:tc>
          <w:tcPr>
            <w:tcW w:w="146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12,622</w:t>
            </w:r>
          </w:p>
        </w:tc>
        <w:tc>
          <w:tcPr>
            <w:tcW w:w="50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12,259</w:t>
            </w:r>
          </w:p>
        </w:tc>
        <w:tc>
          <w:tcPr>
            <w:tcW w:w="10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4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72,965</w:t>
            </w:r>
          </w:p>
        </w:tc>
        <w:tc>
          <w:tcPr>
            <w:tcW w:w="50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69,132</w:t>
            </w:r>
          </w:p>
        </w:tc>
      </w:tr>
      <w:tr>
        <w:trPr>
          <w:trHeight w:val="243"/>
        </w:trPr>
        <w:tc>
          <w:tcPr>
            <w:tcW w:w="4240" w:type="dxa"/>
            <w:vAlign w:val="bottom"/>
          </w:tcPr>
          <w:p>
            <w:pPr>
              <w:ind w:left="240"/>
              <w:spacing w:after="0"/>
              <w:rPr>
                <w:sz w:val="20"/>
                <w:szCs w:val="20"/>
                <w:color w:val="auto"/>
              </w:rPr>
            </w:pPr>
            <w:r>
              <w:rPr>
                <w:rFonts w:ascii="Arial" w:cs="Arial" w:eastAsia="Arial" w:hAnsi="Arial"/>
                <w:sz w:val="18"/>
                <w:szCs w:val="18"/>
                <w:color w:val="auto"/>
              </w:rPr>
              <w:t>Iowa</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10,314</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60,618</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57,328</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Kansas</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8,128</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7,760</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44,309</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39,428</w:t>
            </w:r>
          </w:p>
        </w:tc>
      </w:tr>
      <w:tr>
        <w:trPr>
          <w:trHeight w:val="270"/>
        </w:trPr>
        <w:tc>
          <w:tcPr>
            <w:tcW w:w="4240" w:type="dxa"/>
            <w:vAlign w:val="bottom"/>
            <w:tcBorders>
              <w:bottom w:val="single" w:sz="8" w:color="CEFFE7"/>
            </w:tcBorders>
          </w:tcPr>
          <w:p>
            <w:pPr>
              <w:ind w:left="240"/>
              <w:spacing w:after="0" w:line="270" w:lineRule="exact"/>
              <w:rPr>
                <w:sz w:val="20"/>
                <w:szCs w:val="20"/>
                <w:color w:val="auto"/>
              </w:rPr>
            </w:pPr>
            <w:r>
              <w:rPr>
                <w:rFonts w:ascii="Arial" w:cs="Arial" w:eastAsia="Arial" w:hAnsi="Arial"/>
                <w:sz w:val="18"/>
                <w:szCs w:val="18"/>
                <w:color w:val="auto"/>
              </w:rPr>
              <w:t xml:space="preserve">Wyoming </w:t>
            </w:r>
            <w:r>
              <w:rPr>
                <w:rFonts w:ascii="Arial" w:cs="Arial" w:eastAsia="Arial" w:hAnsi="Arial"/>
                <w:sz w:val="25"/>
                <w:szCs w:val="25"/>
                <w:color w:val="auto"/>
                <w:vertAlign w:val="superscript"/>
              </w:rPr>
              <w:t>(b)</w:t>
            </w:r>
          </w:p>
        </w:tc>
        <w:tc>
          <w:tcPr>
            <w:tcW w:w="3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4,744</w:t>
            </w:r>
          </w:p>
        </w:tc>
        <w:tc>
          <w:tcPr>
            <w:tcW w:w="5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4,895</w:t>
            </w:r>
          </w:p>
        </w:tc>
        <w:tc>
          <w:tcPr>
            <w:tcW w:w="100" w:type="dxa"/>
            <w:vAlign w:val="bottom"/>
            <w:tcBorders>
              <w:bottom w:val="single" w:sz="8" w:color="CEFFE7"/>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28,172</w:t>
            </w:r>
          </w:p>
        </w:tc>
        <w:tc>
          <w:tcPr>
            <w:tcW w:w="5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23,663</w:t>
            </w:r>
          </w:p>
        </w:tc>
      </w:tr>
      <w:tr>
        <w:trPr>
          <w:trHeight w:val="264"/>
        </w:trPr>
        <w:tc>
          <w:tcPr>
            <w:tcW w:w="42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Residential</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57,804</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54,953</w:t>
            </w:r>
          </w:p>
        </w:tc>
        <w:tc>
          <w:tcPr>
            <w:tcW w:w="100" w:type="dxa"/>
            <w:vAlign w:val="bottom"/>
            <w:tcBorders>
              <w:bottom w:val="single" w:sz="8" w:color="CEFFE7"/>
            </w:tcBorders>
            <w:shd w:val="clear" w:color="auto" w:fill="CEFFE7"/>
          </w:tcPr>
          <w:p>
            <w:pPr>
              <w:spacing w:after="0"/>
              <w:rPr>
                <w:sz w:val="22"/>
                <w:szCs w:val="22"/>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344,407</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288,614</w:t>
            </w:r>
          </w:p>
        </w:tc>
      </w:tr>
      <w:tr>
        <w:trPr>
          <w:trHeight w:val="318"/>
        </w:trPr>
        <w:tc>
          <w:tcPr>
            <w:tcW w:w="4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Commercial:</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r>
      <w:tr>
        <w:trPr>
          <w:trHeight w:val="243"/>
        </w:trPr>
        <w:tc>
          <w:tcPr>
            <w:tcW w:w="4240" w:type="dxa"/>
            <w:vAlign w:val="bottom"/>
          </w:tcPr>
          <w:p>
            <w:pPr>
              <w:ind w:left="240"/>
              <w:spacing w:after="0"/>
              <w:rPr>
                <w:sz w:val="20"/>
                <w:szCs w:val="20"/>
                <w:color w:val="auto"/>
              </w:rPr>
            </w:pPr>
            <w:r>
              <w:rPr>
                <w:rFonts w:ascii="Arial" w:cs="Arial" w:eastAsia="Arial" w:hAnsi="Arial"/>
                <w:sz w:val="18"/>
                <w:szCs w:val="18"/>
                <w:color w:val="auto"/>
              </w:rPr>
              <w:t>Arkansas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5,281</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30,465</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16,652</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Colorado</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4,893</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4,971</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29,967</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23,107</w:t>
            </w:r>
          </w:p>
        </w:tc>
      </w:tr>
      <w:tr>
        <w:trPr>
          <w:trHeight w:val="243"/>
        </w:trPr>
        <w:tc>
          <w:tcPr>
            <w:tcW w:w="4240" w:type="dxa"/>
            <w:vAlign w:val="bottom"/>
          </w:tcPr>
          <w:p>
            <w:pPr>
              <w:ind w:left="240"/>
              <w:spacing w:after="0"/>
              <w:rPr>
                <w:sz w:val="20"/>
                <w:szCs w:val="20"/>
                <w:color w:val="auto"/>
              </w:rPr>
            </w:pPr>
            <w:r>
              <w:rPr>
                <w:rFonts w:ascii="Arial" w:cs="Arial" w:eastAsia="Arial" w:hAnsi="Arial"/>
                <w:sz w:val="18"/>
                <w:szCs w:val="18"/>
                <w:color w:val="auto"/>
              </w:rPr>
              <w:t>Nebraska</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2,994</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20,567</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19,462</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Iowa</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3,425</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3,144</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24,522</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22,617</w:t>
            </w:r>
          </w:p>
        </w:tc>
      </w:tr>
      <w:tr>
        <w:trPr>
          <w:trHeight w:val="243"/>
        </w:trPr>
        <w:tc>
          <w:tcPr>
            <w:tcW w:w="4240" w:type="dxa"/>
            <w:vAlign w:val="bottom"/>
          </w:tcPr>
          <w:p>
            <w:pPr>
              <w:ind w:left="240"/>
              <w:spacing w:after="0"/>
              <w:rPr>
                <w:sz w:val="20"/>
                <w:szCs w:val="20"/>
                <w:color w:val="auto"/>
              </w:rPr>
            </w:pPr>
            <w:r>
              <w:rPr>
                <w:rFonts w:ascii="Arial" w:cs="Arial" w:eastAsia="Arial" w:hAnsi="Arial"/>
                <w:sz w:val="18"/>
                <w:szCs w:val="18"/>
                <w:color w:val="auto"/>
              </w:rPr>
              <w:t>Kansas</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2,672</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14,695</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12,558</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w:t>
            </w:r>
          </w:p>
        </w:tc>
        <w:tc>
          <w:tcPr>
            <w:tcW w:w="30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2,101</w:t>
            </w:r>
          </w:p>
        </w:tc>
        <w:tc>
          <w:tcPr>
            <w:tcW w:w="50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EFFE7"/>
            </w:tcBorders>
            <w:shd w:val="clear" w:color="auto" w:fill="CEFFE7"/>
          </w:tcPr>
          <w:p>
            <w:pPr>
              <w:spacing w:after="0"/>
              <w:rPr>
                <w:sz w:val="23"/>
                <w:szCs w:val="23"/>
                <w:color w:val="auto"/>
              </w:rPr>
            </w:pPr>
          </w:p>
        </w:tc>
        <w:tc>
          <w:tcPr>
            <w:tcW w:w="32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13,940</w:t>
            </w:r>
          </w:p>
        </w:tc>
        <w:tc>
          <w:tcPr>
            <w:tcW w:w="50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11,495</w:t>
            </w:r>
          </w:p>
        </w:tc>
      </w:tr>
      <w:tr>
        <w:trPr>
          <w:trHeight w:val="237"/>
        </w:trPr>
        <w:tc>
          <w:tcPr>
            <w:tcW w:w="4240" w:type="dxa"/>
            <w:vAlign w:val="bottom"/>
          </w:tcPr>
          <w:p>
            <w:pPr>
              <w:ind w:left="380"/>
              <w:spacing w:after="0"/>
              <w:rPr>
                <w:sz w:val="20"/>
                <w:szCs w:val="20"/>
                <w:color w:val="auto"/>
              </w:rPr>
            </w:pPr>
            <w:r>
              <w:rPr>
                <w:rFonts w:ascii="Arial" w:cs="Arial" w:eastAsia="Arial" w:hAnsi="Arial"/>
                <w:sz w:val="18"/>
                <w:szCs w:val="18"/>
                <w:color w:val="auto"/>
              </w:rPr>
              <w:t>Total Commercial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21,366</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19,974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134,156</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105,891</w:t>
            </w:r>
          </w:p>
        </w:tc>
      </w:tr>
      <w:tr>
        <w:trPr>
          <w:trHeight w:val="27"/>
        </w:trPr>
        <w:tc>
          <w:tcPr>
            <w:tcW w:w="424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42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Arkansas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1,801</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5,382</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3,071</w:t>
            </w:r>
          </w:p>
        </w:tc>
      </w:tr>
      <w:tr>
        <w:trPr>
          <w:trHeight w:val="243"/>
        </w:trPr>
        <w:tc>
          <w:tcPr>
            <w:tcW w:w="4240" w:type="dxa"/>
            <w:vAlign w:val="bottom"/>
          </w:tcPr>
          <w:p>
            <w:pPr>
              <w:ind w:left="240"/>
              <w:spacing w:after="0"/>
              <w:rPr>
                <w:sz w:val="20"/>
                <w:szCs w:val="20"/>
                <w:color w:val="auto"/>
              </w:rPr>
            </w:pPr>
            <w:r>
              <w:rPr>
                <w:rFonts w:ascii="Arial" w:cs="Arial" w:eastAsia="Arial" w:hAnsi="Arial"/>
                <w:sz w:val="18"/>
                <w:szCs w:val="18"/>
                <w:color w:val="auto"/>
              </w:rPr>
              <w:t>Colorado</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906</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1,588</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1,340</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Nebraska</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158</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363</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330</w:t>
            </w:r>
          </w:p>
        </w:tc>
      </w:tr>
      <w:tr>
        <w:trPr>
          <w:trHeight w:val="243"/>
        </w:trPr>
        <w:tc>
          <w:tcPr>
            <w:tcW w:w="4240" w:type="dxa"/>
            <w:vAlign w:val="bottom"/>
          </w:tcPr>
          <w:p>
            <w:pPr>
              <w:ind w:left="240"/>
              <w:spacing w:after="0"/>
              <w:rPr>
                <w:sz w:val="20"/>
                <w:szCs w:val="20"/>
                <w:color w:val="auto"/>
              </w:rPr>
            </w:pPr>
            <w:r>
              <w:rPr>
                <w:rFonts w:ascii="Arial" w:cs="Arial" w:eastAsia="Arial" w:hAnsi="Arial"/>
                <w:sz w:val="18"/>
                <w:szCs w:val="18"/>
                <w:color w:val="auto"/>
              </w:rPr>
              <w:t>Iowa</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119</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1,158</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1,014</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Kansas</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5,734</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7,716</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7,793</w:t>
            </w:r>
          </w:p>
        </w:tc>
      </w:tr>
      <w:tr>
        <w:trPr>
          <w:trHeight w:val="243"/>
        </w:trPr>
        <w:tc>
          <w:tcPr>
            <w:tcW w:w="4240" w:type="dxa"/>
            <w:vAlign w:val="bottom"/>
          </w:tcPr>
          <w:p>
            <w:pPr>
              <w:ind w:left="240"/>
              <w:spacing w:after="0"/>
              <w:rPr>
                <w:sz w:val="20"/>
                <w:szCs w:val="20"/>
                <w:color w:val="auto"/>
              </w:rPr>
            </w:pPr>
            <w:r>
              <w:rPr>
                <w:rFonts w:ascii="Arial" w:cs="Arial" w:eastAsia="Arial" w:hAnsi="Arial"/>
                <w:sz w:val="18"/>
                <w:szCs w:val="18"/>
                <w:color w:val="auto"/>
              </w:rPr>
              <w:t>Wyoming</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754</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2,492</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2,349</w:t>
            </w:r>
          </w:p>
        </w:tc>
      </w:tr>
      <w:tr>
        <w:trPr>
          <w:trHeight w:val="27"/>
        </w:trPr>
        <w:tc>
          <w:tcPr>
            <w:tcW w:w="424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Industrial</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9,472</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8,499</w:t>
            </w:r>
          </w:p>
        </w:tc>
        <w:tc>
          <w:tcPr>
            <w:tcW w:w="100" w:type="dxa"/>
            <w:vAlign w:val="bottom"/>
            <w:tcBorders>
              <w:bottom w:val="single" w:sz="8" w:color="CEFFE7"/>
            </w:tcBorders>
            <w:shd w:val="clear" w:color="auto" w:fill="CEFFE7"/>
          </w:tcPr>
          <w:p>
            <w:pPr>
              <w:spacing w:after="0"/>
              <w:rPr>
                <w:sz w:val="22"/>
                <w:szCs w:val="22"/>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18,699</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15,897</w:t>
            </w:r>
          </w:p>
        </w:tc>
      </w:tr>
      <w:tr>
        <w:trPr>
          <w:trHeight w:val="318"/>
        </w:trPr>
        <w:tc>
          <w:tcPr>
            <w:tcW w:w="4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r>
      <w:tr>
        <w:trPr>
          <w:trHeight w:val="243"/>
        </w:trPr>
        <w:tc>
          <w:tcPr>
            <w:tcW w:w="4240" w:type="dxa"/>
            <w:vAlign w:val="bottom"/>
          </w:tcPr>
          <w:p>
            <w:pPr>
              <w:ind w:left="240"/>
              <w:spacing w:after="0"/>
              <w:rPr>
                <w:sz w:val="20"/>
                <w:szCs w:val="20"/>
                <w:color w:val="auto"/>
              </w:rPr>
            </w:pPr>
            <w:r>
              <w:rPr>
                <w:rFonts w:ascii="Arial" w:cs="Arial" w:eastAsia="Arial" w:hAnsi="Arial"/>
                <w:sz w:val="18"/>
                <w:szCs w:val="18"/>
                <w:color w:val="auto"/>
              </w:rPr>
              <w:t>Arkansas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2,335</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7,750</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5,730</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Colorado</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738</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2,940</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2,531</w:t>
            </w:r>
          </w:p>
        </w:tc>
      </w:tr>
      <w:tr>
        <w:trPr>
          <w:trHeight w:val="270"/>
        </w:trPr>
        <w:tc>
          <w:tcPr>
            <w:tcW w:w="4240" w:type="dxa"/>
            <w:vAlign w:val="bottom"/>
          </w:tcPr>
          <w:p>
            <w:pPr>
              <w:ind w:left="240"/>
              <w:spacing w:after="0" w:line="270" w:lineRule="exact"/>
              <w:rPr>
                <w:sz w:val="20"/>
                <w:szCs w:val="20"/>
                <w:color w:val="auto"/>
              </w:rPr>
            </w:pPr>
            <w:r>
              <w:rPr>
                <w:rFonts w:ascii="Arial" w:cs="Arial" w:eastAsia="Arial" w:hAnsi="Arial"/>
                <w:sz w:val="18"/>
                <w:szCs w:val="18"/>
                <w:color w:val="auto"/>
              </w:rPr>
              <w:t xml:space="preserve">Nebraska </w:t>
            </w:r>
            <w:r>
              <w:rPr>
                <w:rFonts w:ascii="Arial" w:cs="Arial" w:eastAsia="Arial" w:hAnsi="Arial"/>
                <w:sz w:val="25"/>
                <w:szCs w:val="25"/>
                <w:color w:val="auto"/>
                <w:vertAlign w:val="superscript"/>
              </w:rPr>
              <w:t>(b) (c)</w:t>
            </w:r>
          </w:p>
        </w:tc>
        <w:tc>
          <w:tcPr>
            <w:tcW w:w="300" w:type="dxa"/>
            <w:vAlign w:val="bottom"/>
          </w:tcPr>
          <w:p>
            <w:pPr>
              <w:spacing w:after="0"/>
              <w:rPr>
                <w:sz w:val="23"/>
                <w:szCs w:val="23"/>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20,343</w:t>
            </w:r>
          </w:p>
        </w:tc>
        <w:tc>
          <w:tcPr>
            <w:tcW w:w="5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23,222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54,202</w:t>
            </w:r>
          </w:p>
        </w:tc>
        <w:tc>
          <w:tcPr>
            <w:tcW w:w="5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49,147</w:t>
            </w:r>
          </w:p>
        </w:tc>
      </w:tr>
      <w:tr>
        <w:trPr>
          <w:trHeight w:val="250"/>
        </w:trPr>
        <w:tc>
          <w:tcPr>
            <w:tcW w:w="42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Iowa</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967</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3,557</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3,525</w:t>
            </w:r>
          </w:p>
        </w:tc>
      </w:tr>
      <w:tr>
        <w:trPr>
          <w:trHeight w:val="243"/>
        </w:trPr>
        <w:tc>
          <w:tcPr>
            <w:tcW w:w="4240" w:type="dxa"/>
            <w:vAlign w:val="bottom"/>
          </w:tcPr>
          <w:p>
            <w:pPr>
              <w:ind w:left="240"/>
              <w:spacing w:after="0"/>
              <w:rPr>
                <w:sz w:val="20"/>
                <w:szCs w:val="20"/>
                <w:color w:val="auto"/>
              </w:rPr>
            </w:pPr>
            <w:r>
              <w:rPr>
                <w:rFonts w:ascii="Arial" w:cs="Arial" w:eastAsia="Arial" w:hAnsi="Arial"/>
                <w:sz w:val="18"/>
                <w:szCs w:val="18"/>
                <w:color w:val="auto"/>
              </w:rPr>
              <w:t>Kansas</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1,598</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4,851</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5,134</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Wyoming </w:t>
            </w:r>
            <w:r>
              <w:rPr>
                <w:rFonts w:ascii="Arial" w:cs="Arial" w:eastAsia="Arial" w:hAnsi="Arial"/>
                <w:sz w:val="25"/>
                <w:szCs w:val="25"/>
                <w:color w:val="auto"/>
                <w:vertAlign w:val="superscript"/>
              </w:rPr>
              <w:t>(b)</w:t>
            </w:r>
          </w:p>
        </w:tc>
        <w:tc>
          <w:tcPr>
            <w:tcW w:w="300" w:type="dxa"/>
            <w:vAlign w:val="bottom"/>
            <w:tcBorders>
              <w:bottom w:val="single" w:sz="8" w:color="auto"/>
            </w:tcBorders>
            <w:shd w:val="clear" w:color="auto" w:fill="CEFFE7"/>
          </w:tcPr>
          <w:p>
            <w:pPr>
              <w:spacing w:after="0"/>
              <w:rPr>
                <w:sz w:val="23"/>
                <w:szCs w:val="23"/>
                <w:color w:val="auto"/>
              </w:rPr>
            </w:pPr>
          </w:p>
        </w:tc>
        <w:tc>
          <w:tcPr>
            <w:tcW w:w="14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4,387</w:t>
            </w:r>
          </w:p>
        </w:tc>
        <w:tc>
          <w:tcPr>
            <w:tcW w:w="500" w:type="dxa"/>
            <w:vAlign w:val="bottom"/>
            <w:tcBorders>
              <w:bottom w:val="single" w:sz="8" w:color="auto"/>
            </w:tcBorders>
            <w:shd w:val="clear" w:color="auto" w:fill="CEFFE7"/>
          </w:tcPr>
          <w:p>
            <w:pPr>
              <w:spacing w:after="0"/>
              <w:rPr>
                <w:sz w:val="23"/>
                <w:szCs w:val="23"/>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4,245</w:t>
            </w:r>
          </w:p>
        </w:tc>
        <w:tc>
          <w:tcPr>
            <w:tcW w:w="100" w:type="dxa"/>
            <w:vAlign w:val="bottom"/>
            <w:shd w:val="clear" w:color="auto" w:fill="CEFFE7"/>
          </w:tcPr>
          <w:p>
            <w:pPr>
              <w:spacing w:after="0"/>
              <w:rPr>
                <w:sz w:val="23"/>
                <w:szCs w:val="23"/>
                <w:color w:val="auto"/>
              </w:rPr>
            </w:pPr>
          </w:p>
        </w:tc>
        <w:tc>
          <w:tcPr>
            <w:tcW w:w="320" w:type="dxa"/>
            <w:vAlign w:val="bottom"/>
            <w:tcBorders>
              <w:bottom w:val="single" w:sz="8" w:color="auto"/>
            </w:tcBorders>
            <w:shd w:val="clear" w:color="auto" w:fill="CEFFE7"/>
          </w:tcPr>
          <w:p>
            <w:pPr>
              <w:spacing w:after="0"/>
              <w:rPr>
                <w:sz w:val="23"/>
                <w:szCs w:val="23"/>
                <w:color w:val="auto"/>
              </w:rPr>
            </w:pPr>
          </w:p>
        </w:tc>
        <w:tc>
          <w:tcPr>
            <w:tcW w:w="14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18,849</w:t>
            </w:r>
          </w:p>
        </w:tc>
        <w:tc>
          <w:tcPr>
            <w:tcW w:w="500" w:type="dxa"/>
            <w:vAlign w:val="bottom"/>
            <w:tcBorders>
              <w:bottom w:val="single" w:sz="8" w:color="auto"/>
            </w:tcBorders>
            <w:shd w:val="clear" w:color="auto" w:fill="CEFFE7"/>
          </w:tcPr>
          <w:p>
            <w:pPr>
              <w:spacing w:after="0"/>
              <w:rPr>
                <w:sz w:val="23"/>
                <w:szCs w:val="23"/>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14,382</w:t>
            </w:r>
          </w:p>
        </w:tc>
      </w:tr>
      <w:tr>
        <w:trPr>
          <w:trHeight w:val="237"/>
        </w:trPr>
        <w:tc>
          <w:tcPr>
            <w:tcW w:w="4240" w:type="dxa"/>
            <w:vAlign w:val="bottom"/>
          </w:tcPr>
          <w:p>
            <w:pPr>
              <w:ind w:left="380"/>
              <w:spacing w:after="0"/>
              <w:rPr>
                <w:sz w:val="20"/>
                <w:szCs w:val="20"/>
                <w:color w:val="auto"/>
              </w:rPr>
            </w:pPr>
            <w:r>
              <w:rPr>
                <w:rFonts w:ascii="Arial" w:cs="Arial" w:eastAsia="Arial" w:hAnsi="Arial"/>
                <w:sz w:val="18"/>
                <w:szCs w:val="18"/>
                <w:color w:val="auto"/>
              </w:rPr>
              <w:t>Total Transportation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30,368</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32,936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92,149</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80,449</w:t>
            </w:r>
          </w:p>
        </w:tc>
      </w:tr>
      <w:tr>
        <w:trPr>
          <w:trHeight w:val="27"/>
        </w:trPr>
        <w:tc>
          <w:tcPr>
            <w:tcW w:w="4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53"/>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4"/>
          </w:tcPr>
          <w:p>
            <w:pPr>
              <w:ind w:left="180"/>
              <w:spacing w:after="0"/>
              <w:rPr>
                <w:sz w:val="20"/>
                <w:szCs w:val="20"/>
                <w:color w:val="auto"/>
              </w:rPr>
            </w:pPr>
            <w:r>
              <w:rPr>
                <w:rFonts w:ascii="Arial" w:cs="Arial" w:eastAsia="Arial" w:hAnsi="Arial"/>
                <w:sz w:val="18"/>
                <w:szCs w:val="18"/>
                <w:color w:val="auto"/>
              </w:rPr>
              <w:t>Three Months Ended September 30,</w:t>
            </w:r>
          </w:p>
        </w:tc>
        <w:tc>
          <w:tcPr>
            <w:tcW w:w="320" w:type="dxa"/>
            <w:vAlign w:val="bottom"/>
          </w:tcPr>
          <w:p>
            <w:pPr>
              <w:spacing w:after="0"/>
              <w:rPr>
                <w:sz w:val="20"/>
                <w:szCs w:val="20"/>
                <w:color w:val="auto"/>
              </w:rPr>
            </w:pPr>
          </w:p>
        </w:tc>
        <w:tc>
          <w:tcPr>
            <w:tcW w:w="3200" w:type="dxa"/>
            <w:vAlign w:val="bottom"/>
            <w:gridSpan w:val="3"/>
          </w:tcPr>
          <w:p>
            <w:pPr>
              <w:jc w:val="right"/>
              <w:ind w:right="39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Revenue (in thousands) (continued)</w:t>
            </w:r>
          </w:p>
        </w:tc>
        <w:tc>
          <w:tcPr>
            <w:tcW w:w="300" w:type="dxa"/>
            <w:vAlign w:val="bottom"/>
          </w:tcPr>
          <w:p>
            <w:pPr>
              <w:spacing w:after="0"/>
              <w:rPr>
                <w:sz w:val="23"/>
                <w:szCs w:val="23"/>
                <w:color w:val="auto"/>
              </w:rPr>
            </w:pPr>
          </w:p>
        </w:tc>
        <w:tc>
          <w:tcPr>
            <w:tcW w:w="1460" w:type="dxa"/>
            <w:vAlign w:val="bottom"/>
          </w:tcPr>
          <w:p>
            <w:pPr>
              <w:jc w:val="right"/>
              <w:ind w:right="63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Transmission:</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Arkansas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448</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1,660</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Colorado</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4,014</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17,778</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12,334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Wyoming</w:t>
            </w:r>
          </w:p>
        </w:tc>
        <w:tc>
          <w:tcPr>
            <w:tcW w:w="30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1,211</w:t>
            </w:r>
          </w:p>
        </w:tc>
        <w:tc>
          <w:tcPr>
            <w:tcW w:w="50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EFFE7"/>
            </w:tcBorders>
            <w:shd w:val="clear" w:color="auto" w:fill="CEFFE7"/>
          </w:tcPr>
          <w:p>
            <w:pPr>
              <w:spacing w:after="0"/>
              <w:rPr>
                <w:sz w:val="23"/>
                <w:szCs w:val="23"/>
                <w:color w:val="auto"/>
              </w:rPr>
            </w:pPr>
          </w:p>
        </w:tc>
        <w:tc>
          <w:tcPr>
            <w:tcW w:w="32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3,712</w:t>
            </w:r>
          </w:p>
        </w:tc>
        <w:tc>
          <w:tcPr>
            <w:tcW w:w="50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8"/>
                <w:szCs w:val="18"/>
                <w:color w:val="auto"/>
              </w:rPr>
              <w:t>Total Transmission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5,673</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23,150</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15,764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2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Sales Revenue:</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Arkansas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218</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880</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Colorado</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208</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687</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Nebraska</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937</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2,724</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Iowa</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Kansas</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494</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936</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Wyoming</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229</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779</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Other Sales Revenue</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2,182</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2,537</w:t>
            </w:r>
          </w:p>
        </w:tc>
        <w:tc>
          <w:tcPr>
            <w:tcW w:w="100" w:type="dxa"/>
            <w:vAlign w:val="bottom"/>
            <w:tcBorders>
              <w:bottom w:val="single" w:sz="8" w:color="CEFFE7"/>
            </w:tcBorders>
            <w:shd w:val="clear" w:color="auto" w:fill="CEFFE7"/>
          </w:tcPr>
          <w:p>
            <w:pPr>
              <w:spacing w:after="0"/>
              <w:rPr>
                <w:sz w:val="22"/>
                <w:szCs w:val="22"/>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6,363</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Regulated Revenue</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126,865</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123,699</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618,924</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515,963</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Non-regulated Services</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16,029</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17,746</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55,327</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47,916</w:t>
            </w:r>
          </w:p>
        </w:tc>
        <w:tc>
          <w:tcPr>
            <w:tcW w:w="0" w:type="dxa"/>
            <w:vAlign w:val="bottom"/>
          </w:tcPr>
          <w:p>
            <w:pPr>
              <w:spacing w:after="0"/>
              <w:rPr>
                <w:sz w:val="1"/>
                <w:szCs w:val="1"/>
                <w:color w:val="auto"/>
              </w:rPr>
            </w:pPr>
          </w:p>
        </w:tc>
      </w:tr>
      <w:tr>
        <w:trPr>
          <w:trHeight w:val="324"/>
        </w:trPr>
        <w:tc>
          <w:tcPr>
            <w:tcW w:w="4240" w:type="dxa"/>
            <w:vAlign w:val="bottom"/>
            <w:tcBorders>
              <w:bottom w:val="single" w:sz="8" w:color="CEFFE7"/>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EFFE7"/>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142,894</w:t>
            </w:r>
          </w:p>
        </w:tc>
        <w:tc>
          <w:tcPr>
            <w:tcW w:w="5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141,445</w:t>
            </w:r>
          </w:p>
        </w:tc>
        <w:tc>
          <w:tcPr>
            <w:tcW w:w="100" w:type="dxa"/>
            <w:vAlign w:val="bottom"/>
            <w:tcBorders>
              <w:bottom w:val="single" w:sz="8" w:color="CEFFE7"/>
            </w:tcBorders>
            <w:shd w:val="clear" w:color="auto" w:fill="CEFFE7"/>
          </w:tcPr>
          <w:p>
            <w:pPr>
              <w:spacing w:after="0"/>
              <w:rPr>
                <w:sz w:val="22"/>
                <w:szCs w:val="22"/>
                <w:color w:val="auto"/>
              </w:rPr>
            </w:pP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674,251</w:t>
            </w:r>
          </w:p>
        </w:tc>
        <w:tc>
          <w:tcPr>
            <w:tcW w:w="5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563,879</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Certain prior year revenue classes have been revised to conform to current year presentation; total revenue did not change.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 in prior year due to reclassification of Residential Choice customers from Residential to Transportation class.</w:t>
      </w:r>
    </w:p>
    <w:p>
      <w:pPr>
        <w:spacing w:after="0" w:line="8" w:lineRule="exact"/>
        <w:rPr>
          <w:rFonts w:ascii="Arial" w:cs="Arial" w:eastAsia="Arial" w:hAnsi="Arial"/>
          <w:sz w:val="16"/>
          <w:szCs w:val="16"/>
          <w:color w:val="auto"/>
        </w:rPr>
      </w:pPr>
    </w:p>
    <w:p>
      <w:pPr>
        <w:ind w:left="1400" w:hanging="225"/>
        <w:spacing w:after="0"/>
        <w:tabs>
          <w:tab w:leader="none" w:pos="14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Decrease for the three months ended September 30, 2017 is primarily driven by lower irrigation load in 2017 compared to the prior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4"/>
          </w:tcPr>
          <w:p>
            <w:pPr>
              <w:ind w:left="180"/>
              <w:spacing w:after="0"/>
              <w:rPr>
                <w:sz w:val="20"/>
                <w:szCs w:val="20"/>
                <w:color w:val="auto"/>
              </w:rPr>
            </w:pPr>
            <w:r>
              <w:rPr>
                <w:rFonts w:ascii="Arial" w:cs="Arial" w:eastAsia="Arial" w:hAnsi="Arial"/>
                <w:sz w:val="18"/>
                <w:szCs w:val="18"/>
                <w:color w:val="auto"/>
              </w:rPr>
              <w:t>Three Months Ended September 30,</w:t>
            </w:r>
          </w:p>
        </w:tc>
        <w:tc>
          <w:tcPr>
            <w:tcW w:w="320" w:type="dxa"/>
            <w:vAlign w:val="bottom"/>
          </w:tcPr>
          <w:p>
            <w:pPr>
              <w:spacing w:after="0"/>
              <w:rPr>
                <w:sz w:val="20"/>
                <w:szCs w:val="20"/>
                <w:color w:val="auto"/>
              </w:rPr>
            </w:pPr>
          </w:p>
        </w:tc>
        <w:tc>
          <w:tcPr>
            <w:tcW w:w="3200" w:type="dxa"/>
            <w:vAlign w:val="bottom"/>
            <w:gridSpan w:val="3"/>
          </w:tcPr>
          <w:p>
            <w:pPr>
              <w:jc w:val="right"/>
              <w:ind w:right="390"/>
              <w:spacing w:after="0"/>
              <w:rPr>
                <w:sz w:val="20"/>
                <w:szCs w:val="20"/>
                <w:color w:val="auto"/>
              </w:rPr>
            </w:pPr>
            <w:r>
              <w:rPr>
                <w:rFonts w:ascii="Arial" w:cs="Arial" w:eastAsia="Arial" w:hAnsi="Arial"/>
                <w:sz w:val="18"/>
                <w:szCs w:val="18"/>
                <w:color w:val="auto"/>
                <w:w w:val="96"/>
              </w:rPr>
              <w:t>Nine Months Ended September 30,</w:t>
            </w:r>
          </w:p>
        </w:tc>
      </w:tr>
      <w:tr>
        <w:trPr>
          <w:trHeight w:val="297"/>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Gross Margin (in thousands) </w:t>
            </w:r>
            <w:r>
              <w:rPr>
                <w:rFonts w:ascii="Arial" w:cs="Arial" w:eastAsia="Arial" w:hAnsi="Arial"/>
                <w:sz w:val="25"/>
                <w:szCs w:val="25"/>
                <w:color w:val="auto"/>
                <w:vertAlign w:val="superscript"/>
              </w:rPr>
              <w:t>(a)</w:t>
            </w: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2016</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Arkansas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6,934</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6,735</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38,020</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24,116</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Colorado</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7,533</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33,784</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28,531</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Nebraska </w:t>
            </w:r>
            <w:r>
              <w:rPr>
                <w:rFonts w:ascii="Arial" w:cs="Arial" w:eastAsia="Arial" w:hAnsi="Arial"/>
                <w:sz w:val="25"/>
                <w:szCs w:val="25"/>
                <w:color w:val="auto"/>
                <w:vertAlign w:val="superscript"/>
              </w:rPr>
              <w:t>(b)</w:t>
            </w:r>
          </w:p>
        </w:tc>
        <w:tc>
          <w:tcPr>
            <w:tcW w:w="300" w:type="dxa"/>
            <w:vAlign w:val="bottom"/>
            <w:shd w:val="clear" w:color="auto" w:fill="CEFFE7"/>
          </w:tcPr>
          <w:p>
            <w:pPr>
              <w:spacing w:after="0"/>
              <w:rPr>
                <w:sz w:val="23"/>
                <w:szCs w:val="23"/>
                <w:color w:val="auto"/>
              </w:rPr>
            </w:pPr>
          </w:p>
        </w:tc>
        <w:tc>
          <w:tcPr>
            <w:tcW w:w="146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9,333</w:t>
            </w:r>
          </w:p>
        </w:tc>
        <w:tc>
          <w:tcPr>
            <w:tcW w:w="50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9,214</w:t>
            </w:r>
          </w:p>
        </w:tc>
        <w:tc>
          <w:tcPr>
            <w:tcW w:w="10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4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38,383</w:t>
            </w:r>
          </w:p>
        </w:tc>
        <w:tc>
          <w:tcPr>
            <w:tcW w:w="50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37,634</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Iowa</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8,430</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31,442</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30,848</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Kansas</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6,033</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5,872</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24,031</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22,401</w:t>
            </w:r>
          </w:p>
        </w:tc>
      </w:tr>
      <w:tr>
        <w:trPr>
          <w:trHeight w:val="270"/>
        </w:trPr>
        <w:tc>
          <w:tcPr>
            <w:tcW w:w="4240" w:type="dxa"/>
            <w:vAlign w:val="bottom"/>
            <w:tcBorders>
              <w:bottom w:val="single" w:sz="8" w:color="CEFFE7"/>
            </w:tcBorders>
          </w:tcPr>
          <w:p>
            <w:pPr>
              <w:ind w:left="180"/>
              <w:spacing w:after="0" w:line="270" w:lineRule="exact"/>
              <w:rPr>
                <w:sz w:val="20"/>
                <w:szCs w:val="20"/>
                <w:color w:val="auto"/>
              </w:rPr>
            </w:pPr>
            <w:r>
              <w:rPr>
                <w:rFonts w:ascii="Arial" w:cs="Arial" w:eastAsia="Arial" w:hAnsi="Arial"/>
                <w:sz w:val="18"/>
                <w:szCs w:val="18"/>
                <w:color w:val="auto"/>
              </w:rPr>
              <w:t xml:space="preserve">Wyoming </w:t>
            </w:r>
            <w:r>
              <w:rPr>
                <w:rFonts w:ascii="Arial" w:cs="Arial" w:eastAsia="Arial" w:hAnsi="Arial"/>
                <w:sz w:val="25"/>
                <w:szCs w:val="25"/>
                <w:color w:val="auto"/>
                <w:vertAlign w:val="superscript"/>
              </w:rPr>
              <w:t>(b)</w:t>
            </w:r>
          </w:p>
        </w:tc>
        <w:tc>
          <w:tcPr>
            <w:tcW w:w="3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3,749</w:t>
            </w:r>
          </w:p>
        </w:tc>
        <w:tc>
          <w:tcPr>
            <w:tcW w:w="5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3,863</w:t>
            </w:r>
          </w:p>
        </w:tc>
        <w:tc>
          <w:tcPr>
            <w:tcW w:w="100" w:type="dxa"/>
            <w:vAlign w:val="bottom"/>
            <w:tcBorders>
              <w:bottom w:val="single" w:sz="8" w:color="CEFFE7"/>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16,596</w:t>
            </w:r>
          </w:p>
        </w:tc>
        <w:tc>
          <w:tcPr>
            <w:tcW w:w="5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15,164</w:t>
            </w:r>
          </w:p>
        </w:tc>
      </w:tr>
      <w:tr>
        <w:trPr>
          <w:trHeight w:val="264"/>
        </w:trPr>
        <w:tc>
          <w:tcPr>
            <w:tcW w:w="42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Residential</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42,012</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41,171</w:t>
            </w:r>
          </w:p>
        </w:tc>
        <w:tc>
          <w:tcPr>
            <w:tcW w:w="100" w:type="dxa"/>
            <w:vAlign w:val="bottom"/>
            <w:tcBorders>
              <w:bottom w:val="single" w:sz="8" w:color="CEFFE7"/>
            </w:tcBorders>
            <w:shd w:val="clear" w:color="auto" w:fill="CEFFE7"/>
          </w:tcPr>
          <w:p>
            <w:pPr>
              <w:spacing w:after="0"/>
              <w:rPr>
                <w:sz w:val="22"/>
                <w:szCs w:val="22"/>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182,256</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158,694</w:t>
            </w:r>
          </w:p>
        </w:tc>
      </w:tr>
      <w:tr>
        <w:trPr>
          <w:trHeight w:val="318"/>
        </w:trPr>
        <w:tc>
          <w:tcPr>
            <w:tcW w:w="4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Commercial:</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Arkansas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2,904</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16,053</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9,595</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Colorado</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2,198</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10,660</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8,612</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Nebraska</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1,606</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7,952</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7,865</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Iowa</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1,930</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8,504</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8,351</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Kansas</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1,371</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5,846</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5,300</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Wyoming</w:t>
            </w:r>
          </w:p>
        </w:tc>
        <w:tc>
          <w:tcPr>
            <w:tcW w:w="30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1,088</w:t>
            </w:r>
          </w:p>
        </w:tc>
        <w:tc>
          <w:tcPr>
            <w:tcW w:w="50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EFFE7"/>
            </w:tcBorders>
            <w:shd w:val="clear" w:color="auto" w:fill="CEFFE7"/>
          </w:tcPr>
          <w:p>
            <w:pPr>
              <w:spacing w:after="0"/>
              <w:rPr>
                <w:sz w:val="23"/>
                <w:szCs w:val="23"/>
                <w:color w:val="auto"/>
              </w:rPr>
            </w:pPr>
          </w:p>
        </w:tc>
        <w:tc>
          <w:tcPr>
            <w:tcW w:w="32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5,916</w:t>
            </w:r>
          </w:p>
        </w:tc>
        <w:tc>
          <w:tcPr>
            <w:tcW w:w="50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5,596</w:t>
            </w:r>
          </w:p>
        </w:tc>
      </w:tr>
      <w:tr>
        <w:trPr>
          <w:trHeight w:val="237"/>
        </w:trPr>
        <w:tc>
          <w:tcPr>
            <w:tcW w:w="4240" w:type="dxa"/>
            <w:vAlign w:val="bottom"/>
          </w:tcPr>
          <w:p>
            <w:pPr>
              <w:ind w:left="280"/>
              <w:spacing w:after="0"/>
              <w:rPr>
                <w:sz w:val="20"/>
                <w:szCs w:val="20"/>
                <w:color w:val="auto"/>
              </w:rPr>
            </w:pPr>
            <w:r>
              <w:rPr>
                <w:rFonts w:ascii="Arial" w:cs="Arial" w:eastAsia="Arial" w:hAnsi="Arial"/>
                <w:sz w:val="18"/>
                <w:szCs w:val="18"/>
                <w:color w:val="auto"/>
              </w:rPr>
              <w:t>Total Commercial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11,097</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10,988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54,931</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45,319</w:t>
            </w:r>
          </w:p>
        </w:tc>
      </w:tr>
      <w:tr>
        <w:trPr>
          <w:trHeight w:val="27"/>
        </w:trPr>
        <w:tc>
          <w:tcPr>
            <w:tcW w:w="4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96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963" w:right="2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4"/>
          </w:tcPr>
          <w:p>
            <w:pPr>
              <w:ind w:left="180"/>
              <w:spacing w:after="0"/>
              <w:rPr>
                <w:sz w:val="20"/>
                <w:szCs w:val="20"/>
                <w:color w:val="auto"/>
              </w:rPr>
            </w:pPr>
            <w:r>
              <w:rPr>
                <w:rFonts w:ascii="Arial" w:cs="Arial" w:eastAsia="Arial" w:hAnsi="Arial"/>
                <w:sz w:val="18"/>
                <w:szCs w:val="18"/>
                <w:color w:val="auto"/>
              </w:rPr>
              <w:t>Three Months Ended September 30,</w:t>
            </w:r>
          </w:p>
        </w:tc>
        <w:tc>
          <w:tcPr>
            <w:tcW w:w="320" w:type="dxa"/>
            <w:vAlign w:val="bottom"/>
          </w:tcPr>
          <w:p>
            <w:pPr>
              <w:spacing w:after="0"/>
              <w:rPr>
                <w:sz w:val="20"/>
                <w:szCs w:val="20"/>
                <w:color w:val="auto"/>
              </w:rPr>
            </w:pPr>
          </w:p>
        </w:tc>
        <w:tc>
          <w:tcPr>
            <w:tcW w:w="3200" w:type="dxa"/>
            <w:vAlign w:val="bottom"/>
            <w:gridSpan w:val="3"/>
          </w:tcPr>
          <w:p>
            <w:pPr>
              <w:jc w:val="right"/>
              <w:ind w:right="39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Gross Margin (in thousands) (continued)</w:t>
            </w:r>
          </w:p>
        </w:tc>
        <w:tc>
          <w:tcPr>
            <w:tcW w:w="300" w:type="dxa"/>
            <w:vAlign w:val="bottom"/>
          </w:tcPr>
          <w:p>
            <w:pPr>
              <w:spacing w:after="0"/>
              <w:rPr>
                <w:sz w:val="23"/>
                <w:szCs w:val="23"/>
                <w:color w:val="auto"/>
              </w:rPr>
            </w:pPr>
          </w:p>
        </w:tc>
        <w:tc>
          <w:tcPr>
            <w:tcW w:w="1460" w:type="dxa"/>
            <w:vAlign w:val="bottom"/>
          </w:tcPr>
          <w:p>
            <w:pPr>
              <w:jc w:val="right"/>
              <w:ind w:right="63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Arkansas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566</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1,727</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Colorado</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292</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57</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134</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Iowa</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Kansas</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1,052</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1,638</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Wyoming</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157</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484</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Industrial</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2,157</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EFFE7"/>
            </w:tcBorders>
            <w:shd w:val="clear" w:color="auto" w:fill="CEFFE7"/>
          </w:tcPr>
          <w:p>
            <w:pPr>
              <w:spacing w:after="0"/>
              <w:rPr>
                <w:sz w:val="22"/>
                <w:szCs w:val="22"/>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4,665</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318"/>
        </w:trPr>
        <w:tc>
          <w:tcPr>
            <w:tcW w:w="4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Arkansas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2,335</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7,750</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5,730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Colorado</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738</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2,940</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70"/>
        </w:trPr>
        <w:tc>
          <w:tcPr>
            <w:tcW w:w="42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Nebraska </w:t>
            </w:r>
            <w:r>
              <w:rPr>
                <w:rFonts w:ascii="Arial" w:cs="Arial" w:eastAsia="Arial" w:hAnsi="Arial"/>
                <w:sz w:val="25"/>
                <w:szCs w:val="25"/>
                <w:color w:val="auto"/>
                <w:vertAlign w:val="superscript"/>
              </w:rPr>
              <w:t>(b) (c)</w:t>
            </w:r>
          </w:p>
        </w:tc>
        <w:tc>
          <w:tcPr>
            <w:tcW w:w="300" w:type="dxa"/>
            <w:vAlign w:val="bottom"/>
          </w:tcPr>
          <w:p>
            <w:pPr>
              <w:spacing w:after="0"/>
              <w:rPr>
                <w:sz w:val="23"/>
                <w:szCs w:val="23"/>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20,343</w:t>
            </w:r>
          </w:p>
        </w:tc>
        <w:tc>
          <w:tcPr>
            <w:tcW w:w="5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23,222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54,202</w:t>
            </w:r>
          </w:p>
        </w:tc>
        <w:tc>
          <w:tcPr>
            <w:tcW w:w="5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49,147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Iowa</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967</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3,557</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Kansas</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1,598</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4,851</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Wyoming </w:t>
            </w:r>
            <w:r>
              <w:rPr>
                <w:rFonts w:ascii="Arial" w:cs="Arial" w:eastAsia="Arial" w:hAnsi="Arial"/>
                <w:sz w:val="25"/>
                <w:szCs w:val="25"/>
                <w:color w:val="auto"/>
                <w:vertAlign w:val="superscript"/>
              </w:rPr>
              <w:t>(b)</w:t>
            </w:r>
          </w:p>
        </w:tc>
        <w:tc>
          <w:tcPr>
            <w:tcW w:w="300" w:type="dxa"/>
            <w:vAlign w:val="bottom"/>
            <w:tcBorders>
              <w:bottom w:val="single" w:sz="8" w:color="auto"/>
            </w:tcBorders>
            <w:shd w:val="clear" w:color="auto" w:fill="CEFFE7"/>
          </w:tcPr>
          <w:p>
            <w:pPr>
              <w:spacing w:after="0"/>
              <w:rPr>
                <w:sz w:val="23"/>
                <w:szCs w:val="23"/>
                <w:color w:val="auto"/>
              </w:rPr>
            </w:pPr>
          </w:p>
        </w:tc>
        <w:tc>
          <w:tcPr>
            <w:tcW w:w="14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4,387</w:t>
            </w:r>
          </w:p>
        </w:tc>
        <w:tc>
          <w:tcPr>
            <w:tcW w:w="500" w:type="dxa"/>
            <w:vAlign w:val="bottom"/>
            <w:tcBorders>
              <w:bottom w:val="single" w:sz="8" w:color="auto"/>
            </w:tcBorders>
            <w:shd w:val="clear" w:color="auto" w:fill="CEFFE7"/>
          </w:tcPr>
          <w:p>
            <w:pPr>
              <w:spacing w:after="0"/>
              <w:rPr>
                <w:sz w:val="23"/>
                <w:szCs w:val="23"/>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4,245</w:t>
            </w:r>
          </w:p>
        </w:tc>
        <w:tc>
          <w:tcPr>
            <w:tcW w:w="100" w:type="dxa"/>
            <w:vAlign w:val="bottom"/>
            <w:shd w:val="clear" w:color="auto" w:fill="CEFFE7"/>
          </w:tcPr>
          <w:p>
            <w:pPr>
              <w:spacing w:after="0"/>
              <w:rPr>
                <w:sz w:val="23"/>
                <w:szCs w:val="23"/>
                <w:color w:val="auto"/>
              </w:rPr>
            </w:pPr>
          </w:p>
        </w:tc>
        <w:tc>
          <w:tcPr>
            <w:tcW w:w="320" w:type="dxa"/>
            <w:vAlign w:val="bottom"/>
            <w:tcBorders>
              <w:bottom w:val="single" w:sz="8" w:color="auto"/>
            </w:tcBorders>
            <w:shd w:val="clear" w:color="auto" w:fill="CEFFE7"/>
          </w:tcPr>
          <w:p>
            <w:pPr>
              <w:spacing w:after="0"/>
              <w:rPr>
                <w:sz w:val="23"/>
                <w:szCs w:val="23"/>
                <w:color w:val="auto"/>
              </w:rPr>
            </w:pPr>
          </w:p>
        </w:tc>
        <w:tc>
          <w:tcPr>
            <w:tcW w:w="14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18,849</w:t>
            </w:r>
          </w:p>
        </w:tc>
        <w:tc>
          <w:tcPr>
            <w:tcW w:w="500" w:type="dxa"/>
            <w:vAlign w:val="bottom"/>
            <w:tcBorders>
              <w:bottom w:val="single" w:sz="8" w:color="auto"/>
            </w:tcBorders>
            <w:shd w:val="clear" w:color="auto" w:fill="CEFFE7"/>
          </w:tcPr>
          <w:p>
            <w:pPr>
              <w:spacing w:after="0"/>
              <w:rPr>
                <w:sz w:val="23"/>
                <w:szCs w:val="23"/>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14,382</w:t>
            </w:r>
          </w:p>
        </w:tc>
        <w:tc>
          <w:tcPr>
            <w:tcW w:w="0" w:type="dxa"/>
            <w:vAlign w:val="bottom"/>
          </w:tcPr>
          <w:p>
            <w:pPr>
              <w:spacing w:after="0"/>
              <w:rPr>
                <w:sz w:val="1"/>
                <w:szCs w:val="1"/>
                <w:color w:val="auto"/>
              </w:rPr>
            </w:pPr>
          </w:p>
        </w:tc>
      </w:tr>
      <w:tr>
        <w:trPr>
          <w:trHeight w:val="237"/>
        </w:trPr>
        <w:tc>
          <w:tcPr>
            <w:tcW w:w="4240" w:type="dxa"/>
            <w:vAlign w:val="bottom"/>
          </w:tcPr>
          <w:p>
            <w:pPr>
              <w:ind w:left="280"/>
              <w:spacing w:after="0"/>
              <w:rPr>
                <w:sz w:val="20"/>
                <w:szCs w:val="20"/>
                <w:color w:val="auto"/>
              </w:rPr>
            </w:pPr>
            <w:r>
              <w:rPr>
                <w:rFonts w:ascii="Arial" w:cs="Arial" w:eastAsia="Arial" w:hAnsi="Arial"/>
                <w:sz w:val="18"/>
                <w:szCs w:val="18"/>
                <w:color w:val="auto"/>
              </w:rPr>
              <w:t>Total Transportation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30,368</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32,709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92,149</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80,211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2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Transmission:</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Arkansas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448</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1,660</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Colorado</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4,014</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17,778</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12,334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Wyoming</w:t>
            </w:r>
          </w:p>
        </w:tc>
        <w:tc>
          <w:tcPr>
            <w:tcW w:w="30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1,211</w:t>
            </w:r>
          </w:p>
        </w:tc>
        <w:tc>
          <w:tcPr>
            <w:tcW w:w="50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EFFE7"/>
            </w:tcBorders>
            <w:shd w:val="clear" w:color="auto" w:fill="CEFFE7"/>
          </w:tcPr>
          <w:p>
            <w:pPr>
              <w:spacing w:after="0"/>
              <w:rPr>
                <w:sz w:val="23"/>
                <w:szCs w:val="23"/>
                <w:color w:val="auto"/>
              </w:rPr>
            </w:pPr>
          </w:p>
        </w:tc>
        <w:tc>
          <w:tcPr>
            <w:tcW w:w="32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3,712</w:t>
            </w:r>
          </w:p>
        </w:tc>
        <w:tc>
          <w:tcPr>
            <w:tcW w:w="50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37"/>
        </w:trPr>
        <w:tc>
          <w:tcPr>
            <w:tcW w:w="4240" w:type="dxa"/>
            <w:vAlign w:val="bottom"/>
          </w:tcPr>
          <w:p>
            <w:pPr>
              <w:ind w:left="280"/>
              <w:spacing w:after="0"/>
              <w:rPr>
                <w:sz w:val="20"/>
                <w:szCs w:val="20"/>
                <w:color w:val="auto"/>
              </w:rPr>
            </w:pPr>
            <w:r>
              <w:rPr>
                <w:rFonts w:ascii="Arial" w:cs="Arial" w:eastAsia="Arial" w:hAnsi="Arial"/>
                <w:sz w:val="18"/>
                <w:szCs w:val="18"/>
                <w:color w:val="auto"/>
              </w:rPr>
              <w:t>Total Transmission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5,673</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23,150</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15,740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2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Sales Margins:</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Arkansas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218</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880</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Colorado</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208</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687</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937</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2,724</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Iowa</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Kansas</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494</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936</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Wyoming</w:t>
            </w:r>
          </w:p>
        </w:tc>
        <w:tc>
          <w:tcPr>
            <w:tcW w:w="3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229</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779</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Other Sales Margins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2,182</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2,550</w:t>
            </w:r>
          </w:p>
        </w:tc>
        <w:tc>
          <w:tcPr>
            <w:tcW w:w="100" w:type="dxa"/>
            <w:vAlign w:val="bottom"/>
            <w:tcBorders>
              <w:bottom w:val="single" w:sz="8" w:color="CEFFE7"/>
            </w:tcBorders>
            <w:shd w:val="clear" w:color="auto" w:fill="CEFFE7"/>
          </w:tcPr>
          <w:p>
            <w:pPr>
              <w:spacing w:after="0"/>
              <w:rPr>
                <w:sz w:val="22"/>
                <w:szCs w:val="22"/>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6,363</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318"/>
        </w:trPr>
        <w:tc>
          <w:tcPr>
            <w:tcW w:w="4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Regulated Gross Margin</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93,489</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94,369</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363,514</w:t>
            </w:r>
          </w:p>
        </w:tc>
        <w:tc>
          <w:tcPr>
            <w:tcW w:w="5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313,719</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Non-regulated Services</w:t>
            </w: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4,112</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21,712</w:t>
            </w:r>
          </w:p>
        </w:tc>
        <w:tc>
          <w:tcPr>
            <w:tcW w:w="5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22,161</w:t>
            </w:r>
          </w:p>
        </w:tc>
        <w:tc>
          <w:tcPr>
            <w:tcW w:w="0" w:type="dxa"/>
            <w:vAlign w:val="bottom"/>
          </w:tcPr>
          <w:p>
            <w:pPr>
              <w:spacing w:after="0"/>
              <w:rPr>
                <w:sz w:val="1"/>
                <w:szCs w:val="1"/>
                <w:color w:val="auto"/>
              </w:rPr>
            </w:pPr>
          </w:p>
        </w:tc>
      </w:tr>
      <w:tr>
        <w:trPr>
          <w:trHeight w:val="324"/>
        </w:trPr>
        <w:tc>
          <w:tcPr>
            <w:tcW w:w="4240" w:type="dxa"/>
            <w:vAlign w:val="bottom"/>
            <w:tcBorders>
              <w:bottom w:val="single" w:sz="8" w:color="CEFFE7"/>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EFFE7"/>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Gross Margin</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97,601</w:t>
            </w:r>
          </w:p>
        </w:tc>
        <w:tc>
          <w:tcPr>
            <w:tcW w:w="5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99,715</w:t>
            </w:r>
          </w:p>
        </w:tc>
        <w:tc>
          <w:tcPr>
            <w:tcW w:w="100" w:type="dxa"/>
            <w:vAlign w:val="bottom"/>
            <w:tcBorders>
              <w:bottom w:val="single" w:sz="8" w:color="CEFFE7"/>
            </w:tcBorders>
            <w:shd w:val="clear" w:color="auto" w:fill="CEFFE7"/>
          </w:tcPr>
          <w:p>
            <w:pPr>
              <w:spacing w:after="0"/>
              <w:rPr>
                <w:sz w:val="22"/>
                <w:szCs w:val="22"/>
                <w:color w:val="auto"/>
              </w:rPr>
            </w:pP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385,226</w:t>
            </w:r>
          </w:p>
        </w:tc>
        <w:tc>
          <w:tcPr>
            <w:tcW w:w="5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335,880</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Certain prior year revenue classes have been revised to conform to current year presentation.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 in prior year due to reclassification of Residential Choice customers from Residential to Transportation class.</w:t>
      </w:r>
    </w:p>
    <w:p>
      <w:pPr>
        <w:spacing w:after="0" w:line="5" w:lineRule="exact"/>
        <w:rPr>
          <w:rFonts w:ascii="Arial" w:cs="Arial" w:eastAsia="Arial" w:hAnsi="Arial"/>
          <w:sz w:val="16"/>
          <w:szCs w:val="16"/>
          <w:color w:val="auto"/>
        </w:rPr>
      </w:pPr>
    </w:p>
    <w:p>
      <w:pPr>
        <w:ind w:left="220" w:hanging="212"/>
        <w:spacing w:after="0"/>
        <w:tabs>
          <w:tab w:leader="none" w:pos="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Decrease for the three months ended September 30, 2017 is primarily driven by lower irrigation load in 2017 compared to the prior year.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46"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680" w:type="dxa"/>
            <w:vAlign w:val="bottom"/>
            <w:gridSpan w:val="2"/>
          </w:tcPr>
          <w:p>
            <w:pPr>
              <w:jc w:val="right"/>
              <w:ind w:right="550"/>
              <w:spacing w:after="0"/>
              <w:rPr>
                <w:sz w:val="20"/>
                <w:szCs w:val="20"/>
                <w:color w:val="auto"/>
              </w:rPr>
            </w:pPr>
            <w:r>
              <w:rPr>
                <w:rFonts w:ascii="Arial" w:cs="Arial" w:eastAsia="Arial" w:hAnsi="Arial"/>
                <w:sz w:val="18"/>
                <w:szCs w:val="18"/>
                <w:color w:val="auto"/>
              </w:rPr>
              <w:t>Three Months Ended September 30,</w:t>
            </w:r>
          </w:p>
        </w:tc>
        <w:tc>
          <w:tcPr>
            <w:tcW w:w="3280" w:type="dxa"/>
            <w:vAlign w:val="bottom"/>
            <w:gridSpan w:val="2"/>
          </w:tcPr>
          <w:p>
            <w:pPr>
              <w:jc w:val="right"/>
              <w:ind w:right="33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56"/>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 Quantities Sold and Transportation</w:t>
            </w:r>
          </w:p>
        </w:tc>
        <w:tc>
          <w:tcPr>
            <w:tcW w:w="20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 xml:space="preserve">(in Dth) </w:t>
            </w:r>
            <w:r>
              <w:rPr>
                <w:rFonts w:ascii="Arial" w:cs="Arial" w:eastAsia="Arial" w:hAnsi="Arial"/>
                <w:sz w:val="25"/>
                <w:szCs w:val="25"/>
                <w:color w:val="auto"/>
                <w:vertAlign w:val="superscript"/>
              </w:rPr>
              <w:t>(a)</w:t>
            </w:r>
          </w:p>
        </w:tc>
        <w:tc>
          <w:tcPr>
            <w:tcW w:w="20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2017</w:t>
            </w: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2016</w:t>
            </w:r>
          </w:p>
        </w:tc>
        <w:tc>
          <w:tcPr>
            <w:tcW w:w="18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2017</w:t>
            </w:r>
          </w:p>
        </w:tc>
        <w:tc>
          <w:tcPr>
            <w:tcW w:w="1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2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Arkansas</w:t>
            </w:r>
          </w:p>
        </w:tc>
        <w:tc>
          <w:tcPr>
            <w:tcW w:w="20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530,573</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531,564</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5,058,717</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3,277,167</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Colorado</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1,114,728</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1,067,081</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9,385,555</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8,012,982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20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747,053</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719,880</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7,496,171</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7,375,926</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Iowa</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544,429</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478,158</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6,691,008</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6,744,086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Kansas</w:t>
            </w:r>
          </w:p>
        </w:tc>
        <w:tc>
          <w:tcPr>
            <w:tcW w:w="20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431,594</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416,971</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4,066,531</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4,071,723</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Wyoming</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314,567</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335,772</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3,354,432</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2,951,579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EFFE7"/>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Residential</w:t>
            </w:r>
          </w:p>
        </w:tc>
        <w:tc>
          <w:tcPr>
            <w:tcW w:w="20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3,682,944</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3,549,426</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36,052,414</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32,433,463</w:t>
            </w:r>
          </w:p>
        </w:tc>
        <w:tc>
          <w:tcPr>
            <w:tcW w:w="0" w:type="dxa"/>
            <w:vAlign w:val="bottom"/>
          </w:tcPr>
          <w:p>
            <w:pPr>
              <w:spacing w:after="0"/>
              <w:rPr>
                <w:sz w:val="1"/>
                <w:szCs w:val="1"/>
                <w:color w:val="auto"/>
              </w:rPr>
            </w:pPr>
          </w:p>
        </w:tc>
      </w:tr>
      <w:tr>
        <w:trPr>
          <w:trHeight w:val="183"/>
        </w:trPr>
        <w:tc>
          <w:tcPr>
            <w:tcW w:w="4460" w:type="dxa"/>
            <w:vAlign w:val="bottom"/>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Commercial:</w:t>
            </w:r>
          </w:p>
        </w:tc>
        <w:tc>
          <w:tcPr>
            <w:tcW w:w="202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Arkansas</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586,224</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526,937</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3,630,598</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2,377,038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Colorado</w:t>
            </w:r>
          </w:p>
        </w:tc>
        <w:tc>
          <w:tcPr>
            <w:tcW w:w="20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479,409</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539,304</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3,700,032</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2,973,962</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Nebraska</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317,867</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384,546</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2,764,350</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2,800,616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Iowa</w:t>
            </w:r>
          </w:p>
        </w:tc>
        <w:tc>
          <w:tcPr>
            <w:tcW w:w="20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438,185</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423,084</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3,729,944</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3,725,512</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Kansas</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284,647</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220,650</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1,831,946</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1,771,050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Wyoming</w:t>
            </w:r>
          </w:p>
        </w:tc>
        <w:tc>
          <w:tcPr>
            <w:tcW w:w="20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339,515</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382,503</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2,454,248</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2,194,570</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Total Commercial</w:t>
            </w:r>
          </w:p>
        </w:tc>
        <w:tc>
          <w:tcPr>
            <w:tcW w:w="20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2,445,847</w:t>
            </w:r>
          </w:p>
        </w:tc>
        <w:tc>
          <w:tcPr>
            <w:tcW w:w="16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2,477,024</w:t>
            </w:r>
          </w:p>
        </w:tc>
        <w:tc>
          <w:tcPr>
            <w:tcW w:w="1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18,111,118</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15,842,748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EFFE7"/>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60" w:type="dxa"/>
            <w:vAlign w:val="bottom"/>
            <w:shd w:val="clear" w:color="auto" w:fill="CEFFE7"/>
          </w:tcPr>
          <w:p>
            <w:pPr>
              <w:spacing w:after="0"/>
              <w:rPr>
                <w:sz w:val="15"/>
                <w:szCs w:val="15"/>
                <w:color w:val="auto"/>
              </w:rPr>
            </w:pPr>
          </w:p>
        </w:tc>
        <w:tc>
          <w:tcPr>
            <w:tcW w:w="2020" w:type="dxa"/>
            <w:vAlign w:val="bottom"/>
            <w:shd w:val="clear" w:color="auto" w:fill="CEFFE7"/>
          </w:tcPr>
          <w:p>
            <w:pPr>
              <w:spacing w:after="0"/>
              <w:rPr>
                <w:sz w:val="15"/>
                <w:szCs w:val="15"/>
                <w:color w:val="auto"/>
              </w:rPr>
            </w:pPr>
          </w:p>
        </w:tc>
        <w:tc>
          <w:tcPr>
            <w:tcW w:w="1660" w:type="dxa"/>
            <w:vAlign w:val="bottom"/>
            <w:shd w:val="clear" w:color="auto" w:fill="CEFFE7"/>
          </w:tcPr>
          <w:p>
            <w:pPr>
              <w:spacing w:after="0"/>
              <w:rPr>
                <w:sz w:val="15"/>
                <w:szCs w:val="15"/>
                <w:color w:val="auto"/>
              </w:rPr>
            </w:pPr>
          </w:p>
        </w:tc>
        <w:tc>
          <w:tcPr>
            <w:tcW w:w="1860" w:type="dxa"/>
            <w:vAlign w:val="bottom"/>
            <w:shd w:val="clear" w:color="auto" w:fill="CEFFE7"/>
          </w:tcPr>
          <w:p>
            <w:pPr>
              <w:spacing w:after="0"/>
              <w:rPr>
                <w:sz w:val="15"/>
                <w:szCs w:val="15"/>
                <w:color w:val="auto"/>
              </w:rPr>
            </w:pPr>
          </w:p>
        </w:tc>
        <w:tc>
          <w:tcPr>
            <w:tcW w:w="142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0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Arkansas</w:t>
            </w:r>
          </w:p>
        </w:tc>
        <w:tc>
          <w:tcPr>
            <w:tcW w:w="20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304,556</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305,910</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914,235</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651,815</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Colorado</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234,770</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212,997</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357,806</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345,126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20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33,050</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29,531</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64,960</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62,243</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Iowa</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30,136</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52,092</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225,464</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243,902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Kansas</w:t>
            </w:r>
          </w:p>
        </w:tc>
        <w:tc>
          <w:tcPr>
            <w:tcW w:w="20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1,931,919</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1,645,891</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2,483,575</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2,575,314</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Wyoming</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187,742</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185,299</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644,052</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673,366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EFFE7"/>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Industrial</w:t>
            </w:r>
          </w:p>
        </w:tc>
        <w:tc>
          <w:tcPr>
            <w:tcW w:w="20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2,722,173</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2,431,720</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4,690,092</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4,551,766</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Quantities Sold</w:t>
            </w:r>
          </w:p>
        </w:tc>
        <w:tc>
          <w:tcPr>
            <w:tcW w:w="20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8,850,964</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8,458,170</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58,853,624</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52,827,977</w:t>
            </w:r>
          </w:p>
        </w:tc>
        <w:tc>
          <w:tcPr>
            <w:tcW w:w="0" w:type="dxa"/>
            <w:vAlign w:val="bottom"/>
          </w:tcPr>
          <w:p>
            <w:pPr>
              <w:spacing w:after="0"/>
              <w:rPr>
                <w:sz w:val="1"/>
                <w:szCs w:val="1"/>
                <w:color w:val="auto"/>
              </w:rPr>
            </w:pPr>
          </w:p>
        </w:tc>
      </w:tr>
      <w:tr>
        <w:trPr>
          <w:trHeight w:val="183"/>
        </w:trPr>
        <w:tc>
          <w:tcPr>
            <w:tcW w:w="4460" w:type="dxa"/>
            <w:vAlign w:val="bottom"/>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Transportation:</w:t>
            </w:r>
          </w:p>
        </w:tc>
        <w:tc>
          <w:tcPr>
            <w:tcW w:w="202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Arkansas</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2,528,754</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2,225,478</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8,628,581</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5,774,791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Colorado</w:t>
            </w:r>
          </w:p>
        </w:tc>
        <w:tc>
          <w:tcPr>
            <w:tcW w:w="20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1,282,746</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668,591</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5,713,315</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2,267,404</w:t>
            </w:r>
          </w:p>
        </w:tc>
        <w:tc>
          <w:tcPr>
            <w:tcW w:w="0" w:type="dxa"/>
            <w:vAlign w:val="bottom"/>
          </w:tcPr>
          <w:p>
            <w:pPr>
              <w:spacing w:after="0"/>
              <w:rPr>
                <w:sz w:val="1"/>
                <w:szCs w:val="1"/>
                <w:color w:val="auto"/>
              </w:rPr>
            </w:pPr>
          </w:p>
        </w:tc>
      </w:tr>
      <w:tr>
        <w:trPr>
          <w:trHeight w:val="270"/>
        </w:trPr>
        <w:tc>
          <w:tcPr>
            <w:tcW w:w="44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Nebraska </w:t>
            </w:r>
            <w:r>
              <w:rPr>
                <w:rFonts w:ascii="Arial" w:cs="Arial" w:eastAsia="Arial" w:hAnsi="Arial"/>
                <w:sz w:val="25"/>
                <w:szCs w:val="25"/>
                <w:color w:val="auto"/>
                <w:vertAlign w:val="superscript"/>
              </w:rPr>
              <w:t>(b)</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13,522,759</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15,123,440</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42,476,603</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38,723,621</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Iowa</w:t>
            </w:r>
          </w:p>
        </w:tc>
        <w:tc>
          <w:tcPr>
            <w:tcW w:w="20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4,333,161</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4,394,260</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14,826,265</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14,860,343</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Kansas</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4,622,069</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4,598,060</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12,593,545</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11,646,066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Wyoming</w:t>
            </w:r>
          </w:p>
        </w:tc>
        <w:tc>
          <w:tcPr>
            <w:tcW w:w="20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4,287,998</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4,707,013</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18,076,356</w:t>
            </w: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17,194,446</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Total Transportation</w:t>
            </w:r>
          </w:p>
        </w:tc>
        <w:tc>
          <w:tcPr>
            <w:tcW w:w="20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30,577,487</w:t>
            </w:r>
          </w:p>
        </w:tc>
        <w:tc>
          <w:tcPr>
            <w:tcW w:w="16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31,716,842</w:t>
            </w:r>
          </w:p>
        </w:tc>
        <w:tc>
          <w:tcPr>
            <w:tcW w:w="1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102,314,665</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90,466,671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EFFE7"/>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60" w:type="dxa"/>
            <w:vAlign w:val="bottom"/>
            <w:shd w:val="clear" w:color="auto" w:fill="CEFFE7"/>
          </w:tcPr>
          <w:p>
            <w:pPr>
              <w:spacing w:after="0"/>
              <w:rPr>
                <w:sz w:val="15"/>
                <w:szCs w:val="15"/>
                <w:color w:val="auto"/>
              </w:rPr>
            </w:pPr>
          </w:p>
        </w:tc>
        <w:tc>
          <w:tcPr>
            <w:tcW w:w="2020" w:type="dxa"/>
            <w:vAlign w:val="bottom"/>
            <w:shd w:val="clear" w:color="auto" w:fill="CEFFE7"/>
          </w:tcPr>
          <w:p>
            <w:pPr>
              <w:spacing w:after="0"/>
              <w:rPr>
                <w:sz w:val="15"/>
                <w:szCs w:val="15"/>
                <w:color w:val="auto"/>
              </w:rPr>
            </w:pPr>
          </w:p>
        </w:tc>
        <w:tc>
          <w:tcPr>
            <w:tcW w:w="1660" w:type="dxa"/>
            <w:vAlign w:val="bottom"/>
            <w:shd w:val="clear" w:color="auto" w:fill="CEFFE7"/>
          </w:tcPr>
          <w:p>
            <w:pPr>
              <w:spacing w:after="0"/>
              <w:rPr>
                <w:sz w:val="15"/>
                <w:szCs w:val="15"/>
                <w:color w:val="auto"/>
              </w:rPr>
            </w:pPr>
          </w:p>
        </w:tc>
        <w:tc>
          <w:tcPr>
            <w:tcW w:w="1860" w:type="dxa"/>
            <w:vAlign w:val="bottom"/>
            <w:shd w:val="clear" w:color="auto" w:fill="CEFFE7"/>
          </w:tcPr>
          <w:p>
            <w:pPr>
              <w:spacing w:after="0"/>
              <w:rPr>
                <w:sz w:val="15"/>
                <w:szCs w:val="15"/>
                <w:color w:val="auto"/>
              </w:rPr>
            </w:pPr>
          </w:p>
        </w:tc>
        <w:tc>
          <w:tcPr>
            <w:tcW w:w="142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460" w:type="dxa"/>
            <w:vAlign w:val="bottom"/>
          </w:tcPr>
          <w:p>
            <w:pPr>
              <w:ind w:left="40"/>
              <w:spacing w:after="0"/>
              <w:rPr>
                <w:sz w:val="20"/>
                <w:szCs w:val="20"/>
                <w:color w:val="auto"/>
              </w:rPr>
            </w:pPr>
            <w:r>
              <w:rPr>
                <w:rFonts w:ascii="Arial" w:cs="Arial" w:eastAsia="Arial" w:hAnsi="Arial"/>
                <w:sz w:val="18"/>
                <w:szCs w:val="18"/>
                <w:color w:val="auto"/>
              </w:rPr>
              <w:t>Total Quantities Sold and Transportation</w:t>
            </w:r>
          </w:p>
        </w:tc>
        <w:tc>
          <w:tcPr>
            <w:tcW w:w="2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39,428,451</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40,175,012</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161,168,289</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143,294,648</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60" w:type="dxa"/>
            <w:vAlign w:val="bottom"/>
            <w:vMerge w:val="continue"/>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Certain prior year revenue classes have been revised to conform to current year presentation.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Decrease for the three months ended September 30, 2017 is primarily driven by lower irrigation load in 2017 compared to the prior year.</w:t>
      </w:r>
    </w:p>
    <w:p>
      <w:pPr>
        <w:spacing w:after="0" w:line="3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Gas Utilities are highly seasonal, and sales volumes vary considerably with weather and seasonal heating and industrial loads. Approximately 70% of our Gas Utilities’ revenue and margins are expected in the first and fourth quarters of each year. Therefore, revenue for, and certain expenses of, these operations fluctuate significantly among quarters. Depending upon the geographic location in which our Gas Utilities operate, the winter heating season begins around November 1 and ends around March 31.</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746" w:right="2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60" w:type="dxa"/>
            <w:vAlign w:val="bottom"/>
            <w:gridSpan w:val="3"/>
          </w:tcPr>
          <w:p>
            <w:pPr>
              <w:jc w:val="right"/>
              <w:ind w:right="470"/>
              <w:spacing w:after="0"/>
              <w:rPr>
                <w:sz w:val="20"/>
                <w:szCs w:val="20"/>
                <w:color w:val="auto"/>
              </w:rPr>
            </w:pPr>
            <w:r>
              <w:rPr>
                <w:rFonts w:ascii="Arial" w:cs="Arial" w:eastAsia="Arial" w:hAnsi="Arial"/>
                <w:sz w:val="18"/>
                <w:szCs w:val="18"/>
                <w:color w:val="auto"/>
              </w:rPr>
              <w:t>Three Months Ended September 30,</w:t>
            </w:r>
          </w:p>
        </w:tc>
        <w:tc>
          <w:tcPr>
            <w:tcW w:w="1620" w:type="dxa"/>
            <w:vAlign w:val="bottom"/>
          </w:tcPr>
          <w:p>
            <w:pPr>
              <w:spacing w:after="0"/>
              <w:rPr>
                <w:sz w:val="20"/>
                <w:szCs w:val="20"/>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Degree Days</w:t>
            </w:r>
          </w:p>
        </w:tc>
        <w:tc>
          <w:tcPr>
            <w:tcW w:w="2360" w:type="dxa"/>
            <w:vAlign w:val="bottom"/>
          </w:tcPr>
          <w:p>
            <w:pPr>
              <w:spacing w:after="0"/>
              <w:rPr>
                <w:sz w:val="23"/>
                <w:szCs w:val="23"/>
                <w:color w:val="auto"/>
              </w:rPr>
            </w:pPr>
          </w:p>
        </w:tc>
        <w:tc>
          <w:tcPr>
            <w:tcW w:w="1680" w:type="dxa"/>
            <w:vAlign w:val="bottom"/>
          </w:tcPr>
          <w:p>
            <w:pPr>
              <w:jc w:val="right"/>
              <w:ind w:right="1110"/>
              <w:spacing w:after="0"/>
              <w:rPr>
                <w:sz w:val="20"/>
                <w:szCs w:val="20"/>
                <w:color w:val="auto"/>
              </w:rPr>
            </w:pPr>
            <w:r>
              <w:rPr>
                <w:rFonts w:ascii="Arial" w:cs="Arial" w:eastAsia="Arial" w:hAnsi="Arial"/>
                <w:sz w:val="18"/>
                <w:szCs w:val="18"/>
                <w:color w:val="auto"/>
              </w:rPr>
              <w:t>2017</w:t>
            </w:r>
          </w:p>
        </w:tc>
        <w:tc>
          <w:tcPr>
            <w:tcW w:w="15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jc w:val="right"/>
              <w:ind w:right="1090"/>
              <w:spacing w:after="0"/>
              <w:rPr>
                <w:sz w:val="20"/>
                <w:szCs w:val="20"/>
                <w:color w:val="auto"/>
              </w:rPr>
            </w:pPr>
            <w:r>
              <w:rPr>
                <w:rFonts w:ascii="Arial" w:cs="Arial" w:eastAsia="Arial" w:hAnsi="Arial"/>
                <w:sz w:val="18"/>
                <w:szCs w:val="18"/>
                <w:color w:val="auto"/>
              </w:rPr>
              <w:t>2016</w:t>
            </w:r>
          </w:p>
        </w:tc>
      </w:tr>
      <w:tr>
        <w:trPr>
          <w:trHeight w:val="27"/>
        </w:trPr>
        <w:tc>
          <w:tcPr>
            <w:tcW w:w="3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3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80" w:type="dxa"/>
            <w:vAlign w:val="bottom"/>
          </w:tcPr>
          <w:p>
            <w:pPr>
              <w:jc w:val="center"/>
              <w:ind w:left="210"/>
              <w:spacing w:after="0"/>
              <w:rPr>
                <w:sz w:val="20"/>
                <w:szCs w:val="20"/>
                <w:color w:val="auto"/>
              </w:rPr>
            </w:pPr>
            <w:r>
              <w:rPr>
                <w:rFonts w:ascii="Arial" w:cs="Arial" w:eastAsia="Arial" w:hAnsi="Arial"/>
                <w:sz w:val="18"/>
                <w:szCs w:val="18"/>
                <w:color w:val="auto"/>
                <w:w w:val="87"/>
              </w:rPr>
              <w:t>Variance</w:t>
            </w: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0"/>
              </w:rPr>
              <w:t>Variance</w:t>
            </w:r>
          </w:p>
        </w:tc>
      </w:tr>
      <w:tr>
        <w:trPr>
          <w:trHeight w:val="216"/>
        </w:trPr>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Pr>
          <w:p>
            <w:pPr>
              <w:jc w:val="center"/>
              <w:ind w:left="210"/>
              <w:spacing w:after="0"/>
              <w:rPr>
                <w:sz w:val="20"/>
                <w:szCs w:val="20"/>
                <w:color w:val="auto"/>
              </w:rPr>
            </w:pPr>
            <w:r>
              <w:rPr>
                <w:rFonts w:ascii="Arial" w:cs="Arial" w:eastAsia="Arial" w:hAnsi="Arial"/>
                <w:sz w:val="18"/>
                <w:szCs w:val="18"/>
                <w:color w:val="auto"/>
                <w:w w:val="93"/>
              </w:rPr>
              <w:t>from 30-Year</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Actual Variance</w:t>
            </w:r>
          </w:p>
        </w:tc>
        <w:tc>
          <w:tcPr>
            <w:tcW w:w="1040" w:type="dxa"/>
            <w:vAlign w:val="bottom"/>
          </w:tcPr>
          <w:p>
            <w:pPr>
              <w:spacing w:after="0"/>
              <w:rPr>
                <w:sz w:val="18"/>
                <w:szCs w:val="18"/>
                <w:color w:val="auto"/>
              </w:rPr>
            </w:pP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1"/>
              </w:rPr>
              <w:t>from 30-Year</w:t>
            </w: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color w:val="auto"/>
              </w:rPr>
              <w:t>Heating Degree Days:</w:t>
            </w:r>
          </w:p>
        </w:tc>
        <w:tc>
          <w:tcPr>
            <w:tcW w:w="2360" w:type="dxa"/>
            <w:vAlign w:val="bottom"/>
          </w:tcPr>
          <w:p>
            <w:pPr>
              <w:jc w:val="right"/>
              <w:ind w:right="110"/>
              <w:spacing w:after="0"/>
              <w:rPr>
                <w:sz w:val="20"/>
                <w:szCs w:val="20"/>
                <w:color w:val="auto"/>
              </w:rPr>
            </w:pPr>
            <w:r>
              <w:rPr>
                <w:rFonts w:ascii="Arial" w:cs="Arial" w:eastAsia="Arial" w:hAnsi="Arial"/>
                <w:sz w:val="18"/>
                <w:szCs w:val="18"/>
                <w:color w:val="auto"/>
              </w:rPr>
              <w:t>Actual</w:t>
            </w:r>
          </w:p>
        </w:tc>
        <w:tc>
          <w:tcPr>
            <w:tcW w:w="1680" w:type="dxa"/>
            <w:vAlign w:val="bottom"/>
          </w:tcPr>
          <w:p>
            <w:pPr>
              <w:jc w:val="center"/>
              <w:ind w:left="210"/>
              <w:spacing w:after="0"/>
              <w:rPr>
                <w:sz w:val="20"/>
                <w:szCs w:val="20"/>
                <w:color w:val="auto"/>
              </w:rPr>
            </w:pPr>
            <w:r>
              <w:rPr>
                <w:rFonts w:ascii="Arial" w:cs="Arial" w:eastAsia="Arial" w:hAnsi="Arial"/>
                <w:sz w:val="18"/>
                <w:szCs w:val="18"/>
                <w:color w:val="auto"/>
                <w:w w:val="86"/>
              </w:rPr>
              <w:t>Average</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to Prior Year</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Actual</w:t>
            </w: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89"/>
              </w:rPr>
              <w:t>Average</w:t>
            </w:r>
          </w:p>
        </w:tc>
      </w:tr>
      <w:tr>
        <w:trPr>
          <w:trHeight w:val="27"/>
        </w:trPr>
        <w:tc>
          <w:tcPr>
            <w:tcW w:w="3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3180" w:type="dxa"/>
            <w:vAlign w:val="bottom"/>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Arkansas </w:t>
            </w:r>
            <w:r>
              <w:rPr>
                <w:rFonts w:ascii="Arial" w:cs="Arial" w:eastAsia="Arial" w:hAnsi="Arial"/>
                <w:sz w:val="25"/>
                <w:szCs w:val="25"/>
                <w:color w:val="auto"/>
                <w:vertAlign w:val="superscript"/>
              </w:rPr>
              <w:t>(a) (d)</w:t>
            </w:r>
          </w:p>
        </w:tc>
        <w:tc>
          <w:tcPr>
            <w:tcW w:w="2360" w:type="dxa"/>
            <w:vAlign w:val="bottom"/>
            <w:shd w:val="clear" w:color="auto" w:fill="CEFFE7"/>
          </w:tcPr>
          <w:p>
            <w:pPr>
              <w:jc w:val="center"/>
              <w:ind w:left="1370"/>
              <w:spacing w:after="0"/>
              <w:rPr>
                <w:sz w:val="20"/>
                <w:szCs w:val="20"/>
                <w:color w:val="auto"/>
              </w:rPr>
            </w:pPr>
            <w:r>
              <w:rPr>
                <w:rFonts w:ascii="Arial" w:cs="Arial" w:eastAsia="Arial" w:hAnsi="Arial"/>
                <w:sz w:val="18"/>
                <w:szCs w:val="18"/>
                <w:color w:val="auto"/>
                <w:w w:val="89"/>
              </w:rPr>
              <w:t>15</w:t>
            </w:r>
          </w:p>
        </w:tc>
        <w:tc>
          <w:tcPr>
            <w:tcW w:w="1680" w:type="dxa"/>
            <w:vAlign w:val="bottom"/>
            <w:shd w:val="clear" w:color="auto" w:fill="CEFFE7"/>
          </w:tcPr>
          <w:p>
            <w:pPr>
              <w:jc w:val="center"/>
              <w:ind w:left="210"/>
              <w:spacing w:after="0"/>
              <w:rPr>
                <w:sz w:val="20"/>
                <w:szCs w:val="20"/>
                <w:color w:val="auto"/>
              </w:rPr>
            </w:pPr>
            <w:r>
              <w:rPr>
                <w:rFonts w:ascii="Arial" w:cs="Arial" w:eastAsia="Arial" w:hAnsi="Arial"/>
                <w:sz w:val="18"/>
                <w:szCs w:val="18"/>
                <w:color w:val="auto"/>
                <w:w w:val="95"/>
              </w:rPr>
              <w:t>(66)%</w:t>
            </w:r>
          </w:p>
        </w:tc>
        <w:tc>
          <w:tcPr>
            <w:tcW w:w="15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67%</w:t>
            </w:r>
          </w:p>
        </w:tc>
        <w:tc>
          <w:tcPr>
            <w:tcW w:w="104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99"/>
              </w:rPr>
              <w:t>9</w:t>
            </w:r>
          </w:p>
        </w:tc>
        <w:tc>
          <w:tcPr>
            <w:tcW w:w="1620" w:type="dxa"/>
            <w:vAlign w:val="bottom"/>
            <w:shd w:val="clear" w:color="auto" w:fill="CEFFE7"/>
          </w:tcPr>
          <w:p>
            <w:pPr>
              <w:jc w:val="center"/>
              <w:ind w:left="170"/>
              <w:spacing w:after="0"/>
              <w:rPr>
                <w:sz w:val="20"/>
                <w:szCs w:val="20"/>
                <w:color w:val="auto"/>
              </w:rPr>
            </w:pPr>
            <w:r>
              <w:rPr>
                <w:rFonts w:ascii="Arial" w:cs="Arial" w:eastAsia="Arial" w:hAnsi="Arial"/>
                <w:sz w:val="18"/>
                <w:szCs w:val="18"/>
                <w:color w:val="auto"/>
                <w:w w:val="91"/>
              </w:rPr>
              <w:t>(79)%</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Colorado</w:t>
            </w:r>
          </w:p>
        </w:tc>
        <w:tc>
          <w:tcPr>
            <w:tcW w:w="2360" w:type="dxa"/>
            <w:vAlign w:val="bottom"/>
          </w:tcPr>
          <w:p>
            <w:pPr>
              <w:jc w:val="center"/>
              <w:ind w:left="1370"/>
              <w:spacing w:after="0"/>
              <w:rPr>
                <w:sz w:val="20"/>
                <w:szCs w:val="20"/>
                <w:color w:val="auto"/>
              </w:rPr>
            </w:pPr>
            <w:r>
              <w:rPr>
                <w:rFonts w:ascii="Arial" w:cs="Arial" w:eastAsia="Arial" w:hAnsi="Arial"/>
                <w:sz w:val="18"/>
                <w:szCs w:val="18"/>
                <w:color w:val="auto"/>
                <w:w w:val="86"/>
              </w:rPr>
              <w:t>187</w:t>
            </w:r>
          </w:p>
        </w:tc>
        <w:tc>
          <w:tcPr>
            <w:tcW w:w="1680" w:type="dxa"/>
            <w:vAlign w:val="bottom"/>
          </w:tcPr>
          <w:p>
            <w:pPr>
              <w:jc w:val="center"/>
              <w:ind w:left="210"/>
              <w:spacing w:after="0"/>
              <w:rPr>
                <w:sz w:val="20"/>
                <w:szCs w:val="20"/>
                <w:color w:val="auto"/>
              </w:rPr>
            </w:pPr>
            <w:r>
              <w:rPr>
                <w:rFonts w:ascii="Arial" w:cs="Arial" w:eastAsia="Arial" w:hAnsi="Arial"/>
                <w:sz w:val="18"/>
                <w:szCs w:val="18"/>
                <w:color w:val="auto"/>
                <w:w w:val="95"/>
              </w:rPr>
              <w:t>(13)%</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22%</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86"/>
              </w:rPr>
              <w:t>153</w:t>
            </w: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1"/>
              </w:rPr>
              <w:t>(29)%</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2360" w:type="dxa"/>
            <w:vAlign w:val="bottom"/>
            <w:tcBorders>
              <w:bottom w:val="single" w:sz="8" w:color="CEFFE7"/>
            </w:tcBorders>
            <w:shd w:val="clear" w:color="auto" w:fill="CEFFE7"/>
          </w:tcPr>
          <w:p>
            <w:pPr>
              <w:jc w:val="center"/>
              <w:ind w:left="1370"/>
              <w:spacing w:after="0"/>
              <w:rPr>
                <w:sz w:val="20"/>
                <w:szCs w:val="20"/>
                <w:color w:val="auto"/>
              </w:rPr>
            </w:pPr>
            <w:r>
              <w:rPr>
                <w:rFonts w:ascii="Arial" w:cs="Arial" w:eastAsia="Arial" w:hAnsi="Arial"/>
                <w:sz w:val="18"/>
                <w:szCs w:val="18"/>
                <w:color w:val="auto"/>
                <w:w w:val="89"/>
              </w:rPr>
              <w:t>66</w:t>
            </w:r>
          </w:p>
        </w:tc>
        <w:tc>
          <w:tcPr>
            <w:tcW w:w="1680" w:type="dxa"/>
            <w:vAlign w:val="bottom"/>
            <w:tcBorders>
              <w:bottom w:val="single" w:sz="8" w:color="CEFFE7"/>
            </w:tcBorders>
            <w:shd w:val="clear" w:color="auto" w:fill="CEFFE7"/>
          </w:tcPr>
          <w:p>
            <w:pPr>
              <w:jc w:val="center"/>
              <w:ind w:left="210"/>
              <w:spacing w:after="0"/>
              <w:rPr>
                <w:sz w:val="20"/>
                <w:szCs w:val="20"/>
                <w:color w:val="auto"/>
              </w:rPr>
            </w:pPr>
            <w:r>
              <w:rPr>
                <w:rFonts w:ascii="Arial" w:cs="Arial" w:eastAsia="Arial" w:hAnsi="Arial"/>
                <w:sz w:val="18"/>
                <w:szCs w:val="18"/>
                <w:color w:val="auto"/>
                <w:w w:val="95"/>
              </w:rPr>
              <w:t>(40)%</w:t>
            </w:r>
          </w:p>
        </w:tc>
        <w:tc>
          <w:tcPr>
            <w:tcW w:w="15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5"/>
              </w:rPr>
              <w:t>(65)%</w:t>
            </w:r>
          </w:p>
        </w:tc>
        <w:tc>
          <w:tcPr>
            <w:tcW w:w="104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86"/>
              </w:rPr>
              <w:t>191</w:t>
            </w:r>
          </w:p>
        </w:tc>
        <w:tc>
          <w:tcPr>
            <w:tcW w:w="1620" w:type="dxa"/>
            <w:vAlign w:val="bottom"/>
            <w:tcBorders>
              <w:bottom w:val="single" w:sz="8" w:color="CEFFE7"/>
            </w:tcBorders>
            <w:shd w:val="clear" w:color="auto" w:fill="CEFFE7"/>
          </w:tcPr>
          <w:p>
            <w:pPr>
              <w:jc w:val="center"/>
              <w:ind w:left="170"/>
              <w:spacing w:after="0"/>
              <w:rPr>
                <w:sz w:val="20"/>
                <w:szCs w:val="20"/>
                <w:color w:val="auto"/>
              </w:rPr>
            </w:pPr>
            <w:r>
              <w:rPr>
                <w:rFonts w:ascii="Arial" w:cs="Arial" w:eastAsia="Arial" w:hAnsi="Arial"/>
                <w:sz w:val="18"/>
                <w:szCs w:val="18"/>
                <w:color w:val="auto"/>
                <w:w w:val="88"/>
              </w:rPr>
              <w:t>74%</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Iowa</w:t>
            </w:r>
          </w:p>
        </w:tc>
        <w:tc>
          <w:tcPr>
            <w:tcW w:w="2360" w:type="dxa"/>
            <w:vAlign w:val="bottom"/>
          </w:tcPr>
          <w:p>
            <w:pPr>
              <w:jc w:val="center"/>
              <w:ind w:left="1370"/>
              <w:spacing w:after="0"/>
              <w:rPr>
                <w:sz w:val="20"/>
                <w:szCs w:val="20"/>
                <w:color w:val="auto"/>
              </w:rPr>
            </w:pPr>
            <w:r>
              <w:rPr>
                <w:rFonts w:ascii="Arial" w:cs="Arial" w:eastAsia="Arial" w:hAnsi="Arial"/>
                <w:sz w:val="18"/>
                <w:szCs w:val="18"/>
                <w:color w:val="auto"/>
                <w:w w:val="89"/>
              </w:rPr>
              <w:t>90</w:t>
            </w:r>
          </w:p>
        </w:tc>
        <w:tc>
          <w:tcPr>
            <w:tcW w:w="1680" w:type="dxa"/>
            <w:vAlign w:val="bottom"/>
          </w:tcPr>
          <w:p>
            <w:pPr>
              <w:jc w:val="center"/>
              <w:ind w:left="210"/>
              <w:spacing w:after="0"/>
              <w:rPr>
                <w:sz w:val="20"/>
                <w:szCs w:val="20"/>
                <w:color w:val="auto"/>
              </w:rPr>
            </w:pPr>
            <w:r>
              <w:rPr>
                <w:rFonts w:ascii="Arial" w:cs="Arial" w:eastAsia="Arial" w:hAnsi="Arial"/>
                <w:sz w:val="18"/>
                <w:szCs w:val="18"/>
                <w:color w:val="auto"/>
                <w:w w:val="95"/>
              </w:rPr>
              <w:t>(35)%</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32%</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89"/>
              </w:rPr>
              <w:t>68</w:t>
            </w: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1"/>
              </w:rPr>
              <w:t>(51)%</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(a)</w:t>
            </w:r>
          </w:p>
        </w:tc>
        <w:tc>
          <w:tcPr>
            <w:tcW w:w="2360" w:type="dxa"/>
            <w:vAlign w:val="bottom"/>
            <w:shd w:val="clear" w:color="auto" w:fill="CEFFE7"/>
          </w:tcPr>
          <w:p>
            <w:pPr>
              <w:jc w:val="center"/>
              <w:ind w:left="1370"/>
              <w:spacing w:after="0"/>
              <w:rPr>
                <w:sz w:val="20"/>
                <w:szCs w:val="20"/>
                <w:color w:val="auto"/>
              </w:rPr>
            </w:pPr>
            <w:r>
              <w:rPr>
                <w:rFonts w:ascii="Arial" w:cs="Arial" w:eastAsia="Arial" w:hAnsi="Arial"/>
                <w:sz w:val="18"/>
                <w:szCs w:val="18"/>
                <w:color w:val="auto"/>
                <w:w w:val="89"/>
              </w:rPr>
              <w:t>37</w:t>
            </w:r>
          </w:p>
        </w:tc>
        <w:tc>
          <w:tcPr>
            <w:tcW w:w="1680" w:type="dxa"/>
            <w:vAlign w:val="bottom"/>
            <w:shd w:val="clear" w:color="auto" w:fill="CEFFE7"/>
          </w:tcPr>
          <w:p>
            <w:pPr>
              <w:jc w:val="center"/>
              <w:ind w:left="210"/>
              <w:spacing w:after="0"/>
              <w:rPr>
                <w:sz w:val="20"/>
                <w:szCs w:val="20"/>
                <w:color w:val="auto"/>
              </w:rPr>
            </w:pPr>
            <w:r>
              <w:rPr>
                <w:rFonts w:ascii="Arial" w:cs="Arial" w:eastAsia="Arial" w:hAnsi="Arial"/>
                <w:sz w:val="18"/>
                <w:szCs w:val="18"/>
                <w:color w:val="auto"/>
                <w:w w:val="95"/>
              </w:rPr>
              <w:t>(32)%</w:t>
            </w:r>
          </w:p>
        </w:tc>
        <w:tc>
          <w:tcPr>
            <w:tcW w:w="15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42%</w:t>
            </w:r>
          </w:p>
        </w:tc>
        <w:tc>
          <w:tcPr>
            <w:tcW w:w="104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89"/>
              </w:rPr>
              <w:t>26</w:t>
            </w:r>
          </w:p>
        </w:tc>
        <w:tc>
          <w:tcPr>
            <w:tcW w:w="1620" w:type="dxa"/>
            <w:vAlign w:val="bottom"/>
            <w:shd w:val="clear" w:color="auto" w:fill="CEFFE7"/>
          </w:tcPr>
          <w:p>
            <w:pPr>
              <w:jc w:val="center"/>
              <w:ind w:left="170"/>
              <w:spacing w:after="0"/>
              <w:rPr>
                <w:sz w:val="20"/>
                <w:szCs w:val="20"/>
                <w:color w:val="auto"/>
              </w:rPr>
            </w:pPr>
            <w:r>
              <w:rPr>
                <w:rFonts w:ascii="Arial" w:cs="Arial" w:eastAsia="Arial" w:hAnsi="Arial"/>
                <w:sz w:val="18"/>
                <w:szCs w:val="18"/>
                <w:color w:val="auto"/>
                <w:w w:val="91"/>
              </w:rPr>
              <w:t>(54)%</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Wyoming</w:t>
            </w:r>
          </w:p>
        </w:tc>
        <w:tc>
          <w:tcPr>
            <w:tcW w:w="2360" w:type="dxa"/>
            <w:vAlign w:val="bottom"/>
          </w:tcPr>
          <w:p>
            <w:pPr>
              <w:jc w:val="center"/>
              <w:ind w:left="1370"/>
              <w:spacing w:after="0"/>
              <w:rPr>
                <w:sz w:val="20"/>
                <w:szCs w:val="20"/>
                <w:color w:val="auto"/>
              </w:rPr>
            </w:pPr>
            <w:r>
              <w:rPr>
                <w:rFonts w:ascii="Arial" w:cs="Arial" w:eastAsia="Arial" w:hAnsi="Arial"/>
                <w:sz w:val="18"/>
                <w:szCs w:val="18"/>
                <w:color w:val="auto"/>
                <w:w w:val="86"/>
              </w:rPr>
              <w:t>307</w:t>
            </w:r>
          </w:p>
        </w:tc>
        <w:tc>
          <w:tcPr>
            <w:tcW w:w="1680" w:type="dxa"/>
            <w:vAlign w:val="bottom"/>
          </w:tcPr>
          <w:p>
            <w:pPr>
              <w:jc w:val="center"/>
              <w:ind w:left="230"/>
              <w:spacing w:after="0"/>
              <w:rPr>
                <w:sz w:val="20"/>
                <w:szCs w:val="20"/>
                <w:color w:val="auto"/>
              </w:rPr>
            </w:pPr>
            <w:r>
              <w:rPr>
                <w:rFonts w:ascii="Arial" w:cs="Arial" w:eastAsia="Arial" w:hAnsi="Arial"/>
                <w:sz w:val="18"/>
                <w:szCs w:val="18"/>
                <w:color w:val="auto"/>
                <w:w w:val="92"/>
              </w:rPr>
              <w:t>1%</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(2)%</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86"/>
              </w:rPr>
              <w:t>314</w:t>
            </w: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2"/>
              </w:rPr>
              <w:t>3%</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(b) (d)</w:t>
            </w:r>
          </w:p>
        </w:tc>
        <w:tc>
          <w:tcPr>
            <w:tcW w:w="2360" w:type="dxa"/>
            <w:vAlign w:val="bottom"/>
            <w:shd w:val="clear" w:color="auto" w:fill="CEFFE7"/>
          </w:tcPr>
          <w:p>
            <w:pPr>
              <w:jc w:val="center"/>
              <w:ind w:left="1370"/>
              <w:spacing w:after="0"/>
              <w:rPr>
                <w:sz w:val="20"/>
                <w:szCs w:val="20"/>
                <w:color w:val="auto"/>
              </w:rPr>
            </w:pPr>
            <w:r>
              <w:rPr>
                <w:rFonts w:ascii="Arial" w:cs="Arial" w:eastAsia="Arial" w:hAnsi="Arial"/>
                <w:sz w:val="18"/>
                <w:szCs w:val="18"/>
                <w:color w:val="auto"/>
                <w:w w:val="86"/>
              </w:rPr>
              <w:t>117</w:t>
            </w:r>
          </w:p>
        </w:tc>
        <w:tc>
          <w:tcPr>
            <w:tcW w:w="1680" w:type="dxa"/>
            <w:vAlign w:val="bottom"/>
            <w:shd w:val="clear" w:color="auto" w:fill="CEFFE7"/>
          </w:tcPr>
          <w:p>
            <w:pPr>
              <w:jc w:val="center"/>
              <w:ind w:left="210"/>
              <w:spacing w:after="0"/>
              <w:rPr>
                <w:sz w:val="20"/>
                <w:szCs w:val="20"/>
                <w:color w:val="auto"/>
              </w:rPr>
            </w:pPr>
            <w:r>
              <w:rPr>
                <w:rFonts w:ascii="Arial" w:cs="Arial" w:eastAsia="Arial" w:hAnsi="Arial"/>
                <w:sz w:val="18"/>
                <w:szCs w:val="18"/>
                <w:color w:val="auto"/>
                <w:w w:val="95"/>
              </w:rPr>
              <w:t>(22)%</w:t>
            </w:r>
          </w:p>
        </w:tc>
        <w:tc>
          <w:tcPr>
            <w:tcW w:w="15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5"/>
              </w:rPr>
              <w:t>(20)%</w:t>
            </w:r>
          </w:p>
        </w:tc>
        <w:tc>
          <w:tcPr>
            <w:tcW w:w="104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86"/>
              </w:rPr>
              <w:t>146</w:t>
            </w:r>
          </w:p>
        </w:tc>
        <w:tc>
          <w:tcPr>
            <w:tcW w:w="1620" w:type="dxa"/>
            <w:vAlign w:val="bottom"/>
            <w:shd w:val="clear" w:color="auto" w:fill="CEFFE7"/>
          </w:tcPr>
          <w:p>
            <w:pPr>
              <w:jc w:val="center"/>
              <w:ind w:left="170"/>
              <w:spacing w:after="0"/>
              <w:rPr>
                <w:sz w:val="20"/>
                <w:szCs w:val="20"/>
                <w:color w:val="auto"/>
              </w:rPr>
            </w:pPr>
            <w:r>
              <w:rPr>
                <w:rFonts w:ascii="Arial" w:cs="Arial" w:eastAsia="Arial" w:hAnsi="Arial"/>
                <w:sz w:val="18"/>
                <w:szCs w:val="18"/>
                <w:color w:val="auto"/>
                <w:w w:val="94"/>
              </w:rPr>
              <w:t>(2)%</w:t>
            </w:r>
          </w:p>
        </w:tc>
      </w:tr>
      <w:tr>
        <w:trPr>
          <w:trHeight w:val="500"/>
        </w:trPr>
        <w:tc>
          <w:tcPr>
            <w:tcW w:w="3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Nine Months Ended September 30,</w:t>
            </w:r>
          </w:p>
        </w:tc>
        <w:tc>
          <w:tcPr>
            <w:tcW w:w="1620" w:type="dxa"/>
            <w:vAlign w:val="bottom"/>
          </w:tcPr>
          <w:p>
            <w:pPr>
              <w:spacing w:after="0"/>
              <w:rPr>
                <w:sz w:val="24"/>
                <w:szCs w:val="24"/>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Degree Days</w:t>
            </w:r>
          </w:p>
        </w:tc>
        <w:tc>
          <w:tcPr>
            <w:tcW w:w="2360" w:type="dxa"/>
            <w:vAlign w:val="bottom"/>
          </w:tcPr>
          <w:p>
            <w:pPr>
              <w:spacing w:after="0"/>
              <w:rPr>
                <w:sz w:val="23"/>
                <w:szCs w:val="23"/>
                <w:color w:val="auto"/>
              </w:rPr>
            </w:pPr>
          </w:p>
        </w:tc>
        <w:tc>
          <w:tcPr>
            <w:tcW w:w="1680" w:type="dxa"/>
            <w:vAlign w:val="bottom"/>
          </w:tcPr>
          <w:p>
            <w:pPr>
              <w:jc w:val="right"/>
              <w:ind w:right="1170"/>
              <w:spacing w:after="0"/>
              <w:rPr>
                <w:sz w:val="20"/>
                <w:szCs w:val="20"/>
                <w:color w:val="auto"/>
              </w:rPr>
            </w:pPr>
            <w:r>
              <w:rPr>
                <w:rFonts w:ascii="Arial" w:cs="Arial" w:eastAsia="Arial" w:hAnsi="Arial"/>
                <w:sz w:val="18"/>
                <w:szCs w:val="18"/>
                <w:color w:val="auto"/>
                <w:w w:val="99"/>
              </w:rPr>
              <w:t>2017</w:t>
            </w:r>
          </w:p>
        </w:tc>
        <w:tc>
          <w:tcPr>
            <w:tcW w:w="15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jc w:val="right"/>
              <w:ind w:right="1130"/>
              <w:spacing w:after="0"/>
              <w:rPr>
                <w:sz w:val="20"/>
                <w:szCs w:val="20"/>
                <w:color w:val="auto"/>
              </w:rPr>
            </w:pPr>
            <w:r>
              <w:rPr>
                <w:rFonts w:ascii="Arial" w:cs="Arial" w:eastAsia="Arial" w:hAnsi="Arial"/>
                <w:sz w:val="18"/>
                <w:szCs w:val="18"/>
                <w:color w:val="auto"/>
                <w:w w:val="94"/>
              </w:rPr>
              <w:t>2016</w:t>
            </w:r>
          </w:p>
        </w:tc>
      </w:tr>
      <w:tr>
        <w:trPr>
          <w:trHeight w:val="27"/>
        </w:trPr>
        <w:tc>
          <w:tcPr>
            <w:tcW w:w="3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3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87"/>
              </w:rPr>
              <w:t>Variance</w:t>
            </w: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jc w:val="center"/>
              <w:ind w:left="50"/>
              <w:spacing w:after="0"/>
              <w:rPr>
                <w:sz w:val="20"/>
                <w:szCs w:val="20"/>
                <w:color w:val="auto"/>
              </w:rPr>
            </w:pPr>
            <w:r>
              <w:rPr>
                <w:rFonts w:ascii="Arial" w:cs="Arial" w:eastAsia="Arial" w:hAnsi="Arial"/>
                <w:sz w:val="18"/>
                <w:szCs w:val="18"/>
                <w:color w:val="auto"/>
                <w:w w:val="90"/>
              </w:rPr>
              <w:t>Variance</w:t>
            </w:r>
          </w:p>
        </w:tc>
      </w:tr>
      <w:tr>
        <w:trPr>
          <w:trHeight w:val="216"/>
        </w:trPr>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3"/>
              </w:rPr>
              <w:t>from 30-Year</w:t>
            </w:r>
          </w:p>
        </w:tc>
        <w:tc>
          <w:tcPr>
            <w:tcW w:w="1540" w:type="dxa"/>
            <w:vAlign w:val="bottom"/>
          </w:tcPr>
          <w:p>
            <w:pPr>
              <w:jc w:val="center"/>
              <w:ind w:right="110"/>
              <w:spacing w:after="0"/>
              <w:rPr>
                <w:sz w:val="20"/>
                <w:szCs w:val="20"/>
                <w:color w:val="auto"/>
              </w:rPr>
            </w:pPr>
            <w:r>
              <w:rPr>
                <w:rFonts w:ascii="Arial" w:cs="Arial" w:eastAsia="Arial" w:hAnsi="Arial"/>
                <w:sz w:val="18"/>
                <w:szCs w:val="18"/>
                <w:color w:val="auto"/>
                <w:w w:val="90"/>
              </w:rPr>
              <w:t>Actual Variance</w:t>
            </w:r>
          </w:p>
        </w:tc>
        <w:tc>
          <w:tcPr>
            <w:tcW w:w="1040" w:type="dxa"/>
            <w:vAlign w:val="bottom"/>
          </w:tcPr>
          <w:p>
            <w:pPr>
              <w:spacing w:after="0"/>
              <w:rPr>
                <w:sz w:val="18"/>
                <w:szCs w:val="18"/>
                <w:color w:val="auto"/>
              </w:rPr>
            </w:pPr>
          </w:p>
        </w:tc>
        <w:tc>
          <w:tcPr>
            <w:tcW w:w="1620" w:type="dxa"/>
            <w:vAlign w:val="bottom"/>
          </w:tcPr>
          <w:p>
            <w:pPr>
              <w:jc w:val="center"/>
              <w:ind w:left="50"/>
              <w:spacing w:after="0"/>
              <w:rPr>
                <w:sz w:val="20"/>
                <w:szCs w:val="20"/>
                <w:color w:val="auto"/>
              </w:rPr>
            </w:pPr>
            <w:r>
              <w:rPr>
                <w:rFonts w:ascii="Arial" w:cs="Arial" w:eastAsia="Arial" w:hAnsi="Arial"/>
                <w:sz w:val="18"/>
                <w:szCs w:val="18"/>
                <w:color w:val="auto"/>
                <w:w w:val="91"/>
              </w:rPr>
              <w:t>from 30-Year</w:t>
            </w:r>
          </w:p>
        </w:tc>
      </w:tr>
      <w:tr>
        <w:trPr>
          <w:trHeight w:val="257"/>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Heating Degree Days:</w:t>
            </w:r>
          </w:p>
        </w:tc>
        <w:tc>
          <w:tcPr>
            <w:tcW w:w="2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Actual</w:t>
            </w:r>
          </w:p>
        </w:tc>
        <w:tc>
          <w:tcPr>
            <w:tcW w:w="16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6"/>
              </w:rPr>
              <w:t>Average</w:t>
            </w:r>
          </w:p>
        </w:tc>
        <w:tc>
          <w:tcPr>
            <w:tcW w:w="1540" w:type="dxa"/>
            <w:vAlign w:val="bottom"/>
            <w:tcBorders>
              <w:bottom w:val="single" w:sz="8" w:color="auto"/>
            </w:tcBorders>
          </w:tcPr>
          <w:p>
            <w:pPr>
              <w:jc w:val="center"/>
              <w:ind w:right="110"/>
              <w:spacing w:after="0" w:line="257" w:lineRule="exact"/>
              <w:rPr>
                <w:sz w:val="20"/>
                <w:szCs w:val="20"/>
                <w:color w:val="auto"/>
              </w:rPr>
            </w:pPr>
            <w:r>
              <w:rPr>
                <w:rFonts w:ascii="Arial" w:cs="Arial" w:eastAsia="Arial" w:hAnsi="Arial"/>
                <w:sz w:val="18"/>
                <w:szCs w:val="18"/>
                <w:color w:val="auto"/>
                <w:w w:val="87"/>
              </w:rPr>
              <w:t xml:space="preserve">to Prior Year </w:t>
            </w:r>
            <w:r>
              <w:rPr>
                <w:rFonts w:ascii="Arial" w:cs="Arial" w:eastAsia="Arial" w:hAnsi="Arial"/>
                <w:sz w:val="25"/>
                <w:szCs w:val="25"/>
                <w:color w:val="auto"/>
                <w:w w:val="87"/>
                <w:vertAlign w:val="superscript"/>
              </w:rPr>
              <w:t>(c)</w:t>
            </w: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Actual</w:t>
            </w:r>
          </w:p>
        </w:tc>
        <w:tc>
          <w:tcPr>
            <w:tcW w:w="16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Average</w:t>
            </w:r>
          </w:p>
        </w:tc>
      </w:tr>
      <w:tr>
        <w:trPr>
          <w:trHeight w:val="264"/>
        </w:trPr>
        <w:tc>
          <w:tcPr>
            <w:tcW w:w="3180" w:type="dxa"/>
            <w:vAlign w:val="bottom"/>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Arkansas </w:t>
            </w:r>
            <w:r>
              <w:rPr>
                <w:rFonts w:ascii="Arial" w:cs="Arial" w:eastAsia="Arial" w:hAnsi="Arial"/>
                <w:sz w:val="25"/>
                <w:szCs w:val="25"/>
                <w:color w:val="auto"/>
                <w:vertAlign w:val="superscript"/>
              </w:rPr>
              <w:t>(a) (d)</w:t>
            </w:r>
          </w:p>
        </w:tc>
        <w:tc>
          <w:tcPr>
            <w:tcW w:w="2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1,826</w:t>
            </w:r>
          </w:p>
        </w:tc>
        <w:tc>
          <w:tcPr>
            <w:tcW w:w="16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(26)%</w:t>
            </w:r>
          </w:p>
        </w:tc>
        <w:tc>
          <w:tcPr>
            <w:tcW w:w="1540" w:type="dxa"/>
            <w:vAlign w:val="bottom"/>
            <w:shd w:val="clear" w:color="auto" w:fill="CEFFE7"/>
          </w:tcPr>
          <w:p>
            <w:pPr>
              <w:jc w:val="center"/>
              <w:ind w:right="110"/>
              <w:spacing w:after="0"/>
              <w:rPr>
                <w:sz w:val="20"/>
                <w:szCs w:val="20"/>
                <w:color w:val="auto"/>
              </w:rPr>
            </w:pPr>
            <w:r>
              <w:rPr>
                <w:rFonts w:ascii="Arial" w:cs="Arial" w:eastAsia="Arial" w:hAnsi="Arial"/>
                <w:sz w:val="18"/>
                <w:szCs w:val="18"/>
                <w:color w:val="auto"/>
                <w:w w:val="94"/>
              </w:rPr>
              <w:t>52%</w:t>
            </w: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1,198</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Colorado</w:t>
            </w:r>
          </w:p>
        </w:tc>
        <w:tc>
          <w:tcPr>
            <w:tcW w:w="2360" w:type="dxa"/>
            <w:vAlign w:val="bottom"/>
          </w:tcPr>
          <w:p>
            <w:pPr>
              <w:jc w:val="right"/>
              <w:spacing w:after="0"/>
              <w:rPr>
                <w:sz w:val="20"/>
                <w:szCs w:val="20"/>
                <w:color w:val="auto"/>
              </w:rPr>
            </w:pPr>
            <w:r>
              <w:rPr>
                <w:rFonts w:ascii="Arial" w:cs="Arial" w:eastAsia="Arial" w:hAnsi="Arial"/>
                <w:sz w:val="18"/>
                <w:szCs w:val="18"/>
                <w:color w:val="auto"/>
              </w:rPr>
              <w:t>3,541</w:t>
            </w: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c>
          <w:tcPr>
            <w:tcW w:w="1540" w:type="dxa"/>
            <w:vAlign w:val="bottom"/>
          </w:tcPr>
          <w:p>
            <w:pPr>
              <w:jc w:val="center"/>
              <w:ind w:right="130"/>
              <w:spacing w:after="0"/>
              <w:rPr>
                <w:sz w:val="20"/>
                <w:szCs w:val="20"/>
                <w:color w:val="auto"/>
              </w:rPr>
            </w:pPr>
            <w:r>
              <w:rPr>
                <w:rFonts w:ascii="Arial" w:cs="Arial" w:eastAsia="Arial" w:hAnsi="Arial"/>
                <w:sz w:val="18"/>
                <w:szCs w:val="18"/>
                <w:color w:val="auto"/>
                <w:w w:val="94"/>
              </w:rPr>
              <w:t>(4)%</w:t>
            </w:r>
          </w:p>
        </w:tc>
        <w:tc>
          <w:tcPr>
            <w:tcW w:w="1040" w:type="dxa"/>
            <w:vAlign w:val="bottom"/>
          </w:tcPr>
          <w:p>
            <w:pPr>
              <w:jc w:val="right"/>
              <w:spacing w:after="0"/>
              <w:rPr>
                <w:sz w:val="20"/>
                <w:szCs w:val="20"/>
                <w:color w:val="auto"/>
              </w:rPr>
            </w:pPr>
            <w:r>
              <w:rPr>
                <w:rFonts w:ascii="Arial" w:cs="Arial" w:eastAsia="Arial" w:hAnsi="Arial"/>
                <w:sz w:val="18"/>
                <w:szCs w:val="18"/>
                <w:color w:val="auto"/>
              </w:rPr>
              <w:t>3,670</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2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3,280</w:t>
            </w:r>
          </w:p>
        </w:tc>
        <w:tc>
          <w:tcPr>
            <w:tcW w:w="1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w:t>
            </w:r>
          </w:p>
        </w:tc>
        <w:tc>
          <w:tcPr>
            <w:tcW w:w="1540" w:type="dxa"/>
            <w:vAlign w:val="bottom"/>
            <w:tcBorders>
              <w:bottom w:val="single" w:sz="8" w:color="CEFFE7"/>
            </w:tcBorders>
            <w:shd w:val="clear" w:color="auto" w:fill="CEFFE7"/>
          </w:tcPr>
          <w:p>
            <w:pPr>
              <w:jc w:val="center"/>
              <w:ind w:right="130"/>
              <w:spacing w:after="0"/>
              <w:rPr>
                <w:sz w:val="20"/>
                <w:szCs w:val="20"/>
                <w:color w:val="auto"/>
              </w:rPr>
            </w:pPr>
            <w:r>
              <w:rPr>
                <w:rFonts w:ascii="Arial" w:cs="Arial" w:eastAsia="Arial" w:hAnsi="Arial"/>
                <w:sz w:val="18"/>
                <w:szCs w:val="18"/>
                <w:color w:val="auto"/>
                <w:w w:val="94"/>
              </w:rPr>
              <w:t>(1)%</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3,312</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Iowa</w:t>
            </w:r>
          </w:p>
        </w:tc>
        <w:tc>
          <w:tcPr>
            <w:tcW w:w="2360" w:type="dxa"/>
            <w:vAlign w:val="bottom"/>
          </w:tcPr>
          <w:p>
            <w:pPr>
              <w:jc w:val="right"/>
              <w:spacing w:after="0"/>
              <w:rPr>
                <w:sz w:val="20"/>
                <w:szCs w:val="20"/>
                <w:color w:val="auto"/>
              </w:rPr>
            </w:pPr>
            <w:r>
              <w:rPr>
                <w:rFonts w:ascii="Arial" w:cs="Arial" w:eastAsia="Arial" w:hAnsi="Arial"/>
                <w:sz w:val="18"/>
                <w:szCs w:val="18"/>
                <w:color w:val="auto"/>
              </w:rPr>
              <w:t>3,641</w:t>
            </w: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c>
          <w:tcPr>
            <w:tcW w:w="1540" w:type="dxa"/>
            <w:vAlign w:val="bottom"/>
          </w:tcPr>
          <w:p>
            <w:pPr>
              <w:jc w:val="center"/>
              <w:ind w:right="130"/>
              <w:spacing w:after="0"/>
              <w:rPr>
                <w:sz w:val="20"/>
                <w:szCs w:val="20"/>
                <w:color w:val="auto"/>
              </w:rPr>
            </w:pPr>
            <w:r>
              <w:rPr>
                <w:rFonts w:ascii="Arial" w:cs="Arial" w:eastAsia="Arial" w:hAnsi="Arial"/>
                <w:sz w:val="18"/>
                <w:szCs w:val="18"/>
                <w:color w:val="auto"/>
                <w:w w:val="94"/>
              </w:rPr>
              <w:t>(4)%</w:t>
            </w:r>
          </w:p>
        </w:tc>
        <w:tc>
          <w:tcPr>
            <w:tcW w:w="1040" w:type="dxa"/>
            <w:vAlign w:val="bottom"/>
          </w:tcPr>
          <w:p>
            <w:pPr>
              <w:jc w:val="right"/>
              <w:spacing w:after="0"/>
              <w:rPr>
                <w:sz w:val="20"/>
                <w:szCs w:val="20"/>
                <w:color w:val="auto"/>
              </w:rPr>
            </w:pPr>
            <w:r>
              <w:rPr>
                <w:rFonts w:ascii="Arial" w:cs="Arial" w:eastAsia="Arial" w:hAnsi="Arial"/>
                <w:sz w:val="18"/>
                <w:szCs w:val="18"/>
                <w:color w:val="auto"/>
              </w:rPr>
              <w:t>3,783</w:t>
            </w:r>
          </w:p>
        </w:tc>
        <w:tc>
          <w:tcPr>
            <w:tcW w:w="1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(a)</w:t>
            </w:r>
          </w:p>
        </w:tc>
        <w:tc>
          <w:tcPr>
            <w:tcW w:w="2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2,584</w:t>
            </w:r>
          </w:p>
        </w:tc>
        <w:tc>
          <w:tcPr>
            <w:tcW w:w="16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w:t>
            </w:r>
          </w:p>
        </w:tc>
        <w:tc>
          <w:tcPr>
            <w:tcW w:w="1540" w:type="dxa"/>
            <w:vAlign w:val="bottom"/>
            <w:shd w:val="clear" w:color="auto" w:fill="CEFFE7"/>
          </w:tcPr>
          <w:p>
            <w:pPr>
              <w:jc w:val="center"/>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2,596</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Wyoming</w:t>
            </w:r>
          </w:p>
        </w:tc>
        <w:tc>
          <w:tcPr>
            <w:tcW w:w="2360" w:type="dxa"/>
            <w:vAlign w:val="bottom"/>
          </w:tcPr>
          <w:p>
            <w:pPr>
              <w:jc w:val="right"/>
              <w:spacing w:after="0"/>
              <w:rPr>
                <w:sz w:val="20"/>
                <w:szCs w:val="20"/>
                <w:color w:val="auto"/>
              </w:rPr>
            </w:pPr>
            <w:r>
              <w:rPr>
                <w:rFonts w:ascii="Arial" w:cs="Arial" w:eastAsia="Arial" w:hAnsi="Arial"/>
                <w:sz w:val="18"/>
                <w:szCs w:val="18"/>
                <w:color w:val="auto"/>
              </w:rPr>
              <w:t>4,468</w:t>
            </w: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c>
          <w:tcPr>
            <w:tcW w:w="1540" w:type="dxa"/>
            <w:vAlign w:val="bottom"/>
          </w:tcPr>
          <w:p>
            <w:pPr>
              <w:jc w:val="center"/>
              <w:ind w:right="130"/>
              <w:spacing w:after="0"/>
              <w:rPr>
                <w:sz w:val="20"/>
                <w:szCs w:val="20"/>
                <w:color w:val="auto"/>
              </w:rPr>
            </w:pPr>
            <w:r>
              <w:rPr>
                <w:rFonts w:ascii="Arial" w:cs="Arial" w:eastAsia="Arial" w:hAnsi="Arial"/>
                <w:sz w:val="18"/>
                <w:szCs w:val="18"/>
                <w:color w:val="auto"/>
                <w:w w:val="92"/>
              </w:rPr>
              <w:t>3%</w:t>
            </w:r>
          </w:p>
        </w:tc>
        <w:tc>
          <w:tcPr>
            <w:tcW w:w="1040" w:type="dxa"/>
            <w:vAlign w:val="bottom"/>
          </w:tcPr>
          <w:p>
            <w:pPr>
              <w:jc w:val="right"/>
              <w:spacing w:after="0"/>
              <w:rPr>
                <w:sz w:val="20"/>
                <w:szCs w:val="20"/>
                <w:color w:val="auto"/>
              </w:rPr>
            </w:pPr>
            <w:r>
              <w:rPr>
                <w:rFonts w:ascii="Arial" w:cs="Arial" w:eastAsia="Arial" w:hAnsi="Arial"/>
                <w:sz w:val="18"/>
                <w:szCs w:val="18"/>
                <w:color w:val="auto"/>
              </w:rPr>
              <w:t>4,334</w:t>
            </w: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(b) (d)</w:t>
            </w:r>
          </w:p>
        </w:tc>
        <w:tc>
          <w:tcPr>
            <w:tcW w:w="2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3,521</w:t>
            </w:r>
          </w:p>
        </w:tc>
        <w:tc>
          <w:tcPr>
            <w:tcW w:w="16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(12)%</w:t>
            </w:r>
          </w:p>
        </w:tc>
        <w:tc>
          <w:tcPr>
            <w:tcW w:w="1540" w:type="dxa"/>
            <w:vAlign w:val="bottom"/>
            <w:shd w:val="clear" w:color="auto" w:fill="CEFFE7"/>
          </w:tcPr>
          <w:p>
            <w:pPr>
              <w:jc w:val="center"/>
              <w:ind w:right="110"/>
              <w:spacing w:after="0"/>
              <w:rPr>
                <w:sz w:val="20"/>
                <w:szCs w:val="20"/>
                <w:color w:val="auto"/>
              </w:rPr>
            </w:pPr>
            <w:r>
              <w:rPr>
                <w:rFonts w:ascii="Arial" w:cs="Arial" w:eastAsia="Arial" w:hAnsi="Arial"/>
                <w:sz w:val="18"/>
                <w:szCs w:val="18"/>
                <w:color w:val="auto"/>
                <w:w w:val="94"/>
              </w:rPr>
              <w:t>10%</w:t>
            </w: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3,215</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(20)%</w:t>
            </w:r>
          </w:p>
        </w:tc>
      </w:tr>
      <w:tr>
        <w:trPr>
          <w:trHeight w:val="180"/>
        </w:trPr>
        <w:tc>
          <w:tcPr>
            <w:tcW w:w="3180" w:type="dxa"/>
            <w:vAlign w:val="bottom"/>
          </w:tcPr>
          <w:p>
            <w:pPr>
              <w:spacing w:after="0" w:line="180" w:lineRule="exact"/>
              <w:rPr>
                <w:sz w:val="20"/>
                <w:szCs w:val="20"/>
                <w:color w:val="auto"/>
              </w:rPr>
            </w:pPr>
            <w:r>
              <w:rPr>
                <w:rFonts w:ascii="Arial" w:cs="Arial" w:eastAsia="Arial" w:hAnsi="Arial"/>
                <w:sz w:val="18"/>
                <w:szCs w:val="18"/>
                <w:color w:val="auto"/>
              </w:rPr>
              <w:t>__________</w:t>
            </w:r>
          </w:p>
        </w:tc>
        <w:tc>
          <w:tcPr>
            <w:tcW w:w="2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20" w:type="dxa"/>
            <w:vAlign w:val="bottom"/>
          </w:tcPr>
          <w:p>
            <w:pPr>
              <w:spacing w:after="0"/>
              <w:rPr>
                <w:sz w:val="15"/>
                <w:szCs w:val="15"/>
                <w:color w:val="auto"/>
              </w:rPr>
            </w:pPr>
          </w:p>
        </w:tc>
      </w:tr>
    </w:tbl>
    <w:p>
      <w:pPr>
        <w:ind w:left="340" w:right="140" w:hanging="332"/>
        <w:spacing w:after="0" w:line="263" w:lineRule="auto"/>
        <w:tabs>
          <w:tab w:leader="none" w:pos="3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Arkansas has a weather normalization mechanism in effect during the months of November through April for customers with residential and business rate schedules. Kansas Gas has an approved weather normalization mechanism within its residential and business rate structure, which minimizes weather impact on gross margins. The weather normalization mechanism in Arkansas differs from that in Kansas in that it only uses one location to calculate the weather, compared to Kansas, which uses multiple locations. The weather normalization mechanism in Arkansas minimizes weather impact, but does not eliminate the impact.</w:t>
      </w:r>
    </w:p>
    <w:p>
      <w:pPr>
        <w:ind w:left="340" w:right="640" w:hanging="332"/>
        <w:spacing w:after="0" w:line="28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Distribution is partially excluded based on the weather normalization mechanism in effect from November through April.</w:t>
      </w:r>
    </w:p>
    <w:p>
      <w:pPr>
        <w:spacing w:after="0" w:line="1" w:lineRule="exact"/>
        <w:rPr>
          <w:rFonts w:ascii="Arial" w:cs="Arial" w:eastAsia="Arial" w:hAnsi="Arial"/>
          <w:sz w:val="14"/>
          <w:szCs w:val="14"/>
          <w:color w:val="auto"/>
        </w:rPr>
      </w:pPr>
    </w:p>
    <w:p>
      <w:pPr>
        <w:ind w:left="340" w:right="40" w:hanging="332"/>
        <w:spacing w:after="0" w:line="246"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actual variance in heating degree days for the nine months ended September 30, 2017 compared to prior year is not a reasonable measurement of weather impacts due to the exclusion of the pre-acquisition heating degree days for the SourceGas utilities in Arkansas, Colorado, Nebraska and Wyoming. These utilities were acquired on February 12, 2016.</w:t>
      </w:r>
    </w:p>
    <w:p>
      <w:pPr>
        <w:spacing w:after="0" w:line="1" w:lineRule="exact"/>
        <w:rPr>
          <w:rFonts w:ascii="Arial" w:cs="Arial" w:eastAsia="Arial" w:hAnsi="Arial"/>
          <w:sz w:val="16"/>
          <w:szCs w:val="16"/>
          <w:color w:val="auto"/>
        </w:rPr>
      </w:pPr>
    </w:p>
    <w:p>
      <w:pPr>
        <w:ind w:left="340" w:right="80" w:hanging="332"/>
        <w:spacing w:after="0" w:line="25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2016, the 30-year weather average for Arkansas was calculated on average actual daily temperatures. To conform to current year comparisons to normal, the 2016 variances for Arkansas compared to normal and the 2016 combined variance compared to normal have been updated for both the three and nine months ended September 30, 2016.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4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auto"/>
        </w:rPr>
        <w:t>Regulatory Matters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more information on enacted regulatory provisions with respect to the states in which our Utilities operate, see Part I, Items 1 and 2 of our 2016 Annual Report on Form 10-K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Electric Utilities Rates and Rate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 Dakota Electric Settlement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16, 2017, South Dakota Electric received approval from the SDPUC on a settlement reached with the SDPUC staff agreeing to a six-year moratorium period effective July 1, 2017. As part of this agreement, South Dakota Electric will not increase base rates, absent an extraordinary event. The moratorium period also includes suspension of both the Transmission Facility Adjustment and the Environmental Improvement Adjustment, and a $1.0 million increase to the annual power marketing margin guarantee during this period. Additionally, existing regulatory asset balances of approximately $13 million related to decommissioning and Winter Storm Atlas are being amortized over the moratorium period. These balances were previously being amortized over a 10-year period ending September 30, 2024. The vegetation management regulatory asset of $14 million, previously unamortized, will also be amortized over the moratorium period. The change in amortization periods for these costs will increase annual amortization expense by approximately $2.7 million.</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June 16, 2017 settlement had no impact to base rates. The following table illustrates information about certain enacted regulatory provisions with respect to South Dakota Electric:</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Authorized</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Authorized</w:t>
            </w:r>
          </w:p>
        </w:tc>
        <w:tc>
          <w:tcPr>
            <w:tcW w:w="1320" w:type="dxa"/>
            <w:vAlign w:val="bottom"/>
          </w:tcPr>
          <w:p>
            <w:pPr>
              <w:jc w:val="center"/>
              <w:spacing w:after="0"/>
              <w:rPr>
                <w:sz w:val="20"/>
                <w:szCs w:val="20"/>
                <w:color w:val="auto"/>
              </w:rPr>
            </w:pPr>
            <w:r>
              <w:rPr>
                <w:rFonts w:ascii="Arial" w:cs="Arial" w:eastAsia="Arial" w:hAnsi="Arial"/>
                <w:sz w:val="16"/>
                <w:szCs w:val="16"/>
                <w:color w:val="auto"/>
                <w:w w:val="94"/>
              </w:rPr>
              <w:t>Authorized</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Authorized</w:t>
            </w:r>
          </w:p>
        </w:tc>
        <w:tc>
          <w:tcPr>
            <w:tcW w:w="8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60" w:type="dxa"/>
            <w:vAlign w:val="bottom"/>
          </w:tcPr>
          <w:p>
            <w:pPr>
              <w:jc w:val="center"/>
              <w:ind w:left="26"/>
              <w:spacing w:after="0"/>
              <w:rPr>
                <w:sz w:val="20"/>
                <w:szCs w:val="20"/>
                <w:color w:val="auto"/>
              </w:rPr>
            </w:pPr>
            <w:r>
              <w:rPr>
                <w:rFonts w:ascii="Arial" w:cs="Arial" w:eastAsia="Arial" w:hAnsi="Arial"/>
                <w:sz w:val="14"/>
                <w:szCs w:val="14"/>
                <w:color w:val="auto"/>
                <w:w w:val="91"/>
              </w:rPr>
              <w:t>Percentage of Power</w:t>
            </w: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2"/>
              </w:rPr>
              <w:t>Rate of Return</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93"/>
              </w:rPr>
              <w:t>Return on</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w w:val="92"/>
              </w:rPr>
              <w:t>Capital Structure</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0"/>
              </w:rPr>
              <w:t>Rate Base (in</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7"/>
              </w:rPr>
              <w:t>Effective</w:t>
            </w:r>
          </w:p>
        </w:tc>
        <w:tc>
          <w:tcPr>
            <w:tcW w:w="2580" w:type="dxa"/>
            <w:vAlign w:val="bottom"/>
          </w:tcPr>
          <w:p>
            <w:pPr>
              <w:spacing w:after="0"/>
              <w:rPr>
                <w:sz w:val="12"/>
                <w:szCs w:val="12"/>
                <w:color w:val="auto"/>
              </w:rPr>
            </w:pPr>
          </w:p>
        </w:tc>
        <w:tc>
          <w:tcPr>
            <w:tcW w:w="1460" w:type="dxa"/>
            <w:vAlign w:val="bottom"/>
          </w:tcPr>
          <w:p>
            <w:pPr>
              <w:jc w:val="center"/>
              <w:ind w:left="26"/>
              <w:spacing w:after="0" w:line="143" w:lineRule="exact"/>
              <w:rPr>
                <w:sz w:val="20"/>
                <w:szCs w:val="20"/>
                <w:color w:val="auto"/>
              </w:rPr>
            </w:pPr>
            <w:r>
              <w:rPr>
                <w:rFonts w:ascii="Arial" w:cs="Arial" w:eastAsia="Arial" w:hAnsi="Arial"/>
                <w:sz w:val="14"/>
                <w:szCs w:val="14"/>
                <w:color w:val="auto"/>
                <w:w w:val="97"/>
              </w:rPr>
              <w:t>Marketing Profit</w:t>
            </w:r>
          </w:p>
        </w:tc>
        <w:tc>
          <w:tcPr>
            <w:tcW w:w="0" w:type="dxa"/>
            <w:vAlign w:val="bottom"/>
          </w:tcPr>
          <w:p>
            <w:pPr>
              <w:spacing w:after="0"/>
              <w:rPr>
                <w:sz w:val="1"/>
                <w:szCs w:val="1"/>
                <w:color w:val="auto"/>
              </w:rPr>
            </w:pPr>
          </w:p>
        </w:tc>
      </w:tr>
      <w:tr>
        <w:trPr>
          <w:trHeight w:val="103"/>
        </w:trPr>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580" w:type="dxa"/>
            <w:vAlign w:val="bottom"/>
          </w:tcPr>
          <w:p>
            <w:pPr>
              <w:spacing w:after="0"/>
              <w:rPr>
                <w:sz w:val="8"/>
                <w:szCs w:val="8"/>
                <w:color w:val="auto"/>
              </w:rPr>
            </w:pPr>
          </w:p>
        </w:tc>
        <w:tc>
          <w:tcPr>
            <w:tcW w:w="1460" w:type="dxa"/>
            <w:vAlign w:val="bottom"/>
            <w:vMerge w:val="restart"/>
          </w:tcPr>
          <w:p>
            <w:pPr>
              <w:jc w:val="center"/>
              <w:ind w:left="26"/>
              <w:spacing w:after="0" w:line="149" w:lineRule="exact"/>
              <w:rPr>
                <w:sz w:val="20"/>
                <w:szCs w:val="20"/>
                <w:color w:val="auto"/>
              </w:rPr>
            </w:pPr>
            <w:r>
              <w:rPr>
                <w:rFonts w:ascii="Arial" w:cs="Arial" w:eastAsia="Arial" w:hAnsi="Arial"/>
                <w:sz w:val="14"/>
                <w:szCs w:val="14"/>
                <w:color w:val="auto"/>
                <w:w w:val="91"/>
              </w:rPr>
              <w:t>Shared with</w:t>
            </w:r>
          </w:p>
        </w:tc>
        <w:tc>
          <w:tcPr>
            <w:tcW w:w="0" w:type="dxa"/>
            <w:vAlign w:val="bottom"/>
          </w:tcPr>
          <w:p>
            <w:pPr>
              <w:spacing w:after="0"/>
              <w:rPr>
                <w:sz w:val="1"/>
                <w:szCs w:val="1"/>
                <w:color w:val="auto"/>
              </w:rPr>
            </w:pPr>
          </w:p>
        </w:tc>
      </w:tr>
      <w:tr>
        <w:trPr>
          <w:trHeight w:val="45"/>
        </w:trPr>
        <w:tc>
          <w:tcPr>
            <w:tcW w:w="1120" w:type="dxa"/>
            <w:vAlign w:val="bottom"/>
            <w:vMerge w:val="restart"/>
          </w:tcPr>
          <w:p>
            <w:pPr>
              <w:jc w:val="right"/>
              <w:ind w:right="119"/>
              <w:spacing w:after="0"/>
              <w:rPr>
                <w:sz w:val="20"/>
                <w:szCs w:val="20"/>
                <w:color w:val="auto"/>
              </w:rPr>
            </w:pPr>
            <w:r>
              <w:rPr>
                <w:rFonts w:ascii="Arial" w:cs="Arial" w:eastAsia="Arial" w:hAnsi="Arial"/>
                <w:sz w:val="16"/>
                <w:szCs w:val="16"/>
                <w:color w:val="auto"/>
              </w:rPr>
              <w:t>Subsidiary</w:t>
            </w:r>
          </w:p>
        </w:tc>
        <w:tc>
          <w:tcPr>
            <w:tcW w:w="1020" w:type="dxa"/>
            <w:vAlign w:val="bottom"/>
            <w:vMerge w:val="restart"/>
          </w:tcPr>
          <w:p>
            <w:pPr>
              <w:jc w:val="center"/>
              <w:ind w:left="19"/>
              <w:spacing w:after="0"/>
              <w:rPr>
                <w:sz w:val="20"/>
                <w:szCs w:val="20"/>
                <w:color w:val="auto"/>
              </w:rPr>
            </w:pPr>
            <w:r>
              <w:rPr>
                <w:rFonts w:ascii="Arial" w:cs="Arial" w:eastAsia="Arial" w:hAnsi="Arial"/>
                <w:sz w:val="16"/>
                <w:szCs w:val="16"/>
                <w:color w:val="auto"/>
                <w:w w:val="94"/>
              </w:rPr>
              <w:t>Jurisdiction</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5"/>
              </w:rPr>
              <w:t>on Equity</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8"/>
              </w:rPr>
              <w:t>Rate Base</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w w:val="96"/>
              </w:rPr>
              <w:t>Debt/Equity</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millions)</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8"/>
              </w:rPr>
              <w:t>Date</w:t>
            </w:r>
          </w:p>
        </w:tc>
        <w:tc>
          <w:tcPr>
            <w:tcW w:w="2580" w:type="dxa"/>
            <w:vAlign w:val="bottom"/>
            <w:vMerge w:val="restart"/>
          </w:tcPr>
          <w:p>
            <w:pPr>
              <w:ind w:left="620"/>
              <w:spacing w:after="0"/>
              <w:rPr>
                <w:sz w:val="20"/>
                <w:szCs w:val="20"/>
                <w:color w:val="auto"/>
              </w:rPr>
            </w:pPr>
            <w:r>
              <w:rPr>
                <w:rFonts w:ascii="Arial" w:cs="Arial" w:eastAsia="Arial" w:hAnsi="Arial"/>
                <w:sz w:val="16"/>
                <w:szCs w:val="16"/>
                <w:color w:val="auto"/>
              </w:rPr>
              <w:t>Tariff and Rate Matters</w:t>
            </w: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58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color w:val="auto"/>
                <w:w w:val="88"/>
              </w:rPr>
              <w:t>Customers</w:t>
            </w:r>
          </w:p>
        </w:tc>
        <w:tc>
          <w:tcPr>
            <w:tcW w:w="0" w:type="dxa"/>
            <w:vAlign w:val="bottom"/>
          </w:tcPr>
          <w:p>
            <w:pPr>
              <w:spacing w:after="0"/>
              <w:rPr>
                <w:sz w:val="1"/>
                <w:szCs w:val="1"/>
                <w:color w:val="auto"/>
              </w:rPr>
            </w:pPr>
          </w:p>
        </w:tc>
      </w:tr>
      <w:tr>
        <w:trPr>
          <w:trHeight w:val="219"/>
        </w:trPr>
        <w:tc>
          <w:tcPr>
            <w:tcW w:w="11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w w:val="92"/>
              </w:rPr>
              <w:t>South Dakota</w:t>
            </w:r>
          </w:p>
        </w:tc>
        <w:tc>
          <w:tcPr>
            <w:tcW w:w="1020" w:type="dxa"/>
            <w:vAlign w:val="bottom"/>
            <w:shd w:val="clear" w:color="auto" w:fill="CEFFE7"/>
          </w:tcPr>
          <w:p>
            <w:pPr>
              <w:spacing w:after="0"/>
              <w:rPr>
                <w:sz w:val="19"/>
                <w:szCs w:val="19"/>
                <w:color w:val="auto"/>
              </w:rPr>
            </w:pP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5"/>
              </w:rPr>
              <w:t>Global</w:t>
            </w:r>
          </w:p>
        </w:tc>
        <w:tc>
          <w:tcPr>
            <w:tcW w:w="920" w:type="dxa"/>
            <w:vAlign w:val="bottom"/>
            <w:shd w:val="clear" w:color="auto" w:fill="CEFFE7"/>
          </w:tcPr>
          <w:p>
            <w:pPr>
              <w:spacing w:after="0"/>
              <w:rPr>
                <w:sz w:val="19"/>
                <w:szCs w:val="19"/>
                <w:color w:val="auto"/>
              </w:rPr>
            </w:pPr>
          </w:p>
        </w:tc>
        <w:tc>
          <w:tcPr>
            <w:tcW w:w="132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2580" w:type="dxa"/>
            <w:vAlign w:val="bottom"/>
            <w:shd w:val="clear" w:color="auto" w:fill="CEFFE7"/>
          </w:tcPr>
          <w:p>
            <w:pPr>
              <w:ind w:left="80"/>
              <w:spacing w:after="0"/>
              <w:rPr>
                <w:sz w:val="20"/>
                <w:szCs w:val="20"/>
                <w:color w:val="auto"/>
              </w:rPr>
            </w:pPr>
            <w:r>
              <w:rPr>
                <w:rFonts w:ascii="Arial" w:cs="Arial" w:eastAsia="Arial" w:hAnsi="Arial"/>
                <w:sz w:val="16"/>
                <w:szCs w:val="16"/>
                <w:color w:val="auto"/>
              </w:rPr>
              <w:t>ECA, TCA, Energy Efficiency Cost</w:t>
            </w:r>
          </w:p>
        </w:tc>
        <w:tc>
          <w:tcPr>
            <w:tcW w:w="14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20" w:type="dxa"/>
            <w:vAlign w:val="bottom"/>
            <w:shd w:val="clear" w:color="auto" w:fill="CEFFE7"/>
          </w:tcPr>
          <w:p>
            <w:pPr>
              <w:jc w:val="right"/>
              <w:ind w:right="499"/>
              <w:spacing w:after="0"/>
              <w:rPr>
                <w:sz w:val="20"/>
                <w:szCs w:val="20"/>
                <w:color w:val="auto"/>
              </w:rPr>
            </w:pPr>
            <w:r>
              <w:rPr>
                <w:rFonts w:ascii="Arial" w:cs="Arial" w:eastAsia="Arial" w:hAnsi="Arial"/>
                <w:sz w:val="16"/>
                <w:szCs w:val="16"/>
                <w:color w:val="auto"/>
                <w:w w:val="99"/>
              </w:rPr>
              <w:t>Electric</w:t>
            </w:r>
          </w:p>
        </w:tc>
        <w:tc>
          <w:tcPr>
            <w:tcW w:w="102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w w:val="89"/>
              </w:rPr>
              <w:t>SD</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Settlement</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7.76%</w:t>
            </w:r>
          </w:p>
        </w:tc>
        <w:tc>
          <w:tcPr>
            <w:tcW w:w="13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Global Settlement</w:t>
            </w:r>
          </w:p>
        </w:tc>
        <w:tc>
          <w:tcPr>
            <w:tcW w:w="10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$543.9</w:t>
            </w:r>
          </w:p>
        </w:tc>
        <w:tc>
          <w:tcPr>
            <w:tcW w:w="8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10/2014</w:t>
            </w:r>
          </w:p>
        </w:tc>
        <w:tc>
          <w:tcPr>
            <w:tcW w:w="2580" w:type="dxa"/>
            <w:vAlign w:val="bottom"/>
            <w:shd w:val="clear" w:color="auto" w:fill="CEFFE7"/>
          </w:tcPr>
          <w:p>
            <w:pPr>
              <w:ind w:left="80"/>
              <w:spacing w:after="0"/>
              <w:rPr>
                <w:sz w:val="20"/>
                <w:szCs w:val="20"/>
                <w:color w:val="auto"/>
              </w:rPr>
            </w:pPr>
            <w:r>
              <w:rPr>
                <w:rFonts w:ascii="Arial" w:cs="Arial" w:eastAsia="Arial" w:hAnsi="Arial"/>
                <w:sz w:val="16"/>
                <w:szCs w:val="16"/>
                <w:color w:val="auto"/>
              </w:rPr>
              <w:t>Recovery/DSM</w:t>
            </w:r>
          </w:p>
        </w:tc>
        <w:tc>
          <w:tcPr>
            <w:tcW w:w="1460" w:type="dxa"/>
            <w:vAlign w:val="bottom"/>
            <w:shd w:val="clear" w:color="auto" w:fill="CEFFE7"/>
          </w:tcPr>
          <w:p>
            <w:pPr>
              <w:jc w:val="center"/>
              <w:ind w:left="6"/>
              <w:spacing w:after="0"/>
              <w:rPr>
                <w:sz w:val="20"/>
                <w:szCs w:val="20"/>
                <w:color w:val="auto"/>
              </w:rPr>
            </w:pPr>
            <w:r>
              <w:rPr>
                <w:rFonts w:ascii="Arial" w:cs="Arial" w:eastAsia="Arial" w:hAnsi="Arial"/>
                <w:sz w:val="16"/>
                <w:szCs w:val="16"/>
                <w:color w:val="auto"/>
                <w:w w:val="93"/>
              </w:rPr>
              <w:t>70%</w:t>
            </w:r>
          </w:p>
        </w:tc>
        <w:tc>
          <w:tcPr>
            <w:tcW w:w="0" w:type="dxa"/>
            <w:vAlign w:val="bottom"/>
          </w:tcPr>
          <w:p>
            <w:pPr>
              <w:spacing w:after="0"/>
              <w:rPr>
                <w:sz w:val="1"/>
                <w:szCs w:val="1"/>
                <w:color w:val="auto"/>
              </w:rPr>
            </w:pPr>
          </w:p>
        </w:tc>
      </w:tr>
      <w:tr>
        <w:trPr>
          <w:trHeight w:val="33"/>
        </w:trPr>
        <w:tc>
          <w:tcPr>
            <w:tcW w:w="1120" w:type="dxa"/>
            <w:vAlign w:val="bottom"/>
            <w:shd w:val="clear" w:color="auto" w:fill="CEFFE7"/>
          </w:tcPr>
          <w:p>
            <w:pPr>
              <w:spacing w:after="0"/>
              <w:rPr>
                <w:sz w:val="2"/>
                <w:szCs w:val="2"/>
                <w:color w:val="auto"/>
              </w:rPr>
            </w:pPr>
          </w:p>
        </w:tc>
        <w:tc>
          <w:tcPr>
            <w:tcW w:w="102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c>
          <w:tcPr>
            <w:tcW w:w="920" w:type="dxa"/>
            <w:vAlign w:val="bottom"/>
            <w:shd w:val="clear" w:color="auto" w:fill="CEFFE7"/>
          </w:tcPr>
          <w:p>
            <w:pPr>
              <w:spacing w:after="0"/>
              <w:rPr>
                <w:sz w:val="2"/>
                <w:szCs w:val="2"/>
                <w:color w:val="auto"/>
              </w:rPr>
            </w:pPr>
          </w:p>
        </w:tc>
        <w:tc>
          <w:tcPr>
            <w:tcW w:w="1320" w:type="dxa"/>
            <w:vAlign w:val="bottom"/>
            <w:shd w:val="clear" w:color="auto" w:fill="CEFFE7"/>
          </w:tcPr>
          <w:p>
            <w:pPr>
              <w:spacing w:after="0"/>
              <w:rPr>
                <w:sz w:val="2"/>
                <w:szCs w:val="2"/>
                <w:color w:val="auto"/>
              </w:rPr>
            </w:pPr>
          </w:p>
        </w:tc>
        <w:tc>
          <w:tcPr>
            <w:tcW w:w="1060" w:type="dxa"/>
            <w:vAlign w:val="bottom"/>
            <w:shd w:val="clear" w:color="auto" w:fill="CEFFE7"/>
          </w:tcPr>
          <w:p>
            <w:pPr>
              <w:spacing w:after="0"/>
              <w:rPr>
                <w:sz w:val="2"/>
                <w:szCs w:val="2"/>
                <w:color w:val="auto"/>
              </w:rPr>
            </w:pPr>
          </w:p>
        </w:tc>
        <w:tc>
          <w:tcPr>
            <w:tcW w:w="800" w:type="dxa"/>
            <w:vAlign w:val="bottom"/>
            <w:shd w:val="clear" w:color="auto" w:fill="CEFFE7"/>
          </w:tcPr>
          <w:p>
            <w:pPr>
              <w:spacing w:after="0"/>
              <w:rPr>
                <w:sz w:val="2"/>
                <w:szCs w:val="2"/>
                <w:color w:val="auto"/>
              </w:rPr>
            </w:pPr>
          </w:p>
        </w:tc>
        <w:tc>
          <w:tcPr>
            <w:tcW w:w="2580" w:type="dxa"/>
            <w:vAlign w:val="bottom"/>
            <w:shd w:val="clear" w:color="auto" w:fill="CEFFE7"/>
          </w:tcPr>
          <w:p>
            <w:pPr>
              <w:spacing w:after="0"/>
              <w:rPr>
                <w:sz w:val="2"/>
                <w:szCs w:val="2"/>
                <w:color w:val="auto"/>
              </w:rPr>
            </w:pPr>
          </w:p>
        </w:tc>
        <w:tc>
          <w:tcPr>
            <w:tcW w:w="1460" w:type="dxa"/>
            <w:vAlign w:val="bottom"/>
            <w:shd w:val="clear" w:color="auto" w:fill="CEFF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Colorado Electric Rate Case filing</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December 19, 2016, Colorado Electric received approval from the CPUC to increase its annual revenues by $1.2 million to recover investments in a $63 million, 40 MW natural gas-fired combustion turbine and normal increases in operating expenses. This increase is in addition to approximately $5.9 million in annualized revenue being recovered under the Clean Air-Clean Jobs Act construction financing rider. The turbine was completed in the fourth quarter of 2016, achieving commercial operation on December 29, 2016. The approval allowed a return on rate base of 6.02% for this turbine, with a 9.37% return on equity and a capital structure of 67.34% debt and 32.66% equity. An authorized return on rate base of 7.4% was received for the remaining system investments, with a return on equity of 9.37% and an approved capital structure of 47.6% debt and 52.4% equity.</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9, 2017, we filed an application with the CPUC for rehearing, reargument or reconsideration of the Commission’s December 19, 2016 decision which reduced our proposed $8.9 million annual revenue increase to $1.2 million. This application was denied by the CPUC on June 9, 2017. We subsequently filed an appeal of this decision with Denver District Court on July 10, 2017. The briefing schedule runs through November 2017. The timing of a ruling is uncertain.</w:t>
      </w:r>
    </w:p>
    <w:p>
      <w:pPr>
        <w:spacing w:after="0" w:line="18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believe the CPUC made errors in their December decision by demonstrating bias, making decisions not supported by evidence, making findings inconsistent with cost-recovery provisions of the Colorado Clean Air-Clean Jobs Act and the Commission’s own prior decisions, and treating Colorado Electric differently than other regulated utilities in Colorado have been treated in similar situations.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Gas Utilities Rates and Rate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RMNG Rate Review</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October 3, 2017, RMNG filed a rate review application with the CPUC requesting an annual increase in revenue of $2.2 million and an extension of SSIR to recover costs from 2018 through 2022. The annual increase is based on a return on equity of 12.25% and a capital structure of 53.37% debt and 46.63% equity. This rate review was driven by the impending expiration of the SSIR on May 31, 2018; this application requests a continuation of the SSIR through 2022.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0"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The following table summarizes recent activity of certain state and federal rate reviews, riders and surcharges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Revenue Amount</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Revenue Amount</w:t>
            </w:r>
          </w:p>
        </w:tc>
      </w:tr>
      <w:tr>
        <w:trPr>
          <w:trHeight w:val="234"/>
        </w:trPr>
        <w:tc>
          <w:tcPr>
            <w:tcW w:w="2940" w:type="dxa"/>
            <w:vAlign w:val="bottom"/>
          </w:tcPr>
          <w:p>
            <w:pPr>
              <w:spacing w:after="0"/>
              <w:rPr>
                <w:sz w:val="20"/>
                <w:szCs w:val="20"/>
                <w:color w:val="auto"/>
              </w:rPr>
            </w:pPr>
          </w:p>
        </w:tc>
        <w:tc>
          <w:tcPr>
            <w:tcW w:w="2540" w:type="dxa"/>
            <w:vAlign w:val="bottom"/>
          </w:tcPr>
          <w:p>
            <w:pPr>
              <w:jc w:val="center"/>
              <w:ind w:left="530"/>
              <w:spacing w:after="0"/>
              <w:rPr>
                <w:sz w:val="20"/>
                <w:szCs w:val="20"/>
                <w:color w:val="auto"/>
              </w:rPr>
            </w:pPr>
            <w:r>
              <w:rPr>
                <w:rFonts w:ascii="Arial" w:cs="Arial" w:eastAsia="Arial" w:hAnsi="Arial"/>
                <w:sz w:val="18"/>
                <w:szCs w:val="18"/>
                <w:b w:val="1"/>
                <w:bCs w:val="1"/>
                <w:color w:val="auto"/>
                <w:w w:val="87"/>
              </w:rPr>
              <w:t>Type of Service</w:t>
            </w:r>
          </w:p>
        </w:tc>
        <w:tc>
          <w:tcPr>
            <w:tcW w:w="1520" w:type="dxa"/>
            <w:vAlign w:val="bottom"/>
          </w:tcPr>
          <w:p>
            <w:pPr>
              <w:ind w:left="160"/>
              <w:spacing w:after="0"/>
              <w:rPr>
                <w:sz w:val="20"/>
                <w:szCs w:val="20"/>
                <w:color w:val="auto"/>
              </w:rPr>
            </w:pPr>
            <w:r>
              <w:rPr>
                <w:rFonts w:ascii="Arial" w:cs="Arial" w:eastAsia="Arial" w:hAnsi="Arial"/>
                <w:sz w:val="18"/>
                <w:szCs w:val="18"/>
                <w:b w:val="1"/>
                <w:bCs w:val="1"/>
                <w:color w:val="auto"/>
                <w:w w:val="98"/>
              </w:rPr>
              <w:t>Date Requested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Effective Date</w:t>
            </w:r>
          </w:p>
        </w:tc>
        <w:tc>
          <w:tcPr>
            <w:tcW w:w="3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Requested</w:t>
            </w:r>
          </w:p>
        </w:tc>
        <w:tc>
          <w:tcPr>
            <w:tcW w:w="26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Approved</w:t>
            </w:r>
          </w:p>
        </w:tc>
      </w:tr>
      <w:tr>
        <w:trPr>
          <w:trHeight w:val="27"/>
        </w:trPr>
        <w:tc>
          <w:tcPr>
            <w:tcW w:w="29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294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Arkansas Stockton Storage </w:t>
            </w:r>
            <w:r>
              <w:rPr>
                <w:rFonts w:ascii="Arial" w:cs="Arial" w:eastAsia="Arial" w:hAnsi="Arial"/>
                <w:sz w:val="25"/>
                <w:szCs w:val="25"/>
                <w:color w:val="auto"/>
                <w:vertAlign w:val="superscript"/>
              </w:rPr>
              <w:t>(a)</w:t>
            </w:r>
          </w:p>
        </w:tc>
        <w:tc>
          <w:tcPr>
            <w:tcW w:w="2540" w:type="dxa"/>
            <w:vAlign w:val="bottom"/>
            <w:shd w:val="clear" w:color="auto" w:fill="CEFFE7"/>
          </w:tcPr>
          <w:p>
            <w:pPr>
              <w:jc w:val="center"/>
              <w:ind w:left="530"/>
              <w:spacing w:after="0"/>
              <w:rPr>
                <w:sz w:val="20"/>
                <w:szCs w:val="20"/>
                <w:color w:val="auto"/>
              </w:rPr>
            </w:pPr>
            <w:r>
              <w:rPr>
                <w:rFonts w:ascii="Arial" w:cs="Arial" w:eastAsia="Arial" w:hAnsi="Arial"/>
                <w:sz w:val="18"/>
                <w:szCs w:val="18"/>
                <w:color w:val="auto"/>
                <w:w w:val="87"/>
              </w:rPr>
              <w:t>Gas - storage</w:t>
            </w:r>
          </w:p>
        </w:tc>
        <w:tc>
          <w:tcPr>
            <w:tcW w:w="15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11/2016</w:t>
            </w:r>
          </w:p>
        </w:tc>
        <w:tc>
          <w:tcPr>
            <w:tcW w:w="13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1/2017</w:t>
            </w:r>
          </w:p>
        </w:tc>
        <w:tc>
          <w:tcPr>
            <w:tcW w:w="3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2.6</w:t>
            </w:r>
          </w:p>
        </w:tc>
      </w:tr>
      <w:tr>
        <w:trPr>
          <w:trHeight w:val="270"/>
        </w:trPr>
        <w:tc>
          <w:tcPr>
            <w:tcW w:w="29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Arkansas MRP/ARMRP </w:t>
            </w:r>
            <w:r>
              <w:rPr>
                <w:rFonts w:ascii="Arial" w:cs="Arial" w:eastAsia="Arial" w:hAnsi="Arial"/>
                <w:sz w:val="25"/>
                <w:szCs w:val="25"/>
                <w:color w:val="auto"/>
                <w:vertAlign w:val="superscript"/>
              </w:rPr>
              <w:t>(b)</w:t>
            </w:r>
          </w:p>
        </w:tc>
        <w:tc>
          <w:tcPr>
            <w:tcW w:w="2540" w:type="dxa"/>
            <w:vAlign w:val="bottom"/>
          </w:tcPr>
          <w:p>
            <w:pPr>
              <w:jc w:val="center"/>
              <w:ind w:left="530"/>
              <w:spacing w:after="0"/>
              <w:rPr>
                <w:sz w:val="20"/>
                <w:szCs w:val="20"/>
                <w:color w:val="auto"/>
              </w:rPr>
            </w:pPr>
            <w:r>
              <w:rPr>
                <w:rFonts w:ascii="Arial" w:cs="Arial" w:eastAsia="Arial" w:hAnsi="Arial"/>
                <w:sz w:val="18"/>
                <w:szCs w:val="18"/>
                <w:color w:val="auto"/>
                <w:w w:val="84"/>
              </w:rPr>
              <w:t>Gas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9/2017</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9/2017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294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Kansas Gas </w:t>
            </w:r>
            <w:r>
              <w:rPr>
                <w:rFonts w:ascii="Arial" w:cs="Arial" w:eastAsia="Arial" w:hAnsi="Arial"/>
                <w:sz w:val="25"/>
                <w:szCs w:val="25"/>
                <w:color w:val="auto"/>
                <w:vertAlign w:val="superscript"/>
              </w:rPr>
              <w:t>(c)</w:t>
            </w:r>
          </w:p>
        </w:tc>
        <w:tc>
          <w:tcPr>
            <w:tcW w:w="2540" w:type="dxa"/>
            <w:vAlign w:val="bottom"/>
            <w:shd w:val="clear" w:color="auto" w:fill="CEFFE7"/>
          </w:tcPr>
          <w:p>
            <w:pPr>
              <w:jc w:val="center"/>
              <w:ind w:left="530"/>
              <w:spacing w:after="0"/>
              <w:rPr>
                <w:sz w:val="20"/>
                <w:szCs w:val="20"/>
                <w:color w:val="auto"/>
              </w:rPr>
            </w:pPr>
            <w:r>
              <w:rPr>
                <w:rFonts w:ascii="Arial" w:cs="Arial" w:eastAsia="Arial" w:hAnsi="Arial"/>
                <w:sz w:val="18"/>
                <w:szCs w:val="18"/>
                <w:color w:val="auto"/>
                <w:w w:val="84"/>
              </w:rPr>
              <w:t>Gas</w:t>
            </w:r>
          </w:p>
        </w:tc>
        <w:tc>
          <w:tcPr>
            <w:tcW w:w="15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5/2017</w:t>
            </w:r>
          </w:p>
        </w:tc>
        <w:tc>
          <w:tcPr>
            <w:tcW w:w="13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6/2017</w:t>
            </w:r>
          </w:p>
        </w:tc>
        <w:tc>
          <w:tcPr>
            <w:tcW w:w="3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1.4</w:t>
            </w:r>
          </w:p>
        </w:tc>
      </w:tr>
      <w:tr>
        <w:trPr>
          <w:trHeight w:val="229"/>
        </w:trPr>
        <w:tc>
          <w:tcPr>
            <w:tcW w:w="2940" w:type="dxa"/>
            <w:vAlign w:val="bottom"/>
          </w:tcPr>
          <w:p>
            <w:pPr>
              <w:ind w:left="40"/>
              <w:spacing w:after="0" w:line="228" w:lineRule="exact"/>
              <w:rPr>
                <w:sz w:val="20"/>
                <w:szCs w:val="20"/>
                <w:color w:val="auto"/>
              </w:rPr>
            </w:pPr>
            <w:r>
              <w:rPr>
                <w:rFonts w:ascii="Arial" w:cs="Arial" w:eastAsia="Arial" w:hAnsi="Arial"/>
                <w:sz w:val="18"/>
                <w:szCs w:val="18"/>
                <w:color w:val="auto"/>
              </w:rPr>
              <w:t xml:space="preserve">RMNG </w:t>
            </w:r>
            <w:r>
              <w:rPr>
                <w:rFonts w:ascii="Arial" w:cs="Arial" w:eastAsia="Arial" w:hAnsi="Arial"/>
                <w:sz w:val="25"/>
                <w:szCs w:val="25"/>
                <w:color w:val="auto"/>
                <w:vertAlign w:val="superscript"/>
              </w:rPr>
              <w:t>(d)</w:t>
            </w:r>
          </w:p>
        </w:tc>
        <w:tc>
          <w:tcPr>
            <w:tcW w:w="2540" w:type="dxa"/>
            <w:vAlign w:val="bottom"/>
          </w:tcPr>
          <w:p>
            <w:pPr>
              <w:jc w:val="center"/>
              <w:ind w:left="530"/>
              <w:spacing w:after="0"/>
              <w:rPr>
                <w:sz w:val="20"/>
                <w:szCs w:val="20"/>
                <w:color w:val="auto"/>
              </w:rPr>
            </w:pPr>
            <w:r>
              <w:rPr>
                <w:rFonts w:ascii="Arial" w:cs="Arial" w:eastAsia="Arial" w:hAnsi="Arial"/>
                <w:sz w:val="18"/>
                <w:szCs w:val="18"/>
                <w:color w:val="auto"/>
                <w:w w:val="88"/>
              </w:rPr>
              <w:t>Gas - transmission and</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11/2016</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1/2017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30"/>
        </w:trPr>
        <w:tc>
          <w:tcPr>
            <w:tcW w:w="2940" w:type="dxa"/>
            <w:vAlign w:val="bottom"/>
          </w:tcPr>
          <w:p>
            <w:pPr>
              <w:spacing w:after="0"/>
              <w:rPr>
                <w:sz w:val="20"/>
                <w:szCs w:val="20"/>
                <w:color w:val="auto"/>
              </w:rPr>
            </w:pPr>
          </w:p>
        </w:tc>
        <w:tc>
          <w:tcPr>
            <w:tcW w:w="2540" w:type="dxa"/>
            <w:vAlign w:val="bottom"/>
          </w:tcPr>
          <w:p>
            <w:pPr>
              <w:jc w:val="center"/>
              <w:ind w:left="530"/>
              <w:spacing w:after="0"/>
              <w:rPr>
                <w:sz w:val="20"/>
                <w:szCs w:val="20"/>
                <w:color w:val="auto"/>
              </w:rPr>
            </w:pPr>
            <w:r>
              <w:rPr>
                <w:rFonts w:ascii="Arial" w:cs="Arial" w:eastAsia="Arial" w:hAnsi="Arial"/>
                <w:sz w:val="18"/>
                <w:szCs w:val="18"/>
                <w:color w:val="auto"/>
                <w:w w:val="86"/>
              </w:rPr>
              <w:t>storage</w:t>
            </w:r>
          </w:p>
        </w:tc>
        <w:tc>
          <w:tcPr>
            <w:tcW w:w="1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29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94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Nebraska Gas Dist. </w:t>
            </w:r>
            <w:r>
              <w:rPr>
                <w:rFonts w:ascii="Arial" w:cs="Arial" w:eastAsia="Arial" w:hAnsi="Arial"/>
                <w:sz w:val="25"/>
                <w:szCs w:val="25"/>
                <w:color w:val="auto"/>
                <w:vertAlign w:val="superscript"/>
              </w:rPr>
              <w:t>(e)</w:t>
            </w:r>
          </w:p>
        </w:tc>
        <w:tc>
          <w:tcPr>
            <w:tcW w:w="2540" w:type="dxa"/>
            <w:vAlign w:val="bottom"/>
            <w:shd w:val="clear" w:color="auto" w:fill="CEFFE7"/>
          </w:tcPr>
          <w:p>
            <w:pPr>
              <w:jc w:val="center"/>
              <w:ind w:left="530"/>
              <w:spacing w:after="0"/>
              <w:rPr>
                <w:sz w:val="20"/>
                <w:szCs w:val="20"/>
                <w:color w:val="auto"/>
              </w:rPr>
            </w:pPr>
            <w:r>
              <w:rPr>
                <w:rFonts w:ascii="Arial" w:cs="Arial" w:eastAsia="Arial" w:hAnsi="Arial"/>
                <w:sz w:val="18"/>
                <w:szCs w:val="18"/>
                <w:color w:val="auto"/>
                <w:w w:val="84"/>
              </w:rPr>
              <w:t>Gas</w:t>
            </w:r>
          </w:p>
        </w:tc>
        <w:tc>
          <w:tcPr>
            <w:tcW w:w="15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10/2016</w:t>
            </w:r>
          </w:p>
        </w:tc>
        <w:tc>
          <w:tcPr>
            <w:tcW w:w="13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2/2017</w:t>
            </w:r>
          </w:p>
        </w:tc>
        <w:tc>
          <w:tcPr>
            <w:tcW w:w="3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6.5</w:t>
            </w:r>
          </w:p>
        </w:tc>
      </w:tr>
      <w:tr>
        <w:trPr>
          <w:trHeight w:val="220"/>
        </w:trPr>
        <w:tc>
          <w:tcPr>
            <w:tcW w:w="2940" w:type="dxa"/>
            <w:vAlign w:val="bottom"/>
          </w:tcPr>
          <w:p>
            <w:pPr>
              <w:spacing w:after="0"/>
              <w:rPr>
                <w:sz w:val="20"/>
                <w:szCs w:val="20"/>
                <w:color w:val="auto"/>
              </w:rPr>
            </w:pPr>
            <w:r>
              <w:rPr>
                <w:rFonts w:ascii="Arial" w:cs="Arial" w:eastAsia="Arial" w:hAnsi="Arial"/>
                <w:sz w:val="18"/>
                <w:szCs w:val="18"/>
                <w:color w:val="auto"/>
              </w:rPr>
              <w:t>____________________</w:t>
            </w:r>
          </w:p>
        </w:tc>
        <w:tc>
          <w:tcPr>
            <w:tcW w:w="2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ind w:left="340" w:right="380" w:hanging="332"/>
        <w:spacing w:after="0" w:line="28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 November 15, 2016, Arkansas Gas filed for the recovery of the Stockton Storage revenue requirement through the Stockton Storage Acquisition Rates regulatory mechanism with the rider effective January 1, 2017. This recovery mechanism was initially approved on October 15, 2015 for the Stockton Storage acquisition.</w:t>
      </w:r>
    </w:p>
    <w:p>
      <w:pPr>
        <w:spacing w:after="0" w:line="1" w:lineRule="exact"/>
        <w:rPr>
          <w:rFonts w:ascii="Arial" w:cs="Arial" w:eastAsia="Arial" w:hAnsi="Arial"/>
          <w:sz w:val="14"/>
          <w:szCs w:val="14"/>
          <w:color w:val="auto"/>
        </w:rPr>
      </w:pPr>
    </w:p>
    <w:p>
      <w:pPr>
        <w:ind w:left="340" w:right="220" w:hanging="332"/>
        <w:spacing w:after="0" w:line="28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 September 1, 2017, Arkansas Gas filed for recovery of $2.2 million related to projects for the replacement of eligible mains (MRP) and the recovery of $0.5 million related to projects for the relocation of certain at risk meters (ARMRP). Pursuant to the Arkansas Gas Tariff, the filed rates went into effect on the date of the filing.</w:t>
      </w:r>
    </w:p>
    <w:p>
      <w:pPr>
        <w:spacing w:after="0" w:line="1" w:lineRule="exact"/>
        <w:rPr>
          <w:rFonts w:ascii="Arial" w:cs="Arial" w:eastAsia="Arial" w:hAnsi="Arial"/>
          <w:sz w:val="14"/>
          <w:szCs w:val="14"/>
          <w:color w:val="auto"/>
        </w:rPr>
      </w:pPr>
    </w:p>
    <w:p>
      <w:pPr>
        <w:ind w:left="340" w:right="580" w:hanging="332"/>
        <w:spacing w:after="0" w:line="263" w:lineRule="auto"/>
        <w:tabs>
          <w:tab w:leader="none" w:pos="3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On February 21, 2017, Kansas Gas filed with the KCC requesting recovery of $1.4 million, which includes $0.6 million of new revenue related to the Gas System Reliability Surcharge rider (“GSRS”). This GSRS filing was approved by the KCC on May 23, 2017 and went into effect on June 1, 2017.</w:t>
      </w:r>
    </w:p>
    <w:p>
      <w:pPr>
        <w:ind w:left="340" w:right="20" w:hanging="332"/>
        <w:spacing w:after="0" w:line="28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 November 3, 2016, RMNG filed with the CPUC requesting recovery of $2.9 million, which includes $1.2 million of new revenue related to system safety and integrity expenditures on projects for the period of 2014 through 2017. This SSIR request was approved by the CPUC in December 2016, and went into effect on January 1, 2017.</w:t>
      </w:r>
    </w:p>
    <w:p>
      <w:pPr>
        <w:spacing w:after="0" w:line="1" w:lineRule="exact"/>
        <w:rPr>
          <w:rFonts w:ascii="Arial" w:cs="Arial" w:eastAsia="Arial" w:hAnsi="Arial"/>
          <w:sz w:val="14"/>
          <w:szCs w:val="14"/>
          <w:color w:val="auto"/>
        </w:rPr>
      </w:pPr>
    </w:p>
    <w:p>
      <w:pPr>
        <w:ind w:left="340" w:right="20" w:hanging="332"/>
        <w:spacing w:after="0" w:line="25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October 3, 2016, Nebraska Gas Dist. filed with the NPSC requesting recovery of $6.5 million, which includes $1.7 million of new revenue related to system safety and integrity expenditures on projects for the period of 2012 through 2017. This SSIR tariff was approved by the NPSC in January 2017, and went into effect on February 1, 2017.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Power Generation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290"/>
              <w:spacing w:after="0"/>
              <w:rPr>
                <w:sz w:val="20"/>
                <w:szCs w:val="20"/>
                <w:color w:val="auto"/>
              </w:rPr>
            </w:pPr>
            <w:r>
              <w:rPr>
                <w:rFonts w:ascii="Arial" w:cs="Arial" w:eastAsia="Arial" w:hAnsi="Arial"/>
                <w:sz w:val="18"/>
                <w:szCs w:val="18"/>
                <w:color w:val="auto"/>
                <w:w w:val="94"/>
              </w:rPr>
              <w:t>Three Months Ended September 30,</w:t>
            </w:r>
          </w:p>
        </w:tc>
        <w:tc>
          <w:tcPr>
            <w:tcW w:w="260" w:type="dxa"/>
            <w:vAlign w:val="bottom"/>
          </w:tcPr>
          <w:p>
            <w:pPr>
              <w:spacing w:after="0"/>
              <w:rPr>
                <w:sz w:val="24"/>
                <w:szCs w:val="24"/>
                <w:color w:val="auto"/>
              </w:rPr>
            </w:pPr>
          </w:p>
        </w:tc>
        <w:tc>
          <w:tcPr>
            <w:tcW w:w="3140" w:type="dxa"/>
            <w:vAlign w:val="bottom"/>
            <w:gridSpan w:val="5"/>
          </w:tcPr>
          <w:p>
            <w:pPr>
              <w:jc w:val="right"/>
              <w:ind w:right="33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right"/>
              <w:ind w:right="51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2"/>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Revenue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22,927</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23,337</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68,289</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68,359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7,646</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7,465</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181</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24,228</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24,155</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tcPr>
          <w:p>
            <w:pPr>
              <w:ind w:left="20"/>
              <w:spacing w:after="0" w:line="27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(a)</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1,036</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996</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3,312</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3,080</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60" w:type="dxa"/>
            <w:vAlign w:val="bottom"/>
            <w:tcBorders>
              <w:bottom w:val="single" w:sz="8" w:color="CEFFE7"/>
            </w:tcBorders>
            <w:gridSpan w:val="2"/>
            <w:shd w:val="clear" w:color="auto" w:fill="CEFFE7"/>
          </w:tcPr>
          <w:p>
            <w:pPr>
              <w:ind w:left="600"/>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8,682</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8,461</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221</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27,540</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27,235</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14,245</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14,876</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(631)</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40,749</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41,124</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(724)</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(1,343)</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(3,426)</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(5,046)</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1,620</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(10,114)</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(13,467)</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10,090</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9,412</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678</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28,584</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26,309</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(3,935)</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(3,770)</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(10,567)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(6,402)</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Borders>
              <w:bottom w:val="single" w:sz="8" w:color="CEFFE7"/>
            </w:tcBorders>
          </w:tcPr>
          <w:p>
            <w:pPr>
              <w:spacing w:after="0"/>
              <w:rPr>
                <w:sz w:val="2"/>
                <w:szCs w:val="2"/>
                <w:color w:val="auto"/>
              </w:rPr>
            </w:pPr>
          </w:p>
        </w:tc>
        <w:tc>
          <w:tcPr>
            <w:tcW w:w="324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Net income available for common stock</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6,155</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5,642</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513</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18,017</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19,907</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spacing w:after="0"/>
              <w:rPr>
                <w:sz w:val="20"/>
                <w:szCs w:val="20"/>
                <w:color w:val="auto"/>
              </w:rPr>
            </w:pPr>
            <w:r>
              <w:rPr>
                <w:rFonts w:ascii="Arial" w:cs="Arial" w:eastAsia="Arial" w:hAnsi="Arial"/>
                <w:sz w:val="16"/>
                <w:szCs w:val="16"/>
                <w:color w:val="auto"/>
              </w:rPr>
              <w:t>____________</w:t>
            </w:r>
          </w:p>
        </w:tc>
        <w:tc>
          <w:tcPr>
            <w:tcW w:w="3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340" w:type="dxa"/>
            <w:vAlign w:val="bottom"/>
            <w:gridSpan w:val="2"/>
            <w:vMerge w:val="continue"/>
          </w:tcPr>
          <w:p>
            <w:pPr>
              <w:spacing w:after="0"/>
              <w:rPr>
                <w:sz w:val="13"/>
                <w:szCs w:val="13"/>
                <w:color w:val="auto"/>
              </w:rPr>
            </w:pPr>
          </w:p>
        </w:tc>
        <w:tc>
          <w:tcPr>
            <w:tcW w:w="32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460" w:hanging="332"/>
        <w:spacing w:after="0" w:line="252"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generating facility located in Pueblo, Colorado is accounted for as a capital lease under GAAP; as such, revenue and depreciation expense are impacted by the accounting for this lease. Under the lease, the original cost of the facility is recorded at Colorado Electric and is being depreciated by Colorado Electric for segment reporting purposes.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00" w:right="239" w:bottom="1440" w:gutter="0" w:footer="0" w:header="0"/>
        </w:sectPr>
      </w:pPr>
    </w:p>
    <w:bookmarkStart w:id="59" w:name="page60"/>
    <w:bookmarkEnd w:id="59"/>
    <w:p>
      <w:pPr>
        <w:ind w:right="120"/>
        <w:spacing w:after="0" w:line="257" w:lineRule="auto"/>
        <w:rPr>
          <w:sz w:val="20"/>
          <w:szCs w:val="20"/>
          <w:color w:val="auto"/>
        </w:rPr>
      </w:pPr>
      <w:r>
        <w:rPr>
          <w:rFonts w:ascii="Arial" w:cs="Arial" w:eastAsia="Arial" w:hAnsi="Arial"/>
          <w:sz w:val="18"/>
          <w:szCs w:val="18"/>
          <w:color w:val="auto"/>
        </w:rPr>
        <w:t>On April 14, 2016, Black Hills Electric Generation sold a 49.9%, noncontrolling interest in Black Hills Colorado IPP for $216 million. Black Hills Electric Generation continues to be the majority owner and operator of the facility, which is contracted to provide capacity and energy through 2031 to Black Hills Colorado Electric. Net income available for common stock for the three and nine months ended September 30, 2017, was reduced by $3.9 million and $11 million, respectively, and reduced by $3.8 million and $6.4 million for the three and nine months ended September 30, 2016, respectively, attributable to this noncontrolling interest.</w:t>
      </w:r>
    </w:p>
    <w:p>
      <w:pPr>
        <w:spacing w:after="0" w:line="18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Results of Operations for Power Generation for the Three Months Ended September 30, 2017 Compared to the Three Months Ended September 30, 2016: </w:t>
      </w:r>
      <w:r>
        <w:rPr>
          <w:rFonts w:ascii="Arial" w:cs="Arial" w:eastAsia="Arial" w:hAnsi="Arial"/>
          <w:sz w:val="18"/>
          <w:szCs w:val="18"/>
          <w:color w:val="auto"/>
        </w:rPr>
        <w:t>Net income available for common stock for the Power Generation segment was $6.2 million for the three months ended September 30, 2017,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Net income available for common stock of $5.6 million for the same period in 2016. Revenue and operating expenses were comparable to the same period in the prior year. The variance to the prior year was driven by a lower 2017 effective tax rate compared to 2016 due to the greater impact of minority interest and higher 2016 adjustments to the filed tax return.</w:t>
      </w:r>
    </w:p>
    <w:p>
      <w:pPr>
        <w:spacing w:after="0" w:line="18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Results of Operations for Power Generation for the Nine Months Ended September 30, 2017 Compared to the Nine Months Ended September 30, 2016: </w:t>
      </w:r>
      <w:r>
        <w:rPr>
          <w:rFonts w:ascii="Arial" w:cs="Arial" w:eastAsia="Arial" w:hAnsi="Arial"/>
          <w:sz w:val="17"/>
          <w:szCs w:val="17"/>
          <w:color w:val="auto"/>
        </w:rPr>
        <w:t>Net income available for common stock for the Power Generation segment was $18 million for the nine months ended September 30, 2017,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Net income available for common stock of $20 million for the same period in 2016. Revenue and operating expenses were comparable to the same period in the prior year. The variance to the prior year was due to Black Hills Colorado IPP going from a single member LLC, wholly owned by Black Hills Electric Generation, to a partnership as a result of the sale of 49.9% of its membership interest in April 2016. The effective tax rate reflects the income attributable to the noncontrolling interest for which a tax provision is not recorded. Net income attributable to noncontrolling interest also increased by $4.2 million as a result of the noncontrolling interest sale in April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MWh for our Power Generation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660" w:type="dxa"/>
            <w:vAlign w:val="bottom"/>
            <w:gridSpan w:val="2"/>
          </w:tcPr>
          <w:p>
            <w:pPr>
              <w:jc w:val="right"/>
              <w:ind w:right="530"/>
              <w:spacing w:after="0"/>
              <w:rPr>
                <w:sz w:val="20"/>
                <w:szCs w:val="20"/>
                <w:color w:val="auto"/>
              </w:rPr>
            </w:pPr>
            <w:r>
              <w:rPr>
                <w:rFonts w:ascii="Arial" w:cs="Arial" w:eastAsia="Arial" w:hAnsi="Arial"/>
                <w:sz w:val="18"/>
                <w:szCs w:val="18"/>
                <w:color w:val="auto"/>
              </w:rPr>
              <w:t>Three Months Ended September 30,</w:t>
            </w:r>
          </w:p>
        </w:tc>
        <w:tc>
          <w:tcPr>
            <w:tcW w:w="3280" w:type="dxa"/>
            <w:vAlign w:val="bottom"/>
            <w:gridSpan w:val="2"/>
          </w:tcPr>
          <w:p>
            <w:pPr>
              <w:jc w:val="right"/>
              <w:ind w:right="33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000" w:type="dxa"/>
            <w:vAlign w:val="bottom"/>
          </w:tcPr>
          <w:p>
            <w:pPr>
              <w:jc w:val="right"/>
              <w:ind w:right="870"/>
              <w:spacing w:after="0"/>
              <w:rPr>
                <w:sz w:val="20"/>
                <w:szCs w:val="20"/>
                <w:color w:val="auto"/>
              </w:rPr>
            </w:pPr>
            <w:r>
              <w:rPr>
                <w:rFonts w:ascii="Arial" w:cs="Arial" w:eastAsia="Arial" w:hAnsi="Arial"/>
                <w:sz w:val="18"/>
                <w:szCs w:val="18"/>
                <w:color w:val="auto"/>
              </w:rPr>
              <w:t>2017</w:t>
            </w: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2016</w:t>
            </w:r>
          </w:p>
        </w:tc>
        <w:tc>
          <w:tcPr>
            <w:tcW w:w="1860" w:type="dxa"/>
            <w:vAlign w:val="bottom"/>
          </w:tcPr>
          <w:p>
            <w:pPr>
              <w:jc w:val="right"/>
              <w:ind w:right="850"/>
              <w:spacing w:after="0"/>
              <w:rPr>
                <w:sz w:val="20"/>
                <w:szCs w:val="20"/>
                <w:color w:val="auto"/>
              </w:rPr>
            </w:pPr>
            <w:r>
              <w:rPr>
                <w:rFonts w:ascii="Arial" w:cs="Arial" w:eastAsia="Arial" w:hAnsi="Arial"/>
                <w:sz w:val="18"/>
                <w:szCs w:val="18"/>
                <w:color w:val="auto"/>
              </w:rPr>
              <w:t>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Quantities Sold, Generated and Purchased</w:t>
            </w:r>
          </w:p>
        </w:tc>
        <w:tc>
          <w:tcPr>
            <w:tcW w:w="2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(MWh) </w:t>
            </w:r>
            <w:r>
              <w:rPr>
                <w:rFonts w:ascii="Arial" w:cs="Arial" w:eastAsia="Arial" w:hAnsi="Arial"/>
                <w:sz w:val="25"/>
                <w:szCs w:val="25"/>
                <w:color w:val="auto"/>
                <w:vertAlign w:val="superscript"/>
              </w:rPr>
              <w:t>(a)</w:t>
            </w:r>
          </w:p>
        </w:tc>
        <w:tc>
          <w:tcPr>
            <w:tcW w:w="20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Sold</w:t>
            </w:r>
          </w:p>
        </w:tc>
        <w:tc>
          <w:tcPr>
            <w:tcW w:w="200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256,895</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327,793</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725,919</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972,113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200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163,690</w:t>
            </w:r>
          </w:p>
        </w:tc>
        <w:tc>
          <w:tcPr>
            <w:tcW w:w="166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167,670</w:t>
            </w:r>
          </w:p>
        </w:tc>
        <w:tc>
          <w:tcPr>
            <w:tcW w:w="186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476,659</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476,677</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40" w:type="dxa"/>
            <w:vAlign w:val="bottom"/>
            <w:tcBorders>
              <w:bottom w:val="single" w:sz="8" w:color="CEFFE7"/>
            </w:tcBorders>
          </w:tcPr>
          <w:p>
            <w:pPr>
              <w:ind w:left="820"/>
              <w:spacing w:after="0"/>
              <w:rPr>
                <w:sz w:val="20"/>
                <w:szCs w:val="20"/>
                <w:color w:val="auto"/>
              </w:rPr>
            </w:pPr>
            <w:r>
              <w:rPr>
                <w:rFonts w:ascii="Arial" w:cs="Arial" w:eastAsia="Arial" w:hAnsi="Arial"/>
                <w:sz w:val="18"/>
                <w:szCs w:val="18"/>
                <w:color w:val="auto"/>
              </w:rPr>
              <w:t>Total Sold</w:t>
            </w: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420,585</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495,463</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1,202,578</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1,448,790</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440" w:type="dxa"/>
            <w:vAlign w:val="bottom"/>
            <w:shd w:val="clear" w:color="auto" w:fill="CEFFE7"/>
          </w:tcPr>
          <w:p>
            <w:pPr>
              <w:spacing w:after="0"/>
              <w:rPr>
                <w:sz w:val="24"/>
                <w:szCs w:val="24"/>
                <w:color w:val="auto"/>
              </w:rPr>
            </w:pPr>
          </w:p>
        </w:tc>
        <w:tc>
          <w:tcPr>
            <w:tcW w:w="2000" w:type="dxa"/>
            <w:vAlign w:val="bottom"/>
            <w:shd w:val="clear" w:color="auto" w:fill="CEFFE7"/>
          </w:tcPr>
          <w:p>
            <w:pPr>
              <w:spacing w:after="0"/>
              <w:rPr>
                <w:sz w:val="24"/>
                <w:szCs w:val="24"/>
                <w:color w:val="auto"/>
              </w:rPr>
            </w:pPr>
          </w:p>
        </w:tc>
        <w:tc>
          <w:tcPr>
            <w:tcW w:w="1660" w:type="dxa"/>
            <w:vAlign w:val="bottom"/>
            <w:shd w:val="clear" w:color="auto" w:fill="CEFFE7"/>
          </w:tcPr>
          <w:p>
            <w:pPr>
              <w:spacing w:after="0"/>
              <w:rPr>
                <w:sz w:val="24"/>
                <w:szCs w:val="24"/>
                <w:color w:val="auto"/>
              </w:rPr>
            </w:pPr>
          </w:p>
        </w:tc>
        <w:tc>
          <w:tcPr>
            <w:tcW w:w="186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Generated</w:t>
            </w:r>
          </w:p>
        </w:tc>
        <w:tc>
          <w:tcPr>
            <w:tcW w:w="20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200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256,895</w:t>
            </w:r>
          </w:p>
        </w:tc>
        <w:tc>
          <w:tcPr>
            <w:tcW w:w="1660" w:type="dxa"/>
            <w:vAlign w:val="bottom"/>
            <w:shd w:val="clear" w:color="auto" w:fill="CEFFE7"/>
          </w:tcPr>
          <w:p>
            <w:pPr>
              <w:jc w:val="right"/>
              <w:ind w:right="250"/>
              <w:spacing w:after="0"/>
              <w:rPr>
                <w:sz w:val="20"/>
                <w:szCs w:val="20"/>
                <w:color w:val="auto"/>
              </w:rPr>
            </w:pPr>
            <w:r>
              <w:rPr>
                <w:rFonts w:ascii="Arial" w:cs="Arial" w:eastAsia="Arial" w:hAnsi="Arial"/>
                <w:sz w:val="18"/>
                <w:szCs w:val="18"/>
                <w:color w:val="auto"/>
              </w:rPr>
              <w:t>327,793</w:t>
            </w:r>
          </w:p>
        </w:tc>
        <w:tc>
          <w:tcPr>
            <w:tcW w:w="18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725,919</w:t>
            </w:r>
          </w:p>
        </w:tc>
        <w:tc>
          <w:tcPr>
            <w:tcW w:w="14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972,113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140,081</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142,388</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407,775</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401,292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 Generated</w:t>
            </w:r>
          </w:p>
        </w:tc>
        <w:tc>
          <w:tcPr>
            <w:tcW w:w="200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396,976</w:t>
            </w:r>
          </w:p>
        </w:tc>
        <w:tc>
          <w:tcPr>
            <w:tcW w:w="166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470,181</w:t>
            </w:r>
          </w:p>
        </w:tc>
        <w:tc>
          <w:tcPr>
            <w:tcW w:w="186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1,133,694</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1,373,405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Purchased</w:t>
            </w:r>
          </w:p>
        </w:tc>
        <w:tc>
          <w:tcPr>
            <w:tcW w:w="200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Black Hills Colorado IPP</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200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20,246</w:t>
            </w:r>
          </w:p>
        </w:tc>
        <w:tc>
          <w:tcPr>
            <w:tcW w:w="166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23,558</w:t>
            </w:r>
          </w:p>
        </w:tc>
        <w:tc>
          <w:tcPr>
            <w:tcW w:w="186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52,463</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68,797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Pr>
          <w:p>
            <w:pPr>
              <w:ind w:left="820"/>
              <w:spacing w:after="0"/>
              <w:rPr>
                <w:sz w:val="20"/>
                <w:szCs w:val="20"/>
                <w:color w:val="auto"/>
              </w:rPr>
            </w:pPr>
            <w:r>
              <w:rPr>
                <w:rFonts w:ascii="Arial" w:cs="Arial" w:eastAsia="Arial" w:hAnsi="Arial"/>
                <w:sz w:val="18"/>
                <w:szCs w:val="18"/>
                <w:color w:val="auto"/>
              </w:rPr>
              <w:t>Total Purchased</w:t>
            </w: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20,246</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23,558</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52,463</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68,797</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jc w:val="right"/>
              <w:ind w:right="3390"/>
              <w:spacing w:after="0"/>
              <w:rPr>
                <w:sz w:val="20"/>
                <w:szCs w:val="20"/>
                <w:color w:val="auto"/>
              </w:rPr>
            </w:pPr>
            <w:r>
              <w:rPr>
                <w:rFonts w:ascii="Arial" w:cs="Arial" w:eastAsia="Arial" w:hAnsi="Arial"/>
                <w:sz w:val="16"/>
                <w:szCs w:val="16"/>
                <w:color w:val="auto"/>
                <w:w w:val="89"/>
              </w:rPr>
              <w:t>____________</w:t>
            </w:r>
          </w:p>
        </w:tc>
        <w:tc>
          <w:tcPr>
            <w:tcW w:w="20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460" w:type="dxa"/>
            <w:vAlign w:val="bottom"/>
            <w:gridSpan w:val="2"/>
            <w:vMerge w:val="continue"/>
          </w:tcPr>
          <w:p>
            <w:pPr>
              <w:spacing w:after="0"/>
              <w:rPr>
                <w:sz w:val="13"/>
                <w:szCs w:val="13"/>
                <w:color w:val="auto"/>
              </w:rPr>
            </w:pPr>
          </w:p>
        </w:tc>
        <w:tc>
          <w:tcPr>
            <w:tcW w:w="2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Company uses and losses are not included in the quantities sold, generated, and purchased.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Decrease from the prior year is a result of the 2017 impact of Colorado Electric’s wind generation replacing natural-gas generation.</w:t>
      </w:r>
    </w:p>
    <w:p>
      <w:pPr>
        <w:spacing w:after="0" w:line="5" w:lineRule="exact"/>
        <w:rPr>
          <w:rFonts w:ascii="Arial" w:cs="Arial" w:eastAsia="Arial" w:hAnsi="Arial"/>
          <w:sz w:val="16"/>
          <w:szCs w:val="16"/>
          <w:color w:val="auto"/>
        </w:rPr>
      </w:pPr>
    </w:p>
    <w:p>
      <w:pPr>
        <w:ind w:left="340" w:hanging="332"/>
        <w:spacing w:after="0" w:line="252"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Under the 20-year economy energy PPA with the City of Gillette effective September 2014, Black Hills Wyoming purchases energy on behalf of the City of Gillette and sells that energy to the City of Gillette. MWh sold may not equal MWh generated and purchased due to a dispatch agreement Black Hills Wyoming has with South Dakota Electric to cover energy imbalances.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following table provides certain operating statistics for our plants within the Power Generation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5"/>
          </w:tcPr>
          <w:p>
            <w:pPr>
              <w:jc w:val="right"/>
              <w:ind w:right="530"/>
              <w:spacing w:after="0"/>
              <w:rPr>
                <w:sz w:val="20"/>
                <w:szCs w:val="20"/>
                <w:color w:val="auto"/>
              </w:rPr>
            </w:pPr>
            <w:r>
              <w:rPr>
                <w:rFonts w:ascii="Arial" w:cs="Arial" w:eastAsia="Arial" w:hAnsi="Arial"/>
                <w:sz w:val="18"/>
                <w:szCs w:val="18"/>
                <w:color w:val="auto"/>
                <w:w w:val="89"/>
              </w:rPr>
              <w:t>Three Months Ended September 30,</w:t>
            </w:r>
          </w:p>
        </w:tc>
        <w:tc>
          <w:tcPr>
            <w:tcW w:w="260" w:type="dxa"/>
            <w:vAlign w:val="bottom"/>
          </w:tcPr>
          <w:p>
            <w:pPr>
              <w:spacing w:after="0"/>
              <w:rPr>
                <w:sz w:val="20"/>
                <w:szCs w:val="20"/>
                <w:color w:val="auto"/>
              </w:rPr>
            </w:pPr>
          </w:p>
        </w:tc>
        <w:tc>
          <w:tcPr>
            <w:tcW w:w="3140" w:type="dxa"/>
            <w:vAlign w:val="bottom"/>
            <w:gridSpan w:val="5"/>
          </w:tcPr>
          <w:p>
            <w:pPr>
              <w:ind w:left="160"/>
              <w:spacing w:after="0"/>
              <w:rPr>
                <w:sz w:val="20"/>
                <w:szCs w:val="20"/>
                <w:color w:val="auto"/>
              </w:rPr>
            </w:pPr>
            <w:r>
              <w:rPr>
                <w:rFonts w:ascii="Arial" w:cs="Arial" w:eastAsia="Arial" w:hAnsi="Arial"/>
                <w:sz w:val="18"/>
                <w:szCs w:val="18"/>
                <w:color w:val="auto"/>
              </w:rPr>
              <w:t>Nine Months Ended September 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3"/>
                <w:szCs w:val="23"/>
                <w:color w:val="auto"/>
              </w:rPr>
            </w:pPr>
          </w:p>
        </w:tc>
        <w:tc>
          <w:tcPr>
            <w:tcW w:w="1040" w:type="dxa"/>
            <w:vAlign w:val="bottom"/>
            <w:gridSpan w:val="2"/>
          </w:tcPr>
          <w:p>
            <w:pPr>
              <w:jc w:val="center"/>
              <w:ind w:left="590"/>
              <w:spacing w:after="0"/>
              <w:rPr>
                <w:sz w:val="20"/>
                <w:szCs w:val="20"/>
                <w:color w:val="auto"/>
              </w:rPr>
            </w:pPr>
            <w:r>
              <w:rPr>
                <w:rFonts w:ascii="Arial" w:cs="Arial" w:eastAsia="Arial" w:hAnsi="Arial"/>
                <w:sz w:val="18"/>
                <w:szCs w:val="18"/>
                <w:color w:val="auto"/>
                <w:w w:val="89"/>
              </w:rPr>
              <w:t>2016</w:t>
            </w: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gridSpan w:val="2"/>
          </w:tcPr>
          <w:p>
            <w:pPr>
              <w:jc w:val="right"/>
              <w:ind w:right="59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gridSpan w:val="2"/>
            <w:vMerge w:val="restart"/>
          </w:tcPr>
          <w:p>
            <w:pPr>
              <w:ind w:left="20"/>
              <w:spacing w:after="0"/>
              <w:rPr>
                <w:sz w:val="20"/>
                <w:szCs w:val="20"/>
                <w:color w:val="auto"/>
              </w:rPr>
            </w:pPr>
            <w:r>
              <w:rPr>
                <w:rFonts w:ascii="Arial" w:cs="Arial" w:eastAsia="Arial" w:hAnsi="Arial"/>
                <w:sz w:val="18"/>
                <w:szCs w:val="18"/>
                <w:color w:val="auto"/>
              </w:rPr>
              <w:t>Contracted power plant fleet availability:</w:t>
            </w: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Coal-fired plant</w:t>
            </w:r>
          </w:p>
        </w:tc>
        <w:tc>
          <w:tcPr>
            <w:tcW w:w="2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gridSpan w:val="2"/>
            <w:shd w:val="clear" w:color="auto" w:fill="CEFFE7"/>
          </w:tcPr>
          <w:p>
            <w:pPr>
              <w:jc w:val="center"/>
              <w:ind w:left="690"/>
              <w:spacing w:after="0"/>
              <w:rPr>
                <w:sz w:val="20"/>
                <w:szCs w:val="20"/>
                <w:color w:val="auto"/>
              </w:rPr>
            </w:pPr>
            <w:r>
              <w:rPr>
                <w:rFonts w:ascii="Arial" w:cs="Arial" w:eastAsia="Arial" w:hAnsi="Arial"/>
                <w:sz w:val="18"/>
                <w:szCs w:val="18"/>
                <w:color w:val="auto"/>
                <w:w w:val="93"/>
              </w:rPr>
              <w:t>97.1%</w:t>
            </w:r>
          </w:p>
        </w:tc>
        <w:tc>
          <w:tcPr>
            <w:tcW w:w="8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98.7%</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w w:val="93"/>
              </w:rPr>
              <w:t>95.8%</w:t>
            </w:r>
          </w:p>
        </w:tc>
        <w:tc>
          <w:tcPr>
            <w:tcW w:w="62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Natural gas-fired plants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left="690"/>
              <w:spacing w:after="0"/>
              <w:rPr>
                <w:sz w:val="20"/>
                <w:szCs w:val="20"/>
                <w:color w:val="auto"/>
              </w:rPr>
            </w:pPr>
            <w:r>
              <w:rPr>
                <w:rFonts w:ascii="Arial" w:cs="Arial" w:eastAsia="Arial" w:hAnsi="Arial"/>
                <w:sz w:val="18"/>
                <w:szCs w:val="18"/>
                <w:color w:val="auto"/>
                <w:w w:val="93"/>
              </w:rPr>
              <w:t>99.2%</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w w:val="93"/>
              </w:rPr>
              <w:t>99.1%</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Total availability</w:t>
            </w:r>
          </w:p>
        </w:tc>
        <w:tc>
          <w:tcPr>
            <w:tcW w:w="2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gridSpan w:val="2"/>
            <w:shd w:val="clear" w:color="auto" w:fill="CEFFE7"/>
          </w:tcPr>
          <w:p>
            <w:pPr>
              <w:jc w:val="center"/>
              <w:ind w:left="690"/>
              <w:spacing w:after="0"/>
              <w:rPr>
                <w:sz w:val="20"/>
                <w:szCs w:val="20"/>
                <w:color w:val="auto"/>
              </w:rPr>
            </w:pPr>
            <w:r>
              <w:rPr>
                <w:rFonts w:ascii="Arial" w:cs="Arial" w:eastAsia="Arial" w:hAnsi="Arial"/>
                <w:sz w:val="18"/>
                <w:szCs w:val="18"/>
                <w:color w:val="auto"/>
                <w:w w:val="93"/>
              </w:rPr>
              <w:t>98.7%</w:t>
            </w:r>
          </w:p>
        </w:tc>
        <w:tc>
          <w:tcPr>
            <w:tcW w:w="8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99.0%</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w w:val="93"/>
              </w:rPr>
              <w:t>98.3%</w:t>
            </w:r>
          </w:p>
        </w:tc>
        <w:tc>
          <w:tcPr>
            <w:tcW w:w="62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4320" w:type="dxa"/>
            <w:vAlign w:val="bottom"/>
            <w:gridSpan w:val="3"/>
          </w:tcPr>
          <w:p>
            <w:pPr>
              <w:spacing w:after="0"/>
              <w:rPr>
                <w:sz w:val="20"/>
                <w:szCs w:val="20"/>
                <w:color w:val="auto"/>
              </w:rPr>
            </w:pPr>
            <w:r>
              <w:rPr>
                <w:rFonts w:ascii="Arial" w:cs="Arial" w:eastAsia="Arial" w:hAnsi="Arial"/>
                <w:sz w:val="18"/>
                <w:szCs w:val="18"/>
                <w:i w:val="1"/>
                <w:iCs w:val="1"/>
                <w:color w:val="auto"/>
              </w:rPr>
              <w:t>Mining</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5"/>
          </w:tcPr>
          <w:p>
            <w:pPr>
              <w:jc w:val="right"/>
              <w:ind w:right="290"/>
              <w:spacing w:after="0"/>
              <w:rPr>
                <w:sz w:val="20"/>
                <w:szCs w:val="20"/>
                <w:color w:val="auto"/>
              </w:rPr>
            </w:pPr>
            <w:r>
              <w:rPr>
                <w:rFonts w:ascii="Arial" w:cs="Arial" w:eastAsia="Arial" w:hAnsi="Arial"/>
                <w:sz w:val="18"/>
                <w:szCs w:val="18"/>
                <w:color w:val="auto"/>
                <w:w w:val="98"/>
              </w:rPr>
              <w:t>Three Months Ended September 30,</w:t>
            </w:r>
          </w:p>
        </w:tc>
        <w:tc>
          <w:tcPr>
            <w:tcW w:w="260" w:type="dxa"/>
            <w:vAlign w:val="bottom"/>
          </w:tcPr>
          <w:p>
            <w:pPr>
              <w:spacing w:after="0"/>
              <w:rPr>
                <w:sz w:val="24"/>
                <w:szCs w:val="24"/>
                <w:color w:val="auto"/>
              </w:rPr>
            </w:pPr>
          </w:p>
        </w:tc>
        <w:tc>
          <w:tcPr>
            <w:tcW w:w="3140" w:type="dxa"/>
            <w:vAlign w:val="bottom"/>
            <w:gridSpan w:val="5"/>
          </w:tcPr>
          <w:p>
            <w:pPr>
              <w:jc w:val="right"/>
              <w:ind w:right="310"/>
              <w:spacing w:after="0"/>
              <w:rPr>
                <w:sz w:val="20"/>
                <w:szCs w:val="20"/>
                <w:color w:val="auto"/>
              </w:rPr>
            </w:pPr>
            <w:r>
              <w:rPr>
                <w:rFonts w:ascii="Arial" w:cs="Arial" w:eastAsia="Arial" w:hAnsi="Arial"/>
                <w:sz w:val="18"/>
                <w:szCs w:val="18"/>
                <w:color w:val="auto"/>
                <w:w w:val="96"/>
              </w:rPr>
              <w:t>Nine Months Ended 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3"/>
                <w:szCs w:val="23"/>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2016</w:t>
            </w:r>
          </w:p>
        </w:tc>
        <w:tc>
          <w:tcPr>
            <w:tcW w:w="24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87"/>
              </w:rPr>
              <w:t>Variance</w:t>
            </w:r>
          </w:p>
        </w:tc>
        <w:tc>
          <w:tcPr>
            <w:tcW w:w="260" w:type="dxa"/>
            <w:vAlign w:val="bottom"/>
          </w:tcPr>
          <w:p>
            <w:pPr>
              <w:spacing w:after="0"/>
              <w:rPr>
                <w:sz w:val="23"/>
                <w:szCs w:val="23"/>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2017</w:t>
            </w:r>
          </w:p>
        </w:tc>
        <w:tc>
          <w:tcPr>
            <w:tcW w:w="1140" w:type="dxa"/>
            <w:vAlign w:val="bottom"/>
            <w:gridSpan w:val="2"/>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w w:val="92"/>
              </w:rPr>
              <w:t>Variance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right"/>
              <w:ind w:right="530"/>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EFFE7"/>
            </w:tcBorders>
            <w:shd w:val="clear" w:color="auto" w:fill="CEFFE7"/>
          </w:tcPr>
          <w:p>
            <w:pPr>
              <w:spacing w:after="0"/>
              <w:rPr>
                <w:sz w:val="23"/>
                <w:szCs w:val="23"/>
                <w:color w:val="auto"/>
              </w:rPr>
            </w:pPr>
          </w:p>
        </w:tc>
        <w:tc>
          <w:tcPr>
            <w:tcW w:w="43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EFFE7"/>
            </w:tcBorders>
            <w:gridSpan w:val="2"/>
            <w:shd w:val="clear" w:color="auto" w:fill="CEFFE7"/>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17,493</w:t>
            </w:r>
          </w:p>
        </w:tc>
        <w:tc>
          <w:tcPr>
            <w:tcW w:w="340" w:type="dxa"/>
            <w:vAlign w:val="bottom"/>
            <w:tcBorders>
              <w:bottom w:val="single" w:sz="8" w:color="CEFFE7"/>
            </w:tcBorders>
            <w:shd w:val="clear" w:color="auto" w:fill="CEFFE7"/>
          </w:tcPr>
          <w:p>
            <w:pPr>
              <w:jc w:val="center"/>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16,820</w:t>
            </w:r>
          </w:p>
        </w:tc>
        <w:tc>
          <w:tcPr>
            <w:tcW w:w="24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673</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48,985</w:t>
            </w:r>
          </w:p>
        </w:tc>
        <w:tc>
          <w:tcPr>
            <w:tcW w:w="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0"/>
              </w:rPr>
              <w:t>44,149</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4,836</w:t>
            </w:r>
          </w:p>
        </w:tc>
        <w:tc>
          <w:tcPr>
            <w:tcW w:w="2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43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11,235</w:t>
            </w:r>
          </w:p>
        </w:tc>
        <w:tc>
          <w:tcPr>
            <w:tcW w:w="3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10,465</w:t>
            </w:r>
          </w:p>
        </w:tc>
        <w:tc>
          <w:tcPr>
            <w:tcW w:w="2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770</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32,162</w:t>
            </w:r>
          </w:p>
        </w:tc>
        <w:tc>
          <w:tcPr>
            <w:tcW w:w="52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0"/>
              </w:rPr>
              <w:t>29,186</w:t>
            </w:r>
          </w:p>
        </w:tc>
        <w:tc>
          <w:tcPr>
            <w:tcW w:w="2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2,976</w:t>
            </w: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2,004</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2,342</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6,231</w:t>
            </w:r>
          </w:p>
        </w:tc>
        <w:tc>
          <w:tcPr>
            <w:tcW w:w="5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7,269</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EFFE7"/>
            </w:tcBorders>
          </w:tcPr>
          <w:p>
            <w:pPr>
              <w:spacing w:after="0"/>
              <w:rPr>
                <w:sz w:val="2"/>
                <w:szCs w:val="2"/>
                <w:color w:val="auto"/>
              </w:rPr>
            </w:pPr>
          </w:p>
        </w:tc>
        <w:tc>
          <w:tcPr>
            <w:tcW w:w="500" w:type="dxa"/>
            <w:vAlign w:val="bottom"/>
            <w:tcBorders>
              <w:bottom w:val="single" w:sz="8" w:color="CEFFE7"/>
            </w:tcBorders>
          </w:tcPr>
          <w:p>
            <w:pPr>
              <w:spacing w:after="0"/>
              <w:rPr>
                <w:sz w:val="2"/>
                <w:szCs w:val="2"/>
                <w:color w:val="auto"/>
              </w:rPr>
            </w:pPr>
          </w:p>
        </w:tc>
        <w:tc>
          <w:tcPr>
            <w:tcW w:w="3800" w:type="dxa"/>
            <w:vAlign w:val="bottom"/>
            <w:tcBorders>
              <w:bottom w:val="single" w:sz="8" w:color="CEFFE7"/>
            </w:tcBorders>
          </w:tcPr>
          <w:p>
            <w:pPr>
              <w:spacing w:after="0"/>
              <w:rPr>
                <w:sz w:val="2"/>
                <w:szCs w:val="2"/>
                <w:color w:val="auto"/>
              </w:rPr>
            </w:pPr>
          </w:p>
        </w:tc>
        <w:tc>
          <w:tcPr>
            <w:tcW w:w="26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EFFE7"/>
            </w:tcBorders>
            <w:shd w:val="clear" w:color="auto" w:fill="CEFFE7"/>
          </w:tcPr>
          <w:p>
            <w:pPr>
              <w:spacing w:after="0"/>
              <w:rPr>
                <w:sz w:val="22"/>
                <w:szCs w:val="22"/>
                <w:color w:val="auto"/>
              </w:rPr>
            </w:pPr>
          </w:p>
        </w:tc>
        <w:tc>
          <w:tcPr>
            <w:tcW w:w="430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EFFE7"/>
            </w:tcBorders>
            <w:shd w:val="clear" w:color="auto" w:fill="CEFFE7"/>
          </w:tcPr>
          <w:p>
            <w:pPr>
              <w:spacing w:after="0"/>
              <w:rPr>
                <w:sz w:val="22"/>
                <w:szCs w:val="22"/>
                <w:color w:val="auto"/>
              </w:rPr>
            </w:pPr>
          </w:p>
        </w:tc>
        <w:tc>
          <w:tcPr>
            <w:tcW w:w="160" w:type="dxa"/>
            <w:vAlign w:val="bottom"/>
            <w:tcBorders>
              <w:bottom w:val="single" w:sz="8" w:color="CEFFE7"/>
            </w:tcBorders>
            <w:shd w:val="clear" w:color="auto" w:fill="CEFFE7"/>
          </w:tcPr>
          <w:p>
            <w:pPr>
              <w:spacing w:after="0"/>
              <w:rPr>
                <w:sz w:val="22"/>
                <w:szCs w:val="22"/>
                <w:color w:val="auto"/>
              </w:rPr>
            </w:pP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13,239</w:t>
            </w:r>
          </w:p>
        </w:tc>
        <w:tc>
          <w:tcPr>
            <w:tcW w:w="34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12,807</w:t>
            </w:r>
          </w:p>
        </w:tc>
        <w:tc>
          <w:tcPr>
            <w:tcW w:w="24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432</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38,393</w:t>
            </w:r>
          </w:p>
        </w:tc>
        <w:tc>
          <w:tcPr>
            <w:tcW w:w="52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0"/>
              </w:rPr>
              <w:t>36,455</w:t>
            </w:r>
          </w:p>
        </w:tc>
        <w:tc>
          <w:tcPr>
            <w:tcW w:w="20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1,938</w:t>
            </w:r>
          </w:p>
        </w:tc>
        <w:tc>
          <w:tcPr>
            <w:tcW w:w="20" w:type="dxa"/>
            <w:vAlign w:val="bottom"/>
            <w:tcBorders>
              <w:bottom w:val="single" w:sz="8" w:color="CEFFE7"/>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EFFE7"/>
            </w:tcBorders>
            <w:shd w:val="clear" w:color="auto" w:fill="CEFFE7"/>
          </w:tcPr>
          <w:p>
            <w:pPr>
              <w:spacing w:after="0"/>
              <w:rPr>
                <w:sz w:val="23"/>
                <w:szCs w:val="23"/>
                <w:color w:val="auto"/>
              </w:rPr>
            </w:pPr>
          </w:p>
        </w:tc>
        <w:tc>
          <w:tcPr>
            <w:tcW w:w="430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4,254</w:t>
            </w:r>
          </w:p>
        </w:tc>
        <w:tc>
          <w:tcPr>
            <w:tcW w:w="34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4,013</w:t>
            </w:r>
          </w:p>
        </w:tc>
        <w:tc>
          <w:tcPr>
            <w:tcW w:w="24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241</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10,592</w:t>
            </w:r>
          </w:p>
        </w:tc>
        <w:tc>
          <w:tcPr>
            <w:tcW w:w="520" w:type="dxa"/>
            <w:vAlign w:val="bottom"/>
            <w:tcBorders>
              <w:bottom w:val="single" w:sz="8" w:color="CEFFE7"/>
            </w:tcBorders>
            <w:shd w:val="clear" w:color="auto" w:fill="CEFFE7"/>
          </w:tcPr>
          <w:p>
            <w:pPr>
              <w:spacing w:after="0"/>
              <w:rPr>
                <w:sz w:val="23"/>
                <w:szCs w:val="23"/>
                <w:color w:val="auto"/>
              </w:rPr>
            </w:pP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7,694</w:t>
            </w:r>
          </w:p>
        </w:tc>
        <w:tc>
          <w:tcPr>
            <w:tcW w:w="20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2,898</w:t>
            </w:r>
          </w:p>
        </w:tc>
        <w:tc>
          <w:tcPr>
            <w:tcW w:w="2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43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Interest (expense) income, net</w:t>
            </w:r>
          </w:p>
        </w:tc>
        <w:tc>
          <w:tcPr>
            <w:tcW w:w="2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w:t>
            </w:r>
          </w:p>
        </w:tc>
        <w:tc>
          <w:tcPr>
            <w:tcW w:w="3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(146)</w:t>
            </w:r>
          </w:p>
        </w:tc>
        <w:tc>
          <w:tcPr>
            <w:tcW w:w="52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137</w:t>
            </w: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1,644</w:t>
            </w:r>
          </w:p>
        </w:tc>
        <w:tc>
          <w:tcPr>
            <w:tcW w:w="5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1,625</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EFFE7"/>
            </w:tcBorders>
            <w:shd w:val="clear" w:color="auto" w:fill="CEFFE7"/>
          </w:tcPr>
          <w:p>
            <w:pPr>
              <w:spacing w:after="0"/>
              <w:rPr>
                <w:sz w:val="23"/>
                <w:szCs w:val="23"/>
                <w:color w:val="auto"/>
              </w:rPr>
            </w:pPr>
          </w:p>
        </w:tc>
        <w:tc>
          <w:tcPr>
            <w:tcW w:w="43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(1,297)</w:t>
            </w:r>
          </w:p>
        </w:tc>
        <w:tc>
          <w:tcPr>
            <w:tcW w:w="34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(1,165)</w:t>
            </w:r>
          </w:p>
        </w:tc>
        <w:tc>
          <w:tcPr>
            <w:tcW w:w="24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(3,042)</w:t>
            </w:r>
          </w:p>
        </w:tc>
        <w:tc>
          <w:tcPr>
            <w:tcW w:w="520" w:type="dxa"/>
            <w:vAlign w:val="bottom"/>
            <w:tcBorders>
              <w:bottom w:val="single" w:sz="8" w:color="CEFFE7"/>
            </w:tcBorders>
            <w:shd w:val="clear" w:color="auto" w:fill="CEFFE7"/>
          </w:tcPr>
          <w:p>
            <w:pPr>
              <w:spacing w:after="0"/>
              <w:rPr>
                <w:sz w:val="23"/>
                <w:szCs w:val="23"/>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(2,067)</w:t>
            </w:r>
          </w:p>
        </w:tc>
        <w:tc>
          <w:tcPr>
            <w:tcW w:w="20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(975)</w:t>
            </w:r>
          </w:p>
        </w:tc>
        <w:tc>
          <w:tcPr>
            <w:tcW w:w="2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shd w:val="clear" w:color="auto" w:fill="CEFFE7"/>
          </w:tcPr>
          <w:p>
            <w:pPr>
              <w:spacing w:after="0"/>
              <w:rPr>
                <w:sz w:val="22"/>
                <w:szCs w:val="22"/>
                <w:color w:val="auto"/>
              </w:rPr>
            </w:pPr>
          </w:p>
        </w:tc>
        <w:tc>
          <w:tcPr>
            <w:tcW w:w="4300" w:type="dxa"/>
            <w:vAlign w:val="bottom"/>
            <w:gridSpan w:val="2"/>
            <w:shd w:val="clear" w:color="auto" w:fill="CEFFE7"/>
          </w:tcPr>
          <w:p>
            <w:pPr>
              <w:ind w:left="160"/>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EFFE7"/>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3,477</w:t>
            </w:r>
          </w:p>
        </w:tc>
        <w:tc>
          <w:tcPr>
            <w:tcW w:w="340" w:type="dxa"/>
            <w:vAlign w:val="bottom"/>
            <w:shd w:val="clear" w:color="auto" w:fill="CEFFE7"/>
          </w:tcPr>
          <w:p>
            <w:pPr>
              <w:jc w:val="center"/>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3,307</w:t>
            </w:r>
          </w:p>
        </w:tc>
        <w:tc>
          <w:tcPr>
            <w:tcW w:w="240" w:type="dxa"/>
            <w:vAlign w:val="bottom"/>
            <w:shd w:val="clear" w:color="auto" w:fill="CEFFE7"/>
          </w:tcPr>
          <w:p>
            <w:pPr>
              <w:jc w:val="center"/>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9,048</w:t>
            </w:r>
          </w:p>
        </w:tc>
        <w:tc>
          <w:tcPr>
            <w:tcW w:w="520" w:type="dxa"/>
            <w:vAlign w:val="bottom"/>
            <w:shd w:val="clear" w:color="auto" w:fill="CEFFE7"/>
          </w:tcPr>
          <w:p>
            <w:pPr>
              <w:ind w:lef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6,969</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2,079</w:t>
            </w:r>
          </w:p>
        </w:tc>
        <w:tc>
          <w:tcPr>
            <w:tcW w:w="20" w:type="dxa"/>
            <w:vAlign w:val="bottom"/>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500" w:type="dxa"/>
            <w:vAlign w:val="bottom"/>
            <w:tcBorders>
              <w:top w:val="single" w:sz="8" w:color="CEFFE7"/>
            </w:tcBorders>
          </w:tcPr>
          <w:p>
            <w:pPr>
              <w:spacing w:after="0" w:line="20" w:lineRule="exact"/>
              <w:rPr>
                <w:sz w:val="1"/>
                <w:szCs w:val="1"/>
                <w:color w:val="auto"/>
              </w:rPr>
            </w:pPr>
          </w:p>
        </w:tc>
        <w:tc>
          <w:tcPr>
            <w:tcW w:w="380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operating statistics for our Mining segment (in thousands, except for Revenue per ton):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460" w:type="dxa"/>
            <w:vAlign w:val="bottom"/>
            <w:gridSpan w:val="4"/>
          </w:tcPr>
          <w:p>
            <w:pPr>
              <w:jc w:val="right"/>
              <w:ind w:right="330"/>
              <w:spacing w:after="0"/>
              <w:rPr>
                <w:sz w:val="20"/>
                <w:szCs w:val="20"/>
                <w:color w:val="auto"/>
              </w:rPr>
            </w:pPr>
            <w:r>
              <w:rPr>
                <w:rFonts w:ascii="Arial" w:cs="Arial" w:eastAsia="Arial" w:hAnsi="Arial"/>
                <w:sz w:val="18"/>
                <w:szCs w:val="18"/>
                <w:color w:val="auto"/>
              </w:rPr>
              <w:t>Three Months Ended September 30,</w:t>
            </w:r>
          </w:p>
        </w:tc>
        <w:tc>
          <w:tcPr>
            <w:tcW w:w="380" w:type="dxa"/>
            <w:vAlign w:val="bottom"/>
          </w:tcPr>
          <w:p>
            <w:pPr>
              <w:spacing w:after="0"/>
              <w:rPr>
                <w:sz w:val="20"/>
                <w:szCs w:val="20"/>
                <w:color w:val="auto"/>
              </w:rPr>
            </w:pPr>
          </w:p>
        </w:tc>
        <w:tc>
          <w:tcPr>
            <w:tcW w:w="3120" w:type="dxa"/>
            <w:vAlign w:val="bottom"/>
            <w:gridSpan w:val="3"/>
          </w:tcPr>
          <w:p>
            <w:pPr>
              <w:jc w:val="right"/>
              <w:ind w:right="330"/>
              <w:spacing w:after="0"/>
              <w:rPr>
                <w:sz w:val="20"/>
                <w:szCs w:val="20"/>
                <w:color w:val="auto"/>
              </w:rPr>
            </w:pPr>
            <w:r>
              <w:rPr>
                <w:rFonts w:ascii="Arial" w:cs="Arial" w:eastAsia="Arial" w:hAnsi="Arial"/>
                <w:sz w:val="18"/>
                <w:szCs w:val="18"/>
                <w:color w:val="auto"/>
                <w:w w:val="95"/>
              </w:rPr>
              <w:t>Nine Months Ended September 30,</w:t>
            </w:r>
          </w:p>
        </w:tc>
      </w:tr>
      <w:tr>
        <w:trPr>
          <w:trHeight w:val="270"/>
        </w:trPr>
        <w:tc>
          <w:tcPr>
            <w:tcW w:w="4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3"/>
                <w:szCs w:val="23"/>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4460" w:type="dxa"/>
            <w:vAlign w:val="bottom"/>
            <w:tcBorders>
              <w:bottom w:val="single" w:sz="8" w:color="CEFFE7"/>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Tons of coal sold</w:t>
            </w:r>
          </w:p>
        </w:tc>
        <w:tc>
          <w:tcPr>
            <w:tcW w:w="114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1,151</w:t>
            </w:r>
          </w:p>
        </w:tc>
        <w:tc>
          <w:tcPr>
            <w:tcW w:w="4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1,106</w:t>
            </w:r>
          </w:p>
        </w:tc>
        <w:tc>
          <w:tcPr>
            <w:tcW w:w="3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3,127</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2,722</w:t>
            </w:r>
          </w:p>
        </w:tc>
      </w:tr>
      <w:tr>
        <w:trPr>
          <w:trHeight w:val="270"/>
        </w:trPr>
        <w:tc>
          <w:tcPr>
            <w:tcW w:w="44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Cubic yards of overburden moved </w:t>
            </w:r>
            <w:r>
              <w:rPr>
                <w:rFonts w:ascii="Arial" w:cs="Arial" w:eastAsia="Arial" w:hAnsi="Arial"/>
                <w:sz w:val="25"/>
                <w:szCs w:val="25"/>
                <w:color w:val="auto"/>
                <w:vertAlign w:val="superscript"/>
              </w:rPr>
              <w:t>(a)</w:t>
            </w:r>
          </w:p>
        </w:tc>
        <w:tc>
          <w:tcPr>
            <w:tcW w:w="1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2,316</w:t>
            </w:r>
          </w:p>
        </w:tc>
        <w:tc>
          <w:tcPr>
            <w:tcW w:w="4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2,065</w:t>
            </w:r>
          </w:p>
        </w:tc>
        <w:tc>
          <w:tcPr>
            <w:tcW w:w="3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6,381</w:t>
            </w:r>
          </w:p>
        </w:tc>
        <w:tc>
          <w:tcPr>
            <w:tcW w:w="4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5,516</w:t>
            </w:r>
          </w:p>
        </w:tc>
      </w:tr>
      <w:tr>
        <w:trPr>
          <w:trHeight w:val="324"/>
        </w:trPr>
        <w:tc>
          <w:tcPr>
            <w:tcW w:w="446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560" w:type="dxa"/>
            <w:vAlign w:val="bottom"/>
            <w:shd w:val="clear" w:color="auto" w:fill="CEFFE7"/>
          </w:tcPr>
          <w:p>
            <w:pPr>
              <w:spacing w:after="0"/>
              <w:rPr>
                <w:sz w:val="24"/>
                <w:szCs w:val="24"/>
                <w:color w:val="auto"/>
              </w:rPr>
            </w:pPr>
          </w:p>
        </w:tc>
        <w:tc>
          <w:tcPr>
            <w:tcW w:w="44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44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Revenue per ton</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15.20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15.20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15.67</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16.21</w:t>
            </w:r>
          </w:p>
        </w:tc>
      </w:tr>
      <w:tr>
        <w:trPr>
          <w:trHeight w:val="193"/>
        </w:trPr>
        <w:tc>
          <w:tcPr>
            <w:tcW w:w="4460" w:type="dxa"/>
            <w:vAlign w:val="bottom"/>
          </w:tcPr>
          <w:p>
            <w:pPr>
              <w:jc w:val="right"/>
              <w:ind w:right="3392"/>
              <w:spacing w:after="0"/>
              <w:rPr>
                <w:sz w:val="20"/>
                <w:szCs w:val="20"/>
                <w:color w:val="auto"/>
              </w:rPr>
            </w:pPr>
            <w:r>
              <w:rPr>
                <w:rFonts w:ascii="Arial" w:cs="Arial" w:eastAsia="Arial" w:hAnsi="Arial"/>
                <w:sz w:val="16"/>
                <w:szCs w:val="16"/>
                <w:color w:val="auto"/>
                <w:w w:val="89"/>
              </w:rPr>
              <w:t>____________</w:t>
            </w: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Increase is driven by mining in areas with more overburden than in the prior year as well as higher production.</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1" w:name="page62"/>
    <w:bookmarkEnd w:id="61"/>
    <w:p>
      <w:pPr>
        <w:ind w:right="140"/>
        <w:spacing w:after="0" w:line="266" w:lineRule="auto"/>
        <w:rPr>
          <w:sz w:val="20"/>
          <w:szCs w:val="20"/>
          <w:color w:val="auto"/>
        </w:rPr>
      </w:pPr>
      <w:r>
        <w:rPr>
          <w:rFonts w:ascii="Arial" w:cs="Arial" w:eastAsia="Arial" w:hAnsi="Arial"/>
          <w:sz w:val="18"/>
          <w:szCs w:val="18"/>
          <w:b w:val="1"/>
          <w:bCs w:val="1"/>
          <w:color w:val="auto"/>
        </w:rPr>
        <w:t xml:space="preserve">Results of Operations for Mining for the Three Months Ended September 30, 2017 Compared to the Three Months Ended September 30, 2016: </w:t>
      </w:r>
      <w:r>
        <w:rPr>
          <w:rFonts w:ascii="Arial" w:cs="Arial" w:eastAsia="Arial" w:hAnsi="Arial"/>
          <w:sz w:val="18"/>
          <w:szCs w:val="18"/>
          <w:color w:val="auto"/>
        </w:rPr>
        <w:t>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available for common stock for the Mining segment was $3.5 million for the three months ended September 30, 2017, compared to Net income available for common stock of $3.3 million for the same period in 2016 as a result of:</w:t>
      </w:r>
    </w:p>
    <w:p>
      <w:pPr>
        <w:spacing w:after="0" w:line="18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increased due to a 4% increase in tons sold, with comparable pricing to the same period last year. The increased tons sold were driven primarily by Wyodak plant generating requirements. During the current period, approximately 47% of the mine’s production was sold under contracts that include price adjustments based on actual mining costs, including 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Operations and maintenance</w:t>
      </w:r>
      <w:r>
        <w:rPr>
          <w:rFonts w:ascii="Arial" w:cs="Arial" w:eastAsia="Arial" w:hAnsi="Arial"/>
          <w:sz w:val="16"/>
          <w:szCs w:val="16"/>
          <w:color w:val="auto"/>
        </w:rPr>
        <w:t xml:space="preserve"> increased primarily due to increased overburden removal and higher royalties and production taxes on increased revenues.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depletion and amortization</w:t>
      </w:r>
      <w:r>
        <w:rPr>
          <w:rFonts w:ascii="Arial" w:cs="Arial" w:eastAsia="Arial" w:hAnsi="Arial"/>
          <w:sz w:val="18"/>
          <w:szCs w:val="18"/>
          <w:color w:val="auto"/>
        </w:rPr>
        <w:t xml:space="preserve"> decreased primarily due to a reduction in asset retirement obligation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is comparable to the same period last year.</w:t>
      </w:r>
    </w:p>
    <w:p>
      <w:pPr>
        <w:spacing w:after="0" w:line="221"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Results of Operations for Mining for the Nine Months Ended September 30, 2017 Compared to the Nine Months Ended September 30, 2016: </w:t>
      </w:r>
      <w:r>
        <w:rPr>
          <w:rFonts w:ascii="Arial" w:cs="Arial" w:eastAsia="Arial" w:hAnsi="Arial"/>
          <w:sz w:val="18"/>
          <w:szCs w:val="18"/>
          <w:color w:val="auto"/>
        </w:rPr>
        <w:t>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available for common stock for the Mining segment was $9.0 million for the nine months ended September 30, 2017, compared to Net income available for common stock of $7.0 million for the same period in 2016 as a result of:</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increased due to a 15% increase in tons sold, partially offset by a 3% decrease in price per ton sold. The increased tons sold were driven primarily by an 11-week outage at the Wyodak plant in the prior year. The decrease in price per ton sold was driven by higher volumes sold under fixed price contracts. During the current period, approximately 46% of the mine’s production was sold under contracts that include price adjustments based on actual mining costs, including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Operations and maintenance</w:t>
      </w:r>
      <w:r>
        <w:rPr>
          <w:rFonts w:ascii="Arial" w:cs="Arial" w:eastAsia="Arial" w:hAnsi="Arial"/>
          <w:sz w:val="16"/>
          <w:szCs w:val="16"/>
          <w:color w:val="auto"/>
        </w:rPr>
        <w:t xml:space="preserve"> increased primarily due to increased overburden removal and higher royalties and production taxes on increased revenues.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depletion and amortization</w:t>
      </w:r>
      <w:r>
        <w:rPr>
          <w:rFonts w:ascii="Arial" w:cs="Arial" w:eastAsia="Arial" w:hAnsi="Arial"/>
          <w:sz w:val="18"/>
          <w:szCs w:val="18"/>
          <w:color w:val="auto"/>
        </w:rPr>
        <w:t xml:space="preserve"> decreased primarily due to lower asset retirement obligation costs and lower plant in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increased reflecting a prior year tax benefit of percentage depletion.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u w:val="single" w:color="auto"/>
          <w:color w:val="auto"/>
        </w:rPr>
        <w:t>Oil and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Operations and maintenance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 depletion and amortization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Impairment of long-lived assets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operating expenses</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(loss)</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income (expense),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 (expense),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benefit (expense)</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3160" w:type="dxa"/>
            <w:vAlign w:val="bottom"/>
            <w:gridSpan w:val="5"/>
          </w:tcPr>
          <w:p>
            <w:pPr>
              <w:jc w:val="right"/>
              <w:ind w:right="290"/>
              <w:spacing w:after="0"/>
              <w:rPr>
                <w:sz w:val="20"/>
                <w:szCs w:val="20"/>
                <w:color w:val="auto"/>
              </w:rPr>
            </w:pPr>
            <w:r>
              <w:rPr>
                <w:rFonts w:ascii="Arial" w:cs="Arial" w:eastAsia="Arial" w:hAnsi="Arial"/>
                <w:sz w:val="18"/>
                <w:szCs w:val="18"/>
                <w:color w:val="auto"/>
                <w:w w:val="94"/>
              </w:rPr>
              <w:t>Three Months Ended September 30,</w:t>
            </w:r>
          </w:p>
        </w:tc>
        <w:tc>
          <w:tcPr>
            <w:tcW w:w="260" w:type="dxa"/>
            <w:vAlign w:val="bottom"/>
          </w:tcPr>
          <w:p>
            <w:pPr>
              <w:spacing w:after="0"/>
              <w:rPr>
                <w:sz w:val="20"/>
                <w:szCs w:val="20"/>
                <w:color w:val="auto"/>
              </w:rPr>
            </w:pPr>
          </w:p>
        </w:tc>
        <w:tc>
          <w:tcPr>
            <w:tcW w:w="3160" w:type="dxa"/>
            <w:vAlign w:val="bottom"/>
            <w:gridSpan w:val="5"/>
          </w:tcPr>
          <w:p>
            <w:pPr>
              <w:jc w:val="right"/>
              <w:ind w:right="330"/>
              <w:spacing w:after="0"/>
              <w:rPr>
                <w:sz w:val="20"/>
                <w:szCs w:val="20"/>
                <w:color w:val="auto"/>
              </w:rPr>
            </w:pPr>
            <w:r>
              <w:rPr>
                <w:rFonts w:ascii="Arial" w:cs="Arial" w:eastAsia="Arial" w:hAnsi="Arial"/>
                <w:sz w:val="18"/>
                <w:szCs w:val="18"/>
                <w:color w:val="auto"/>
                <w:w w:val="96"/>
              </w:rPr>
              <w:t>Nine Months Ended September 30,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3"/>
          </w:tcPr>
          <w:p>
            <w:pPr>
              <w:jc w:val="right"/>
              <w:ind w:right="53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6,527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9,639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19,151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25,660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(6,509)</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61"/>
        </w:trPr>
        <w:tc>
          <w:tcPr>
            <w:tcW w:w="2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6,076</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7,592</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(1,516)</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20,385</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24,539</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(4,154)</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2,391</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3,483</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(1,092)</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6,300</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11,415</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(5,115)</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12,293</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(12,293)</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52,286</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(52,286)</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8,467</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23,368</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(14,901)</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26,685</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88,240</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(61,555)</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61"/>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(1,940)</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(13,729)</w:t>
            </w:r>
          </w:p>
        </w:tc>
        <w:tc>
          <w:tcPr>
            <w:tcW w:w="1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11,789</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(7,534)</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(62,580)</w:t>
            </w:r>
          </w:p>
        </w:tc>
        <w:tc>
          <w:tcPr>
            <w:tcW w:w="2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55,046</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61"/>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(1,269)</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(1,295)</w:t>
            </w:r>
          </w:p>
        </w:tc>
        <w:tc>
          <w:tcPr>
            <w:tcW w:w="1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(3,459)</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(3,529)</w:t>
            </w:r>
          </w:p>
        </w:tc>
        <w:tc>
          <w:tcPr>
            <w:tcW w:w="2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6,180</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(5,680)</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3,370</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30,747</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(27,377)</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61"/>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(8,828)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6,116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(7,609)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(35,277)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27,668</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-2606675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-2220595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-1877695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-1525905</wp:posOffset>
            </wp:positionV>
            <wp:extent cx="7246620"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-1139825</wp:posOffset>
            </wp:positionV>
            <wp:extent cx="7246620" cy="214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-753745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-410845</wp:posOffset>
            </wp:positionV>
            <wp:extent cx="7246620" cy="214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3860" w:space="720"/>
            <w:col w:w="6840"/>
          </w:cols>
          <w:pgMar w:left="240" w:top="584" w:right="239" w:bottom="1440" w:gutter="0" w:footer="0" w:header="0"/>
        </w:sectPr>
      </w:pPr>
    </w:p>
    <w:p>
      <w:pPr>
        <w:ind w:right="80"/>
        <w:spacing w:after="0" w:line="266" w:lineRule="auto"/>
        <w:rPr>
          <w:sz w:val="20"/>
          <w:szCs w:val="20"/>
          <w:color w:val="auto"/>
        </w:rPr>
      </w:pPr>
      <w:r>
        <w:rPr>
          <w:rFonts w:ascii="Arial" w:cs="Arial" w:eastAsia="Arial" w:hAnsi="Arial"/>
          <w:sz w:val="18"/>
          <w:szCs w:val="18"/>
          <w:b w:val="1"/>
          <w:bCs w:val="1"/>
          <w:color w:val="auto"/>
        </w:rPr>
        <w:t xml:space="preserve">Results of Operations for Oil and Gas for the Three Months Ended September 30, 2017 Compared to the Three Months Ended September 30, 2016: </w:t>
      </w:r>
      <w:r>
        <w:rPr>
          <w:rFonts w:ascii="Arial" w:cs="Arial" w:eastAsia="Arial" w:hAnsi="Arial"/>
          <w:sz w:val="18"/>
          <w:szCs w:val="18"/>
          <w:color w:val="auto"/>
        </w:rPr>
        <w:t>Net loss available for common stock for the Oil and Gas segment was $(2.7) million for the three months ended September 30, 2017, compared to Net loss available for common stock of $(8.8) million for the same period in 2016 as a result of:</w:t>
      </w:r>
    </w:p>
    <w:p>
      <w:pPr>
        <w:spacing w:after="0" w:line="18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u w:val="single" w:color="auto"/>
          <w:color w:val="auto"/>
        </w:rPr>
        <w:t>Revenue</w:t>
      </w:r>
      <w:r>
        <w:rPr>
          <w:rFonts w:ascii="Arial" w:cs="Arial" w:eastAsia="Arial" w:hAnsi="Arial"/>
          <w:sz w:val="16"/>
          <w:szCs w:val="16"/>
          <w:color w:val="auto"/>
        </w:rPr>
        <w:t xml:space="preserve"> decreased primarily due to a 9% production decrease compared to the same period in the prior year. Natural gas production decreased primarily due to the 2016 sales of non-core properties, and the intentional limiting of gas production to the minimum daily quantities required to meet contractual processing commitments in the Piceance Basin. Crude oil production also decreased due to non-core property sales in the fourth quarter of 2016. The average hedged price received for crude oil sold decreased 11%. The average hedged price received for natural gas sold decreased by 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decreased primarily due to lower employee costs and lower production and ad valorem taxes on lower revenue.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Depreciation, depletion and amortization</w:t>
      </w:r>
      <w:r>
        <w:rPr>
          <w:rFonts w:ascii="Arial" w:cs="Arial" w:eastAsia="Arial" w:hAnsi="Arial"/>
          <w:sz w:val="18"/>
          <w:szCs w:val="18"/>
          <w:color w:val="auto"/>
        </w:rPr>
        <w:t xml:space="preserve"> decreased primarily due to the reduction in our full cost pool resulting from the ceiling test impairments incurred in the prior year.</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u w:val="single" w:color="auto"/>
          <w:color w:val="auto"/>
        </w:rPr>
        <w:t>Impairment of long-lived assets</w:t>
      </w:r>
      <w:r>
        <w:rPr>
          <w:rFonts w:ascii="Arial" w:cs="Arial" w:eastAsia="Arial" w:hAnsi="Arial"/>
          <w:sz w:val="17"/>
          <w:szCs w:val="17"/>
          <w:color w:val="auto"/>
        </w:rPr>
        <w:t xml:space="preserve"> represents a prior year non-cash write-down in the value of our natural gas and crude oil properties driven by low natural gas and crude oil prices. The prior year ceiling test write-down of $12 million used a trailing 12 month average NYMEX natural gas price of $2.28 per Mcf, adjusted to $1.03 per Mcf at the wellhead, and $41.68 per barrel for crude oil, adjusted to $35.88 per barrel at the wellhead.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income (expense), net</w:t>
      </w:r>
      <w:r>
        <w:rPr>
          <w:rFonts w:ascii="Arial" w:cs="Arial" w:eastAsia="Arial" w:hAnsi="Arial"/>
          <w:sz w:val="18"/>
          <w:szCs w:val="18"/>
          <w:color w:val="auto"/>
        </w:rPr>
        <w:t xml:space="preserve"> was comparable to the same period last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Income tax (expense) benefit</w:t>
      </w:r>
      <w:r>
        <w:rPr>
          <w:rFonts w:ascii="Arial" w:cs="Arial" w:eastAsia="Arial" w:hAnsi="Arial"/>
          <w:sz w:val="18"/>
          <w:szCs w:val="18"/>
          <w:color w:val="auto"/>
        </w:rPr>
        <w:t>: Each period represents a tax benefit. The current period effective tax rate is lower due primarily to a reduction to the marginal well credit compared to the same period last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type w:val="continuous"/>
        </w:sectPr>
      </w:pPr>
    </w:p>
    <w:bookmarkStart w:id="63" w:name="page64"/>
    <w:bookmarkEnd w:id="63"/>
    <w:p>
      <w:pPr>
        <w:jc w:val="both"/>
        <w:ind w:right="280"/>
        <w:spacing w:after="0" w:line="266" w:lineRule="auto"/>
        <w:rPr>
          <w:sz w:val="20"/>
          <w:szCs w:val="20"/>
          <w:color w:val="auto"/>
        </w:rPr>
      </w:pPr>
      <w:r>
        <w:rPr>
          <w:rFonts w:ascii="Arial" w:cs="Arial" w:eastAsia="Arial" w:hAnsi="Arial"/>
          <w:sz w:val="18"/>
          <w:szCs w:val="18"/>
          <w:b w:val="1"/>
          <w:bCs w:val="1"/>
          <w:color w:val="auto"/>
        </w:rPr>
        <w:t xml:space="preserve">Results of Operations for Oil and Gas for the Nine Months Ended September 30, 2017 Compared to the Nine Months Ended September 30, 2016: </w:t>
      </w:r>
      <w:r>
        <w:rPr>
          <w:rFonts w:ascii="Arial" w:cs="Arial" w:eastAsia="Arial" w:hAnsi="Arial"/>
          <w:sz w:val="18"/>
          <w:szCs w:val="18"/>
          <w:color w:val="auto"/>
        </w:rPr>
        <w:t>Net loss available for common stock for the Oil and Gas segment was $(7.6) million for the nine months ended September 30, 2017, compared to Net loss available for common stock of $(35) million for the same period in 2016 as a result of:</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decreased primarily due to a 17% production decrease compared to the same period in the prior year. Natural gas production decreased primarily due to the 2016 sales of non-core properties and the intentional limiting of gas production to the minimum daily quantities required to meet contractual processing commitments in the Piceance Basin. Crude oil production also decreased due to non-core property sales in the fourth quarter of 2016. The average hedged price received for crude oil sold decreased 14%. The lower production volumes and crude oil pricing were partially offset by a 21% increase in the average hedged price received for natural gas sold.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decreased primarily due to lower employee costs and lower production and ad valorem taxes on lower revenue.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Depreciation, depletion and amortization</w:t>
      </w:r>
      <w:r>
        <w:rPr>
          <w:rFonts w:ascii="Arial" w:cs="Arial" w:eastAsia="Arial" w:hAnsi="Arial"/>
          <w:sz w:val="18"/>
          <w:szCs w:val="18"/>
          <w:color w:val="auto"/>
        </w:rPr>
        <w:t xml:space="preserve"> decreased primarily due to the reduction in our full cost pool resulting from the ceiling test impairments incurred in the prior year.</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u w:val="single" w:color="auto"/>
          <w:color w:val="auto"/>
        </w:rPr>
        <w:t>Impairment of long-lived assets</w:t>
      </w:r>
      <w:r>
        <w:rPr>
          <w:rFonts w:ascii="Arial" w:cs="Arial" w:eastAsia="Arial" w:hAnsi="Arial"/>
          <w:sz w:val="16"/>
          <w:szCs w:val="16"/>
          <w:color w:val="auto"/>
        </w:rPr>
        <w:t xml:space="preserve"> represents a prior year non-cash write-down in the value of our natural gas and crude oil properties driven by low natural gas and crude oil prices. The prior year write down of $52 million included a $14 million write-down of depreciable properties excluded from our full-cost pool and a ceiling test write-down of $38 million. The ceiling test write-down for the nine months ended September 30, 2016 used an average NYMEX natural gas price of $2.28 per Mcf, adjusted to $1.03 per Mcf at the well head, and $41.68 per barrel for crude oil, adjusted to $35.88 per barrel at the wellhead.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income (expense), net</w:t>
      </w:r>
      <w:r>
        <w:rPr>
          <w:rFonts w:ascii="Arial" w:cs="Arial" w:eastAsia="Arial" w:hAnsi="Arial"/>
          <w:sz w:val="18"/>
          <w:szCs w:val="18"/>
          <w:color w:val="auto"/>
        </w:rPr>
        <w:t xml:space="preserve"> was comparable to the same period last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Income tax (expense) benefit</w:t>
      </w:r>
      <w:r>
        <w:rPr>
          <w:rFonts w:ascii="Arial" w:cs="Arial" w:eastAsia="Arial" w:hAnsi="Arial"/>
          <w:sz w:val="18"/>
          <w:szCs w:val="18"/>
          <w:color w:val="auto"/>
        </w:rPr>
        <w:t>: Each period represents a tax benefit. The effective tax rate for the nine months ended September 30, 2016 reflects a benefit of approximately $5.8 million from additional percentage depletion deductions being claimed with respect to a change in estimate for tax purposes. Such deductions were primarily the result of a change in the application of the maximum daily limitation of 1,000 Bbls of oil equivalent allowed under the Internal Revenue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certain operating statistics for our Oil and Gas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80" w:type="dxa"/>
            <w:vAlign w:val="bottom"/>
            <w:gridSpan w:val="3"/>
          </w:tcPr>
          <w:p>
            <w:pPr>
              <w:jc w:val="right"/>
              <w:ind w:right="330"/>
              <w:spacing w:after="0"/>
              <w:rPr>
                <w:sz w:val="20"/>
                <w:szCs w:val="20"/>
                <w:color w:val="auto"/>
              </w:rPr>
            </w:pPr>
            <w:r>
              <w:rPr>
                <w:rFonts w:ascii="Arial" w:cs="Arial" w:eastAsia="Arial" w:hAnsi="Arial"/>
                <w:sz w:val="18"/>
                <w:szCs w:val="18"/>
                <w:color w:val="auto"/>
                <w:w w:val="94"/>
              </w:rPr>
              <w:t>Three Months Ended September 30,</w:t>
            </w:r>
          </w:p>
        </w:tc>
        <w:tc>
          <w:tcPr>
            <w:tcW w:w="380" w:type="dxa"/>
            <w:vAlign w:val="bottom"/>
          </w:tcPr>
          <w:p>
            <w:pPr>
              <w:spacing w:after="0"/>
              <w:rPr>
                <w:sz w:val="20"/>
                <w:szCs w:val="20"/>
                <w:color w:val="auto"/>
              </w:rPr>
            </w:pPr>
          </w:p>
        </w:tc>
        <w:tc>
          <w:tcPr>
            <w:tcW w:w="3120" w:type="dxa"/>
            <w:vAlign w:val="bottom"/>
            <w:gridSpan w:val="3"/>
          </w:tcPr>
          <w:p>
            <w:pPr>
              <w:jc w:val="right"/>
              <w:ind w:right="330"/>
              <w:spacing w:after="0"/>
              <w:rPr>
                <w:sz w:val="20"/>
                <w:szCs w:val="20"/>
                <w:color w:val="auto"/>
              </w:rPr>
            </w:pPr>
            <w:r>
              <w:rPr>
                <w:rFonts w:ascii="Arial" w:cs="Arial" w:eastAsia="Arial" w:hAnsi="Arial"/>
                <w:sz w:val="18"/>
                <w:szCs w:val="18"/>
                <w:color w:val="auto"/>
                <w:w w:val="95"/>
              </w:rPr>
              <w:t>Nine Months Ended September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3"/>
                <w:szCs w:val="23"/>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Production:</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Bbls of oil sold</w:t>
            </w:r>
          </w:p>
        </w:tc>
        <w:tc>
          <w:tcPr>
            <w:tcW w:w="2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45,240</w:t>
            </w:r>
          </w:p>
        </w:tc>
        <w:tc>
          <w:tcPr>
            <w:tcW w:w="4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89,569</w:t>
            </w:r>
          </w:p>
        </w:tc>
        <w:tc>
          <w:tcPr>
            <w:tcW w:w="3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139,642</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263,788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Mcf of natural gas sold</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2,379,189</w:t>
            </w:r>
          </w:p>
        </w:tc>
        <w:tc>
          <w:tcPr>
            <w:tcW w:w="4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2,426,892</w:t>
            </w: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6,392,999</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7,148,952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Bbls of NGL sold</w:t>
            </w:r>
          </w:p>
        </w:tc>
        <w:tc>
          <w:tcPr>
            <w:tcW w:w="2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30,810</w:t>
            </w:r>
          </w:p>
        </w:tc>
        <w:tc>
          <w:tcPr>
            <w:tcW w:w="4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27,640</w:t>
            </w:r>
          </w:p>
        </w:tc>
        <w:tc>
          <w:tcPr>
            <w:tcW w:w="3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82,539</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105,535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Mcf equivalent sales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2,835,487</w:t>
            </w:r>
          </w:p>
        </w:tc>
        <w:tc>
          <w:tcPr>
            <w:tcW w:w="4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3,130,147</w:t>
            </w: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7,726,083</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9,364,891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3"/>
          </w:tcPr>
          <w:p>
            <w:pPr>
              <w:jc w:val="right"/>
              <w:ind w:right="330"/>
              <w:spacing w:after="0"/>
              <w:rPr>
                <w:sz w:val="20"/>
                <w:szCs w:val="20"/>
                <w:color w:val="auto"/>
              </w:rPr>
            </w:pPr>
            <w:r>
              <w:rPr>
                <w:rFonts w:ascii="Arial" w:cs="Arial" w:eastAsia="Arial" w:hAnsi="Arial"/>
                <w:sz w:val="18"/>
                <w:szCs w:val="18"/>
                <w:color w:val="auto"/>
                <w:w w:val="94"/>
              </w:rPr>
              <w:t>Three Months Ended September 30,</w:t>
            </w:r>
          </w:p>
        </w:tc>
        <w:tc>
          <w:tcPr>
            <w:tcW w:w="380" w:type="dxa"/>
            <w:vAlign w:val="bottom"/>
          </w:tcPr>
          <w:p>
            <w:pPr>
              <w:spacing w:after="0"/>
              <w:rPr>
                <w:sz w:val="24"/>
                <w:szCs w:val="24"/>
                <w:color w:val="auto"/>
              </w:rPr>
            </w:pPr>
          </w:p>
        </w:tc>
        <w:tc>
          <w:tcPr>
            <w:tcW w:w="3120" w:type="dxa"/>
            <w:vAlign w:val="bottom"/>
            <w:gridSpan w:val="3"/>
          </w:tcPr>
          <w:p>
            <w:pPr>
              <w:jc w:val="right"/>
              <w:ind w:right="330"/>
              <w:spacing w:after="0"/>
              <w:rPr>
                <w:sz w:val="20"/>
                <w:szCs w:val="20"/>
                <w:color w:val="auto"/>
              </w:rPr>
            </w:pPr>
            <w:r>
              <w:rPr>
                <w:rFonts w:ascii="Arial" w:cs="Arial" w:eastAsia="Arial" w:hAnsi="Arial"/>
                <w:sz w:val="18"/>
                <w:szCs w:val="18"/>
                <w:color w:val="auto"/>
                <w:w w:val="95"/>
              </w:rPr>
              <w:t>Nine Months Ended September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3"/>
                <w:szCs w:val="23"/>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 xml:space="preserve">Average price received: </w:t>
            </w:r>
            <w:r>
              <w:rPr>
                <w:rFonts w:ascii="Arial" w:cs="Arial" w:eastAsia="Arial" w:hAnsi="Arial"/>
                <w:sz w:val="25"/>
                <w:szCs w:val="25"/>
                <w:color w:val="auto"/>
                <w:vertAlign w:val="superscript"/>
              </w:rPr>
              <w:t>(a)</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Oil/Bbl</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50.22</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56.64</w:t>
            </w:r>
          </w:p>
        </w:tc>
        <w:tc>
          <w:tcPr>
            <w:tcW w:w="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46.95</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Gas/Mcf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1.39</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1.55</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NGL/Bbl</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21.79</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11.31</w:t>
            </w:r>
          </w:p>
        </w:tc>
        <w:tc>
          <w:tcPr>
            <w:tcW w:w="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19.99</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Depletion expense/Mcfe</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0.52</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0.81</w:t>
            </w:r>
          </w:p>
        </w:tc>
        <w:tc>
          <w:tcPr>
            <w:tcW w:w="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0.46</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__________</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Net of hedge settlement gains and losses.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following is a summary of certain average operating expenses per Mcfe: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20" w:type="dxa"/>
            <w:vAlign w:val="bottom"/>
            <w:gridSpan w:val="5"/>
          </w:tcPr>
          <w:p>
            <w:pPr>
              <w:jc w:val="right"/>
              <w:spacing w:after="0"/>
              <w:rPr>
                <w:sz w:val="20"/>
                <w:szCs w:val="20"/>
                <w:color w:val="auto"/>
              </w:rPr>
            </w:pPr>
            <w:r>
              <w:rPr>
                <w:rFonts w:ascii="Arial" w:cs="Arial" w:eastAsia="Arial" w:hAnsi="Arial"/>
                <w:sz w:val="18"/>
                <w:szCs w:val="18"/>
                <w:color w:val="auto"/>
                <w:w w:val="90"/>
              </w:rPr>
              <w:t>Three Months Ended September 30, 2017</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00" w:type="dxa"/>
            <w:vAlign w:val="bottom"/>
            <w:gridSpan w:val="5"/>
          </w:tcPr>
          <w:p>
            <w:pPr>
              <w:ind w:left="40"/>
              <w:spacing w:after="0"/>
              <w:rPr>
                <w:sz w:val="20"/>
                <w:szCs w:val="20"/>
                <w:color w:val="auto"/>
              </w:rPr>
            </w:pPr>
            <w:r>
              <w:rPr>
                <w:rFonts w:ascii="Arial" w:cs="Arial" w:eastAsia="Arial" w:hAnsi="Arial"/>
                <w:sz w:val="18"/>
                <w:szCs w:val="18"/>
                <w:color w:val="auto"/>
                <w:w w:val="90"/>
              </w:rPr>
              <w:t>Three Months Ended September 30, 2016</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center"/>
              <w:ind w:right="50"/>
              <w:spacing w:after="0"/>
              <w:rPr>
                <w:sz w:val="20"/>
                <w:szCs w:val="20"/>
                <w:color w:val="auto"/>
              </w:rPr>
            </w:pPr>
            <w:r>
              <w:rPr>
                <w:rFonts w:ascii="Arial" w:cs="Arial" w:eastAsia="Arial" w:hAnsi="Arial"/>
                <w:sz w:val="18"/>
                <w:szCs w:val="18"/>
                <w:color w:val="auto"/>
                <w:w w:val="90"/>
              </w:rPr>
              <w:t>Gathering,</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92"/>
              </w:rPr>
              <w:t>Gathering,</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color w:val="auto"/>
                <w:w w:val="90"/>
              </w:rPr>
              <w:t>Compression,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ind w:left="200"/>
              <w:spacing w:after="0"/>
              <w:rPr>
                <w:sz w:val="20"/>
                <w:szCs w:val="20"/>
                <w:color w:val="auto"/>
              </w:rPr>
            </w:pPr>
            <w:r>
              <w:rPr>
                <w:rFonts w:ascii="Arial" w:cs="Arial" w:eastAsia="Arial" w:hAnsi="Arial"/>
                <w:sz w:val="18"/>
                <w:szCs w:val="18"/>
                <w:color w:val="auto"/>
              </w:rPr>
              <w:t>Compression,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Processing and</w:t>
            </w:r>
          </w:p>
        </w:tc>
        <w:tc>
          <w:tcPr>
            <w:tcW w:w="18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92"/>
              </w:rPr>
              <w:t>Production</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Arial" w:cs="Arial" w:eastAsia="Arial" w:hAnsi="Arial"/>
                <w:sz w:val="18"/>
                <w:szCs w:val="18"/>
                <w:color w:val="auto"/>
              </w:rPr>
              <w:t>Processing and</w:t>
            </w:r>
          </w:p>
        </w:tc>
        <w:tc>
          <w:tcPr>
            <w:tcW w:w="1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Production</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180" w:type="dxa"/>
            <w:vAlign w:val="bottom"/>
          </w:tcPr>
          <w:p>
            <w:pPr>
              <w:ind w:left="40"/>
              <w:spacing w:after="0"/>
              <w:rPr>
                <w:sz w:val="20"/>
                <w:szCs w:val="20"/>
                <w:color w:val="auto"/>
              </w:rPr>
            </w:pPr>
            <w:r>
              <w:rPr>
                <w:rFonts w:ascii="Arial" w:cs="Arial" w:eastAsia="Arial" w:hAnsi="Arial"/>
                <w:sz w:val="18"/>
                <w:szCs w:val="18"/>
                <w:color w:val="auto"/>
              </w:rPr>
              <w:t>Producing Basin</w:t>
            </w:r>
          </w:p>
        </w:tc>
        <w:tc>
          <w:tcPr>
            <w:tcW w:w="180" w:type="dxa"/>
            <w:vAlign w:val="bottom"/>
          </w:tcPr>
          <w:p>
            <w:pPr>
              <w:spacing w:after="0"/>
              <w:rPr>
                <w:sz w:val="22"/>
                <w:szCs w:val="22"/>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LOE</w:t>
            </w:r>
          </w:p>
        </w:tc>
        <w:tc>
          <w:tcPr>
            <w:tcW w:w="260" w:type="dxa"/>
            <w:vAlign w:val="bottom"/>
          </w:tcPr>
          <w:p>
            <w:pPr>
              <w:spacing w:after="0"/>
              <w:rPr>
                <w:sz w:val="22"/>
                <w:szCs w:val="22"/>
                <w:color w:val="auto"/>
              </w:rPr>
            </w:pPr>
          </w:p>
        </w:tc>
        <w:tc>
          <w:tcPr>
            <w:tcW w:w="1500" w:type="dxa"/>
            <w:vAlign w:val="bottom"/>
          </w:tcPr>
          <w:p>
            <w:pPr>
              <w:jc w:val="center"/>
              <w:ind w:right="50"/>
              <w:spacing w:after="0" w:line="257" w:lineRule="exact"/>
              <w:rPr>
                <w:sz w:val="20"/>
                <w:szCs w:val="20"/>
                <w:color w:val="auto"/>
              </w:rPr>
            </w:pPr>
            <w:r>
              <w:rPr>
                <w:rFonts w:ascii="Arial" w:cs="Arial" w:eastAsia="Arial" w:hAnsi="Arial"/>
                <w:sz w:val="18"/>
                <w:szCs w:val="18"/>
                <w:color w:val="auto"/>
                <w:w w:val="87"/>
              </w:rPr>
              <w:t xml:space="preserve">Transportation </w:t>
            </w:r>
            <w:r>
              <w:rPr>
                <w:rFonts w:ascii="Arial" w:cs="Arial" w:eastAsia="Arial" w:hAnsi="Arial"/>
                <w:sz w:val="25"/>
                <w:szCs w:val="25"/>
                <w:color w:val="auto"/>
                <w:w w:val="87"/>
                <w:vertAlign w:val="superscript"/>
              </w:rPr>
              <w:t>(a)</w:t>
            </w:r>
          </w:p>
        </w:tc>
        <w:tc>
          <w:tcPr>
            <w:tcW w:w="18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Taxes</w:t>
            </w:r>
          </w:p>
        </w:tc>
        <w:tc>
          <w:tcPr>
            <w:tcW w:w="24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2"/>
                <w:szCs w:val="22"/>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LOE</w:t>
            </w:r>
          </w:p>
        </w:tc>
        <w:tc>
          <w:tcPr>
            <w:tcW w:w="240" w:type="dxa"/>
            <w:vAlign w:val="bottom"/>
          </w:tcPr>
          <w:p>
            <w:pPr>
              <w:spacing w:after="0"/>
              <w:rPr>
                <w:sz w:val="22"/>
                <w:szCs w:val="22"/>
                <w:color w:val="auto"/>
              </w:rPr>
            </w:pPr>
          </w:p>
        </w:tc>
        <w:tc>
          <w:tcPr>
            <w:tcW w:w="1480" w:type="dxa"/>
            <w:vAlign w:val="bottom"/>
          </w:tcPr>
          <w:p>
            <w:pPr>
              <w:jc w:val="center"/>
              <w:ind w:right="50"/>
              <w:spacing w:after="0" w:line="257" w:lineRule="exact"/>
              <w:rPr>
                <w:sz w:val="20"/>
                <w:szCs w:val="20"/>
                <w:color w:val="auto"/>
              </w:rPr>
            </w:pPr>
            <w:r>
              <w:rPr>
                <w:rFonts w:ascii="Arial" w:cs="Arial" w:eastAsia="Arial" w:hAnsi="Arial"/>
                <w:sz w:val="18"/>
                <w:szCs w:val="18"/>
                <w:color w:val="auto"/>
                <w:w w:val="86"/>
              </w:rPr>
              <w:t xml:space="preserve">Transportation </w:t>
            </w:r>
            <w:r>
              <w:rPr>
                <w:rFonts w:ascii="Arial" w:cs="Arial" w:eastAsia="Arial" w:hAnsi="Arial"/>
                <w:sz w:val="25"/>
                <w:szCs w:val="25"/>
                <w:color w:val="auto"/>
                <w:w w:val="86"/>
                <w:vertAlign w:val="superscript"/>
              </w:rPr>
              <w:t>(a)</w:t>
            </w:r>
          </w:p>
        </w:tc>
        <w:tc>
          <w:tcPr>
            <w:tcW w:w="180" w:type="dxa"/>
            <w:vAlign w:val="bottom"/>
          </w:tcPr>
          <w:p>
            <w:pPr>
              <w:spacing w:after="0"/>
              <w:rPr>
                <w:sz w:val="22"/>
                <w:szCs w:val="22"/>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5"/>
              </w:rPr>
              <w:t>Taxes</w:t>
            </w:r>
          </w:p>
        </w:tc>
        <w:tc>
          <w:tcPr>
            <w:tcW w:w="240" w:type="dxa"/>
            <w:vAlign w:val="bottom"/>
          </w:tcPr>
          <w:p>
            <w:pPr>
              <w:spacing w:after="0"/>
              <w:rPr>
                <w:sz w:val="22"/>
                <w:szCs w:val="22"/>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4"/>
        </w:trPr>
        <w:tc>
          <w:tcPr>
            <w:tcW w:w="2180" w:type="dxa"/>
            <w:vAlign w:val="bottom"/>
            <w:tcBorders>
              <w:top w:val="single" w:sz="8" w:color="auto"/>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San Juan</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0.36</w:t>
            </w:r>
          </w:p>
        </w:tc>
        <w:tc>
          <w:tcPr>
            <w:tcW w:w="24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EFFE7"/>
              <w:bottom w:val="single" w:sz="8" w:color="CEFFE7"/>
            </w:tcBorders>
            <w:shd w:val="clear" w:color="auto" w:fill="CEFFE7"/>
          </w:tcPr>
          <w:p>
            <w:pPr>
              <w:spacing w:after="0"/>
              <w:rPr>
                <w:sz w:val="21"/>
                <w:szCs w:val="21"/>
                <w:color w:val="auto"/>
              </w:rPr>
            </w:pP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top w:val="single" w:sz="8" w:color="auto"/>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0.38</w:t>
            </w:r>
          </w:p>
        </w:tc>
        <w:tc>
          <w:tcPr>
            <w:tcW w:w="24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Piceance</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0.20</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Powder River</w:t>
            </w:r>
          </w:p>
        </w:tc>
        <w:tc>
          <w:tcPr>
            <w:tcW w:w="18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0.68</w:t>
            </w:r>
          </w:p>
        </w:tc>
        <w:tc>
          <w:tcPr>
            <w:tcW w:w="24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Williston</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All other properties</w:t>
            </w:r>
          </w:p>
        </w:tc>
        <w:tc>
          <w:tcPr>
            <w:tcW w:w="180" w:type="dxa"/>
            <w:vAlign w:val="bottom"/>
            <w:tcBorders>
              <w:bottom w:val="single" w:sz="8" w:color="CEFFE7"/>
            </w:tcBorders>
            <w:shd w:val="clear" w:color="auto" w:fill="CEFFE7"/>
          </w:tcPr>
          <w:p>
            <w:pPr>
              <w:spacing w:after="0"/>
              <w:rPr>
                <w:sz w:val="23"/>
                <w:szCs w:val="23"/>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Borders>
              <w:bottom w:val="single" w:sz="8" w:color="CEFFE7"/>
            </w:tcBorders>
            <w:shd w:val="clear" w:color="auto" w:fill="CEFFE7"/>
          </w:tcPr>
          <w:p>
            <w:pPr>
              <w:spacing w:after="0"/>
              <w:rPr>
                <w:sz w:val="23"/>
                <w:szCs w:val="23"/>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Borders>
              <w:bottom w:val="single" w:sz="8" w:color="CEFFE7"/>
            </w:tcBorders>
            <w:shd w:val="clear" w:color="auto" w:fill="CEFFE7"/>
          </w:tcPr>
          <w:p>
            <w:pPr>
              <w:spacing w:after="0"/>
              <w:rPr>
                <w:sz w:val="23"/>
                <w:szCs w:val="23"/>
                <w:color w:val="auto"/>
              </w:rPr>
            </w:pP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57"/>
        </w:trPr>
        <w:tc>
          <w:tcPr>
            <w:tcW w:w="2180" w:type="dxa"/>
            <w:vAlign w:val="bottom"/>
          </w:tcPr>
          <w:p>
            <w:pPr>
              <w:ind w:left="180"/>
              <w:spacing w:after="0"/>
              <w:rPr>
                <w:sz w:val="20"/>
                <w:szCs w:val="20"/>
                <w:color w:val="auto"/>
              </w:rPr>
            </w:pPr>
            <w:r>
              <w:rPr>
                <w:rFonts w:ascii="Arial" w:cs="Arial" w:eastAsia="Arial" w:hAnsi="Arial"/>
                <w:sz w:val="18"/>
                <w:szCs w:val="18"/>
                <w:color w:val="auto"/>
              </w:rPr>
              <w:t>Total weighted average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2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gridSpan w:val="5"/>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gridSpan w:val="5"/>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20" w:type="dxa"/>
            <w:vAlign w:val="bottom"/>
            <w:gridSpan w:val="5"/>
          </w:tcPr>
          <w:p>
            <w:pPr>
              <w:jc w:val="right"/>
              <w:ind w:right="10"/>
              <w:spacing w:after="0"/>
              <w:rPr>
                <w:sz w:val="20"/>
                <w:szCs w:val="20"/>
                <w:color w:val="auto"/>
              </w:rPr>
            </w:pPr>
            <w:r>
              <w:rPr>
                <w:rFonts w:ascii="Arial" w:cs="Arial" w:eastAsia="Arial" w:hAnsi="Arial"/>
                <w:sz w:val="18"/>
                <w:szCs w:val="18"/>
                <w:color w:val="auto"/>
                <w:w w:val="91"/>
              </w:rPr>
              <w:t>Nine Months Ended September 30, 2017</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00" w:type="dxa"/>
            <w:vAlign w:val="bottom"/>
            <w:gridSpan w:val="5"/>
          </w:tcPr>
          <w:p>
            <w:pPr>
              <w:ind w:left="80"/>
              <w:spacing w:after="0"/>
              <w:rPr>
                <w:sz w:val="20"/>
                <w:szCs w:val="20"/>
                <w:color w:val="auto"/>
              </w:rPr>
            </w:pPr>
            <w:r>
              <w:rPr>
                <w:rFonts w:ascii="Arial" w:cs="Arial" w:eastAsia="Arial" w:hAnsi="Arial"/>
                <w:sz w:val="18"/>
                <w:szCs w:val="18"/>
                <w:color w:val="2C2C2C"/>
                <w:w w:val="91"/>
              </w:rPr>
              <w:t>Nine Months Ended September 30, 2016</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center"/>
              <w:ind w:right="50"/>
              <w:spacing w:after="0"/>
              <w:rPr>
                <w:sz w:val="20"/>
                <w:szCs w:val="20"/>
                <w:color w:val="auto"/>
              </w:rPr>
            </w:pPr>
            <w:r>
              <w:rPr>
                <w:rFonts w:ascii="Arial" w:cs="Arial" w:eastAsia="Arial" w:hAnsi="Arial"/>
                <w:sz w:val="18"/>
                <w:szCs w:val="18"/>
                <w:color w:val="auto"/>
                <w:w w:val="90"/>
              </w:rPr>
              <w:t>Gathering,</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92"/>
              </w:rPr>
              <w:t>Gathering,</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color w:val="auto"/>
                <w:w w:val="90"/>
              </w:rPr>
              <w:t>Compression,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ind w:left="200"/>
              <w:spacing w:after="0"/>
              <w:rPr>
                <w:sz w:val="20"/>
                <w:szCs w:val="20"/>
                <w:color w:val="auto"/>
              </w:rPr>
            </w:pPr>
            <w:r>
              <w:rPr>
                <w:rFonts w:ascii="Arial" w:cs="Arial" w:eastAsia="Arial" w:hAnsi="Arial"/>
                <w:sz w:val="18"/>
                <w:szCs w:val="18"/>
                <w:color w:val="auto"/>
              </w:rPr>
              <w:t>Compression,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Processing and</w:t>
            </w:r>
          </w:p>
        </w:tc>
        <w:tc>
          <w:tcPr>
            <w:tcW w:w="18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92"/>
              </w:rPr>
              <w:t>Production</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Arial" w:cs="Arial" w:eastAsia="Arial" w:hAnsi="Arial"/>
                <w:sz w:val="18"/>
                <w:szCs w:val="18"/>
                <w:color w:val="auto"/>
              </w:rPr>
              <w:t>Processing and</w:t>
            </w:r>
          </w:p>
        </w:tc>
        <w:tc>
          <w:tcPr>
            <w:tcW w:w="1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Production</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180" w:type="dxa"/>
            <w:vAlign w:val="bottom"/>
          </w:tcPr>
          <w:p>
            <w:pPr>
              <w:ind w:left="40"/>
              <w:spacing w:after="0"/>
              <w:rPr>
                <w:sz w:val="20"/>
                <w:szCs w:val="20"/>
                <w:color w:val="auto"/>
              </w:rPr>
            </w:pPr>
            <w:r>
              <w:rPr>
                <w:rFonts w:ascii="Arial" w:cs="Arial" w:eastAsia="Arial" w:hAnsi="Arial"/>
                <w:sz w:val="18"/>
                <w:szCs w:val="18"/>
                <w:color w:val="auto"/>
              </w:rPr>
              <w:t>Producing Basin</w:t>
            </w:r>
          </w:p>
        </w:tc>
        <w:tc>
          <w:tcPr>
            <w:tcW w:w="180" w:type="dxa"/>
            <w:vAlign w:val="bottom"/>
          </w:tcPr>
          <w:p>
            <w:pPr>
              <w:spacing w:after="0"/>
              <w:rPr>
                <w:sz w:val="22"/>
                <w:szCs w:val="22"/>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LOE</w:t>
            </w:r>
          </w:p>
        </w:tc>
        <w:tc>
          <w:tcPr>
            <w:tcW w:w="260" w:type="dxa"/>
            <w:vAlign w:val="bottom"/>
          </w:tcPr>
          <w:p>
            <w:pPr>
              <w:spacing w:after="0"/>
              <w:rPr>
                <w:sz w:val="22"/>
                <w:szCs w:val="22"/>
                <w:color w:val="auto"/>
              </w:rPr>
            </w:pPr>
          </w:p>
        </w:tc>
        <w:tc>
          <w:tcPr>
            <w:tcW w:w="1500" w:type="dxa"/>
            <w:vAlign w:val="bottom"/>
          </w:tcPr>
          <w:p>
            <w:pPr>
              <w:jc w:val="center"/>
              <w:ind w:right="50"/>
              <w:spacing w:after="0" w:line="257" w:lineRule="exact"/>
              <w:rPr>
                <w:sz w:val="20"/>
                <w:szCs w:val="20"/>
                <w:color w:val="auto"/>
              </w:rPr>
            </w:pPr>
            <w:r>
              <w:rPr>
                <w:rFonts w:ascii="Arial" w:cs="Arial" w:eastAsia="Arial" w:hAnsi="Arial"/>
                <w:sz w:val="18"/>
                <w:szCs w:val="18"/>
                <w:color w:val="auto"/>
                <w:w w:val="87"/>
              </w:rPr>
              <w:t xml:space="preserve">Transportation </w:t>
            </w:r>
            <w:r>
              <w:rPr>
                <w:rFonts w:ascii="Arial" w:cs="Arial" w:eastAsia="Arial" w:hAnsi="Arial"/>
                <w:sz w:val="25"/>
                <w:szCs w:val="25"/>
                <w:color w:val="auto"/>
                <w:w w:val="87"/>
                <w:vertAlign w:val="superscript"/>
              </w:rPr>
              <w:t>(a)</w:t>
            </w:r>
          </w:p>
        </w:tc>
        <w:tc>
          <w:tcPr>
            <w:tcW w:w="18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Taxes</w:t>
            </w:r>
          </w:p>
        </w:tc>
        <w:tc>
          <w:tcPr>
            <w:tcW w:w="24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2"/>
                <w:szCs w:val="22"/>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LOE</w:t>
            </w:r>
          </w:p>
        </w:tc>
        <w:tc>
          <w:tcPr>
            <w:tcW w:w="240" w:type="dxa"/>
            <w:vAlign w:val="bottom"/>
          </w:tcPr>
          <w:p>
            <w:pPr>
              <w:spacing w:after="0"/>
              <w:rPr>
                <w:sz w:val="22"/>
                <w:szCs w:val="22"/>
                <w:color w:val="auto"/>
              </w:rPr>
            </w:pPr>
          </w:p>
        </w:tc>
        <w:tc>
          <w:tcPr>
            <w:tcW w:w="1480" w:type="dxa"/>
            <w:vAlign w:val="bottom"/>
          </w:tcPr>
          <w:p>
            <w:pPr>
              <w:jc w:val="center"/>
              <w:ind w:right="50"/>
              <w:spacing w:after="0" w:line="257" w:lineRule="exact"/>
              <w:rPr>
                <w:sz w:val="20"/>
                <w:szCs w:val="20"/>
                <w:color w:val="auto"/>
              </w:rPr>
            </w:pPr>
            <w:r>
              <w:rPr>
                <w:rFonts w:ascii="Arial" w:cs="Arial" w:eastAsia="Arial" w:hAnsi="Arial"/>
                <w:sz w:val="18"/>
                <w:szCs w:val="18"/>
                <w:color w:val="auto"/>
                <w:w w:val="86"/>
              </w:rPr>
              <w:t xml:space="preserve">Transportation </w:t>
            </w:r>
            <w:r>
              <w:rPr>
                <w:rFonts w:ascii="Arial" w:cs="Arial" w:eastAsia="Arial" w:hAnsi="Arial"/>
                <w:sz w:val="25"/>
                <w:szCs w:val="25"/>
                <w:color w:val="auto"/>
                <w:w w:val="86"/>
                <w:vertAlign w:val="superscript"/>
              </w:rPr>
              <w:t>(a)</w:t>
            </w:r>
          </w:p>
        </w:tc>
        <w:tc>
          <w:tcPr>
            <w:tcW w:w="180" w:type="dxa"/>
            <w:vAlign w:val="bottom"/>
          </w:tcPr>
          <w:p>
            <w:pPr>
              <w:spacing w:after="0"/>
              <w:rPr>
                <w:sz w:val="22"/>
                <w:szCs w:val="22"/>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5"/>
              </w:rPr>
              <w:t>Taxes</w:t>
            </w:r>
          </w:p>
        </w:tc>
        <w:tc>
          <w:tcPr>
            <w:tcW w:w="240" w:type="dxa"/>
            <w:vAlign w:val="bottom"/>
          </w:tcPr>
          <w:p>
            <w:pPr>
              <w:spacing w:after="0"/>
              <w:rPr>
                <w:sz w:val="22"/>
                <w:szCs w:val="22"/>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4"/>
        </w:trPr>
        <w:tc>
          <w:tcPr>
            <w:tcW w:w="2180" w:type="dxa"/>
            <w:vAlign w:val="bottom"/>
            <w:tcBorders>
              <w:top w:val="single" w:sz="8" w:color="auto"/>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San Juan</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0.38</w:t>
            </w:r>
          </w:p>
        </w:tc>
        <w:tc>
          <w:tcPr>
            <w:tcW w:w="24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Borders>
              <w:top w:val="single" w:sz="8" w:color="CEFFE7"/>
              <w:bottom w:val="single" w:sz="8" w:color="CEFFE7"/>
            </w:tcBorders>
            <w:shd w:val="clear" w:color="auto" w:fill="CEFFE7"/>
          </w:tcPr>
          <w:p>
            <w:pPr>
              <w:spacing w:after="0"/>
              <w:rPr>
                <w:sz w:val="21"/>
                <w:szCs w:val="21"/>
                <w:color w:val="auto"/>
              </w:rPr>
            </w:pP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Borders>
              <w:top w:val="single" w:sz="8" w:color="auto"/>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Piceance</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0.42</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Powder River</w:t>
            </w:r>
          </w:p>
        </w:tc>
        <w:tc>
          <w:tcPr>
            <w:tcW w:w="18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0.72</w:t>
            </w:r>
          </w:p>
        </w:tc>
        <w:tc>
          <w:tcPr>
            <w:tcW w:w="24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0.45</w:t>
            </w:r>
          </w:p>
        </w:tc>
        <w:tc>
          <w:tcPr>
            <w:tcW w:w="2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Williston</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All other properties</w:t>
            </w:r>
          </w:p>
        </w:tc>
        <w:tc>
          <w:tcPr>
            <w:tcW w:w="180" w:type="dxa"/>
            <w:vAlign w:val="bottom"/>
            <w:tcBorders>
              <w:bottom w:val="single" w:sz="8" w:color="CEFFE7"/>
            </w:tcBorders>
            <w:shd w:val="clear" w:color="auto" w:fill="CEFFE7"/>
          </w:tcPr>
          <w:p>
            <w:pPr>
              <w:spacing w:after="0"/>
              <w:rPr>
                <w:sz w:val="23"/>
                <w:szCs w:val="23"/>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Borders>
              <w:bottom w:val="single" w:sz="8" w:color="CEFFE7"/>
            </w:tcBorders>
            <w:shd w:val="clear" w:color="auto" w:fill="CEFFE7"/>
          </w:tcPr>
          <w:p>
            <w:pPr>
              <w:spacing w:after="0"/>
              <w:rPr>
                <w:sz w:val="23"/>
                <w:szCs w:val="23"/>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Borders>
              <w:bottom w:val="single" w:sz="8" w:color="CEFFE7"/>
            </w:tcBorders>
            <w:shd w:val="clear" w:color="auto" w:fill="CEFFE7"/>
          </w:tcPr>
          <w:p>
            <w:pPr>
              <w:spacing w:after="0"/>
              <w:rPr>
                <w:sz w:val="23"/>
                <w:szCs w:val="23"/>
                <w:color w:val="auto"/>
              </w:rPr>
            </w:pP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57"/>
        </w:trPr>
        <w:tc>
          <w:tcPr>
            <w:tcW w:w="2180" w:type="dxa"/>
            <w:vAlign w:val="bottom"/>
          </w:tcPr>
          <w:p>
            <w:pPr>
              <w:ind w:left="180"/>
              <w:spacing w:after="0"/>
              <w:rPr>
                <w:sz w:val="20"/>
                <w:szCs w:val="20"/>
                <w:color w:val="auto"/>
              </w:rPr>
            </w:pPr>
            <w:r>
              <w:rPr>
                <w:rFonts w:ascii="Arial" w:cs="Arial" w:eastAsia="Arial" w:hAnsi="Arial"/>
                <w:sz w:val="18"/>
                <w:szCs w:val="18"/>
                <w:color w:val="auto"/>
              </w:rPr>
              <w:t>Total weighted average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These costs include both third-party costs and operations costs.</w:t>
      </w:r>
    </w:p>
    <w:p>
      <w:pPr>
        <w:spacing w:after="0" w:line="20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Piceance and San Juan Basins, our natural gas is transported through our own and third-party gathering systems and pipelines, for which we incur processing, gathering, compression and transportation fees. The sales price for natural gas, condensate and NGLs is reduced for these third-party costs, while the cost of operating our own gathering systems is included in operations and maintenance. The gathering, compression, processing and transportation costs shown in the tables above include amounts paid to third parties, as well as costs incurred in operations associated with our own gas gathering, compression, processing and transportation.</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have a ten-year gas gathering and processing contract for our natural gas production in the Piceance Basin which became effective in March of 2014. This take-or-pay contract requires us to pay a fee on a minimum of 20,000 Mcf per day, regardless of the volume delivered. Our gathering, compression and processing costs on a per Mcfe basis, as shown in the table above, will be higher in periods when we are not meeting the minimum contract requirements.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Corporate Activity</w:t>
      </w:r>
    </w:p>
    <w:p>
      <w:pPr>
        <w:spacing w:after="0" w:line="225"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b w:val="1"/>
          <w:bCs w:val="1"/>
          <w:color w:val="auto"/>
        </w:rPr>
        <w:t xml:space="preserve">Results of Operations for Corporate activities for the Three Months Ended September 30, 2017 Compared to the Three Months Ended September 30, 2016: </w:t>
      </w:r>
      <w:r>
        <w:rPr>
          <w:rFonts w:ascii="Arial" w:cs="Arial" w:eastAsia="Arial" w:hAnsi="Arial"/>
          <w:sz w:val="16"/>
          <w:szCs w:val="16"/>
          <w:color w:val="auto"/>
        </w:rPr>
        <w:t>Net loss available for common stock for Corporate was $(2.3) million for the three months ended September 30, 2017, compared to Net loss</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for common stock of $(7.2) million for the three months ended September 30, 2016. The variance from the prior year was primarily due to higher corporate expenses incurred in the prior year related to the SourceGas Acquisition. The third quarter of 2017 included approximately $0.2 million of non-recurring after-tax acquisition and transition costs compared to approximately $4.0 million of after-tax non-recurring acquisition and transition costs in the third quarter of 2016. The third quarter of 2016 included $1.7 million of after-tax internal labor related to the SourceGas Acquisition that otherwise would have been charged to other business segments and also included lower income tax expense compared to the third quarter of 2017.</w:t>
      </w:r>
    </w:p>
    <w:p>
      <w:pPr>
        <w:spacing w:after="0" w:line="16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Results of Operations for Corporate activities for the Nine Months Ended September 30, 2017 Compared to the Nine Months Ended September 30, 2016: </w:t>
      </w:r>
      <w:r>
        <w:rPr>
          <w:rFonts w:ascii="Arial" w:cs="Arial" w:eastAsia="Arial" w:hAnsi="Arial"/>
          <w:sz w:val="16"/>
          <w:szCs w:val="16"/>
          <w:color w:val="auto"/>
        </w:rPr>
        <w:t>Net loss available for common stock for Corporate was $(2.9) million for the nine months ended September 30, 2017, compared to Net loss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for common stock of $(29) million for the nine months ended September 30, 2016. The variance from the prior year was primarily due to higher corporate expenses incurred in the prior year related to the SourceGas Acquisition. Current year corporate expenses included approximately $1.5 million of after-tax non-recurring acquisition and transition costs, compared to a total of approximately $24 million of after-tax non-recurring acquisition and transition costs and approximately $7.4 million of after-tax internal labor related to the SourceGas Acquisition that otherwise would have been charged to other business segments. During the nine months ended September 30, 2017, we recognized a tax benefit of approximately $1.4 million tax benefit from a carryback claim for specified liability losses involving prior years. The same period in the prior year included a tax benefit of approximately $4.4 million recognized as a result of an agreement reached with IRS Appeals relating to the release of the reserve for after-tax interest expense previously accrued with respect to the liability for uncertain tax positions involving a like-kind exchange transaction from 2008.</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our critical accounting estimates from those reported in our 2016 Annual Report on Form 10-K filed with the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critical accounting estimates, see Part II, Item 7 of our 2016 Annual Report on Form 10-K.</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Company requires significant cash to support and grow our business. Our predominant source of cash is supplied by our operations and supplemented with corporate financings.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most significant uses of cash are our capital expenditures, the purchase of natural gas for our Gas Utilities and our Power Generation segment, as well as the payment of dividends to our shareholders. We experience significant cash requirements during peak months of the winter heating season due to higher natural gas consumption and during periods of high natural gas prices, as well as during the summer construction season.</w:t>
      </w:r>
    </w:p>
    <w:p>
      <w:pPr>
        <w:spacing w:after="0" w:line="16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believe that our cash on hand, operating cash flows, existing borrowing capacity and ability to complete new debt and equity financings, taken in their entirety, provide sufficient capital resources to fund our ongoing operating requirements, debt maturities, anticipated dividends, and anticipated capital expenditures discussed in this section.</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580"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Significant Factors Affecting Liquidity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we believe we have sufficient resources to fund our cash requirements, there are many factors with the potential to influence our cash flow position, including seasonality, commodity prices, significant capital projects and acquisitions, requirements imposed by state and federal agencies, and economic market conditions. We have implemented risk mitigation programs, where possible, to stabilize cash flow; however, the potential for unforeseen events affecting cash needs will continue to exist.</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September 30, 2017, we had sufficient liquidity to cover collateral that could be required to be posted under these contracts.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Increase</w:t>
            </w:r>
          </w:p>
        </w:tc>
      </w:tr>
      <w:tr>
        <w:trPr>
          <w:trHeight w:val="230"/>
        </w:trPr>
        <w:tc>
          <w:tcPr>
            <w:tcW w:w="452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28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w w:val="98"/>
              </w:rPr>
              <w:t>(Decrease)</w:t>
            </w:r>
          </w:p>
        </w:tc>
      </w:tr>
      <w:tr>
        <w:trPr>
          <w:trHeight w:val="27"/>
        </w:trPr>
        <w:tc>
          <w:tcPr>
            <w:tcW w:w="45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activities</w:t>
            </w:r>
          </w:p>
        </w:tc>
        <w:tc>
          <w:tcPr>
            <w:tcW w:w="280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319,430</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209,201</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110,229</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(256,388)</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(1,459,196)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1,202,808</w:t>
            </w: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520" w:type="dxa"/>
            <w:vAlign w:val="bottom"/>
            <w:shd w:val="clear" w:color="auto" w:fill="CEFFE7"/>
          </w:tcPr>
          <w:p>
            <w:pPr>
              <w:ind w:left="40"/>
              <w:spacing w:after="0"/>
              <w:rPr>
                <w:sz w:val="20"/>
                <w:szCs w:val="20"/>
                <w:color w:val="auto"/>
              </w:rPr>
            </w:pPr>
            <w:r>
              <w:rPr>
                <w:rFonts w:ascii="Arial" w:cs="Arial" w:eastAsia="Arial" w:hAnsi="Arial"/>
                <w:sz w:val="18"/>
                <w:szCs w:val="18"/>
                <w:color w:val="auto"/>
              </w:rPr>
              <w:t>Financing activities</w:t>
            </w:r>
          </w:p>
        </w:tc>
        <w:tc>
          <w:tcPr>
            <w:tcW w:w="280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(63,112)</w:t>
            </w:r>
          </w:p>
        </w:tc>
        <w:tc>
          <w:tcPr>
            <w:tcW w:w="36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840,948</w:t>
            </w:r>
          </w:p>
        </w:tc>
        <w:tc>
          <w:tcPr>
            <w:tcW w:w="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(904,060)</w:t>
            </w:r>
          </w:p>
        </w:tc>
      </w:tr>
      <w:tr>
        <w:trPr>
          <w:trHeight w:val="27"/>
        </w:trPr>
        <w:tc>
          <w:tcPr>
            <w:tcW w:w="4520" w:type="dxa"/>
            <w:vAlign w:val="bottom"/>
            <w:shd w:val="clear" w:color="auto" w:fill="CEFFE7"/>
          </w:tcPr>
          <w:p>
            <w:pPr>
              <w:spacing w:after="0"/>
              <w:rPr>
                <w:sz w:val="2"/>
                <w:szCs w:val="2"/>
                <w:color w:val="auto"/>
              </w:rPr>
            </w:pPr>
          </w:p>
        </w:tc>
        <w:tc>
          <w:tcPr>
            <w:tcW w:w="280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1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24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2017 Compared to Year-to-Date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Net cash provided by operating activities was $319 million for the nine months ended September 30, 2017, compared to net cash provided by operating activities of $209 million for the same period in 2016 for a variance of $110 million. The variance was primarily attributable to:</w:t>
      </w:r>
    </w:p>
    <w:p>
      <w:pPr>
        <w:spacing w:after="0" w:line="147" w:lineRule="exact"/>
        <w:rPr>
          <w:sz w:val="20"/>
          <w:szCs w:val="20"/>
          <w:color w:val="auto"/>
        </w:rPr>
      </w:pPr>
    </w:p>
    <w:p>
      <w:pPr>
        <w:ind w:left="660" w:right="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earnings (net income plus non-cash adjustments) were $65 million higher for the nine months ended September 30, 2017 compared to the same period in the prior year;</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cash outflows from changes in operating assets and liabilities were $17 million for the nine months ended September 30, 2017, compared to net cash outflows of $44 million in the same period in the prior year. This $27 million variance was primarily due to:</w:t>
      </w:r>
    </w:p>
    <w:p>
      <w:pPr>
        <w:spacing w:after="0" w:line="170" w:lineRule="exact"/>
        <w:rPr>
          <w:rFonts w:ascii="Arial" w:cs="Arial" w:eastAsia="Arial" w:hAnsi="Arial"/>
          <w:sz w:val="18"/>
          <w:szCs w:val="18"/>
          <w:color w:val="auto"/>
        </w:rPr>
      </w:pPr>
    </w:p>
    <w:p>
      <w:pPr>
        <w:ind w:left="1140" w:right="440" w:hanging="322"/>
        <w:spacing w:after="0" w:line="264"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Cash outflows decreased due to an increase in cash inflows of approximately $14 million for the nine months ended September 30, 2017 primarily as a result of changes in our accounts receivable, partially offset by higher natural gas in storage for the nine months ended September 30, 2017 compared to the same period in the prior year;</w:t>
      </w:r>
    </w:p>
    <w:p>
      <w:pPr>
        <w:spacing w:after="0" w:line="181" w:lineRule="exact"/>
        <w:rPr>
          <w:rFonts w:ascii="Arial" w:cs="Arial" w:eastAsia="Arial" w:hAnsi="Arial"/>
          <w:sz w:val="18"/>
          <w:szCs w:val="18"/>
          <w:color w:val="auto"/>
        </w:rPr>
      </w:pPr>
    </w:p>
    <w:p>
      <w:pPr>
        <w:ind w:left="1140" w:right="80" w:hanging="322"/>
        <w:spacing w:after="0" w:line="308" w:lineRule="auto"/>
        <w:tabs>
          <w:tab w:leader="none" w:pos="11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Cash outflows decreased by approximately $16 million as a result of changes in accounts payable and accrued liabilities driven by changes in working capital requirements, primarily related to acquisition and transaction costs that took place in the prior year;</w:t>
      </w:r>
    </w:p>
    <w:p>
      <w:pPr>
        <w:spacing w:after="0" w:line="146" w:lineRule="exact"/>
        <w:rPr>
          <w:rFonts w:ascii="Arial" w:cs="Arial" w:eastAsia="Arial" w:hAnsi="Arial"/>
          <w:sz w:val="17"/>
          <w:szCs w:val="17"/>
          <w:color w:val="auto"/>
        </w:rPr>
      </w:pPr>
    </w:p>
    <w:p>
      <w:pPr>
        <w:ind w:left="1140" w:right="680" w:hanging="322"/>
        <w:spacing w:after="0" w:line="342" w:lineRule="auto"/>
        <w:tabs>
          <w:tab w:leader="none" w:pos="11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Cash outflows increased by approximately $3.3 million as a result of changes in our current regulatory assets and liabilities driven by differences in fuel cost adjustments and commodity price impacts on working capital compared to the same period in the prior year;</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cash outflows decreased by approximately $29 million as a result of a prior year interest rate settlement;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7" w:name="page68"/>
    <w:bookmarkEnd w:id="67"/>
    <w:p>
      <w:pPr>
        <w:ind w:right="2920" w:firstLine="332"/>
        <w:spacing w:after="0" w:line="501"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Net cash outflows increased by $14 million due to additional pension contributions made in the current year. </w:t>
      </w:r>
      <w:r>
        <w:rPr>
          <w:rFonts w:ascii="Arial" w:cs="Arial" w:eastAsia="Arial" w:hAnsi="Arial"/>
          <w:sz w:val="18"/>
          <w:szCs w:val="18"/>
          <w:u w:val="single" w:color="auto"/>
          <w:color w:val="auto"/>
        </w:rPr>
        <w:t>Investing Activities</w:t>
      </w:r>
    </w:p>
    <w:p>
      <w:pPr>
        <w:ind w:right="320"/>
        <w:spacing w:after="0" w:line="277" w:lineRule="auto"/>
        <w:rPr>
          <w:sz w:val="20"/>
          <w:szCs w:val="20"/>
          <w:color w:val="auto"/>
        </w:rPr>
      </w:pPr>
      <w:r>
        <w:rPr>
          <w:rFonts w:ascii="Arial" w:cs="Arial" w:eastAsia="Arial" w:hAnsi="Arial"/>
          <w:sz w:val="18"/>
          <w:szCs w:val="18"/>
          <w:color w:val="auto"/>
        </w:rPr>
        <w:t>Net cash used in investing activities was $256 million for the nine months ended September 30, 2017, compared to net cash used in investing activities of $1.5 billion for the same period in 2016 for a variance of $1.2 billion. This variance was primarily due to:</w:t>
      </w:r>
    </w:p>
    <w:p>
      <w:pPr>
        <w:spacing w:after="0" w:line="170" w:lineRule="exact"/>
        <w:rPr>
          <w:sz w:val="20"/>
          <w:szCs w:val="20"/>
          <w:color w:val="auto"/>
        </w:rPr>
      </w:pPr>
    </w:p>
    <w:p>
      <w:pPr>
        <w:ind w:left="660" w:right="1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prior year’s cash outflows included $1.124 billion for the acquisition of SourceGas, net of $760 million of long term debt assumed (see Note 2 of our Notes to the Consolidated Financial Statements in our 2016 Annual Report on Form 10-K for more details); and</w:t>
      </w:r>
    </w:p>
    <w:p>
      <w:pPr>
        <w:spacing w:after="0" w:line="170" w:lineRule="exact"/>
        <w:rPr>
          <w:rFonts w:ascii="Arial" w:cs="Arial" w:eastAsia="Arial" w:hAnsi="Arial"/>
          <w:sz w:val="18"/>
          <w:szCs w:val="18"/>
          <w:color w:val="auto"/>
        </w:rPr>
      </w:pPr>
    </w:p>
    <w:p>
      <w:pPr>
        <w:ind w:left="660" w:right="220" w:hanging="328"/>
        <w:spacing w:after="0" w:line="31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Capital expenditures of approximately $256 million for the nine months ended September 30, 2017 compared to $334 million for the nine months ended September 30, 2016. The variance to the prior year was due primarily to higher prior year capital expenditures at our Electric Utilities primarily from generation investments at Colorado Electric, partially offset by higher current year capital expenditures at our Gas Utilities.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Net cash used in financing activities for the nine months ended September 30, 2017 was $63 million, compared to $841 million of net cash provided by financing activities for the same period in 2016 for a variance of $904 million. This variance was primarily driven by:</w:t>
      </w:r>
    </w:p>
    <w:p>
      <w:pPr>
        <w:spacing w:after="0" w:line="170" w:lineRule="exact"/>
        <w:rPr>
          <w:sz w:val="20"/>
          <w:szCs w:val="20"/>
          <w:color w:val="auto"/>
        </w:rPr>
      </w:pPr>
    </w:p>
    <w:p>
      <w:pPr>
        <w:ind w:left="660" w:right="80" w:hanging="328"/>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Long-term borrowings decreased by $1.8 billion due to the 2016 financings which consisted of $693 million of net proceeds from the August 19, 2016 public debt offering used to refinance the debt assumed in the SourceGas Acquisition, $500 million of proceeds from the August 9, 2016 term loan, $546 million of net proceeds from our January 13, 2016 public debt offering used to partially finance the SourceGas Acquisition and proceeds from a $29 million term loan used to fund the early settlement of a gas gathering contract;</w:t>
      </w:r>
    </w:p>
    <w:p>
      <w:pPr>
        <w:spacing w:after="0" w:line="186"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Payments on long-term debt decreased by $1.1 billion due to the 2016 refinancing of the $760 million of long-term debt assumed in the SourceGas Acquisition and lower current year payments on term loans, $104 million paid on term loans in 2017 compared to $400 million paid on term loans in 2016.</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Proceeds of $216 million from the sale of a 49.9% noncontrolling interest of Colorado IPP that took place in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short-term borrowings increased by $130 million primarily due to CP borrowings used to pay down long-term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Proceeds from common stock decreased by approximately $104 million due to prior year stock issuances under our ATM equity offering program;</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Distributions to noncontrolling interests increased by $8.4 million compared to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dividend payments of approximately $6.1 million; and</w:t>
      </w:r>
    </w:p>
    <w:p>
      <w:pPr>
        <w:spacing w:after="0" w:line="225"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Lower other financing activities of approximately $10 million driven primarily by higher financing costs incurred in the prior year from the 2016 debt offerings and refinancings compared to a payment of $5.6 million for a redeemable noncontrolling interest in March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Dividends paid on our common stock totaled $71 million for the nine months ended September 30, 2017, or $0.445 per share per quarter. On November 1, 2017, our board of directors declared a quarterly dividend of $0.475 per share payable December 1, 2017, which brings our total dividend for 2017 to $1.81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584"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Transactions and Short-Term Liquidity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principal sources to meet day-to-day operating cash requirements are cash from operations, our CP Program and our corporate Revolving Credit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August 9, 2016, we amended and restated our corporate Revolving Credit Facility to increase total commitments to $750 million from $500 million and extended the term through August 9, 2021 with two one-year extension options. This facility is similar to the former agreement, which includes an accordion feature that allows us, with the consent of the administrative agent and issuing agents, to increase total commitments of the facility to up to $1 billion. Borrowings continue to be available under a base rate or various Eurodollar rate options. The interest costs associated with the letters of credit or borrowings and the commitment fee under the Revolving Credit Facility are determined based upon our most favorable Corporate credit rating from S&amp;P or Moody’s for our unsecured debt. Based on our credit ratings, the margins for base rate borrowings, Eurodollar borrowings, and letters of credit were 0.250%, 1.250%, and 1.250%, respectively, at September 30, 2017. A 0.200% commitment fee is charged on the unused amount of the Revolving Credit Facility.</w:t>
      </w:r>
    </w:p>
    <w:p>
      <w:pPr>
        <w:spacing w:after="0" w:line="16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December 22, 2016, we implemented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had the following borrowings, outstanding letters of credit, and available capacity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91"/>
              </w:rPr>
              <w:t>CP Program Borrowings</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color w:val="auto"/>
                <w:w w:val="89"/>
              </w:rPr>
              <w:t>Current</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2"/>
              </w:rPr>
              <w:t>Revolver Borrowings at</w:t>
            </w:r>
          </w:p>
        </w:tc>
        <w:tc>
          <w:tcPr>
            <w:tcW w:w="220" w:type="dxa"/>
            <w:vAlign w:val="bottom"/>
          </w:tcPr>
          <w:p>
            <w:pPr>
              <w:spacing w:after="0"/>
              <w:rPr>
                <w:sz w:val="20"/>
                <w:szCs w:val="20"/>
                <w:color w:val="auto"/>
              </w:rPr>
            </w:pPr>
          </w:p>
        </w:tc>
        <w:tc>
          <w:tcPr>
            <w:tcW w:w="1740" w:type="dxa"/>
            <w:vAlign w:val="bottom"/>
          </w:tcPr>
          <w:p>
            <w:pPr>
              <w:jc w:val="center"/>
              <w:ind w:right="70"/>
              <w:spacing w:after="0"/>
              <w:rPr>
                <w:sz w:val="20"/>
                <w:szCs w:val="20"/>
                <w:color w:val="auto"/>
              </w:rPr>
            </w:pPr>
            <w:r>
              <w:rPr>
                <w:rFonts w:ascii="Arial" w:cs="Arial" w:eastAsia="Arial" w:hAnsi="Arial"/>
                <w:sz w:val="18"/>
                <w:szCs w:val="18"/>
                <w:color w:val="auto"/>
                <w:w w:val="92"/>
              </w:rPr>
              <w:t>at</w:t>
            </w:r>
          </w:p>
        </w:tc>
        <w:tc>
          <w:tcPr>
            <w:tcW w:w="200" w:type="dxa"/>
            <w:vAlign w:val="bottom"/>
          </w:tcPr>
          <w:p>
            <w:pPr>
              <w:spacing w:after="0"/>
              <w:rPr>
                <w:sz w:val="20"/>
                <w:szCs w:val="20"/>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1"/>
              </w:rPr>
              <w:t>Letters of Credit at</w:t>
            </w:r>
          </w:p>
        </w:tc>
        <w:tc>
          <w:tcPr>
            <w:tcW w:w="200" w:type="dxa"/>
            <w:vAlign w:val="bottom"/>
          </w:tcPr>
          <w:p>
            <w:pPr>
              <w:spacing w:after="0"/>
              <w:rPr>
                <w:sz w:val="20"/>
                <w:szCs w:val="20"/>
                <w:color w:val="auto"/>
              </w:rPr>
            </w:pPr>
          </w:p>
        </w:tc>
        <w:tc>
          <w:tcPr>
            <w:tcW w:w="1780" w:type="dxa"/>
            <w:vAlign w:val="bottom"/>
          </w:tcPr>
          <w:p>
            <w:pPr>
              <w:jc w:val="center"/>
              <w:ind w:right="70"/>
              <w:spacing w:after="0"/>
              <w:rPr>
                <w:sz w:val="20"/>
                <w:szCs w:val="20"/>
                <w:color w:val="auto"/>
              </w:rPr>
            </w:pPr>
            <w:r>
              <w:rPr>
                <w:rFonts w:ascii="Arial" w:cs="Arial" w:eastAsia="Arial" w:hAnsi="Arial"/>
                <w:sz w:val="18"/>
                <w:szCs w:val="18"/>
                <w:color w:val="auto"/>
                <w:w w:val="91"/>
              </w:rPr>
              <w:t>Available Capacity at</w:t>
            </w: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Credit Facility</w:t>
            </w:r>
          </w:p>
        </w:tc>
        <w:tc>
          <w:tcPr>
            <w:tcW w:w="1140" w:type="dxa"/>
            <w:vAlign w:val="bottom"/>
          </w:tcPr>
          <w:p>
            <w:pPr>
              <w:jc w:val="center"/>
              <w:ind w:left="50"/>
              <w:spacing w:after="0"/>
              <w:rPr>
                <w:sz w:val="20"/>
                <w:szCs w:val="20"/>
                <w:color w:val="auto"/>
              </w:rPr>
            </w:pPr>
            <w:r>
              <w:rPr>
                <w:rFonts w:ascii="Arial" w:cs="Arial" w:eastAsia="Arial" w:hAnsi="Arial"/>
                <w:sz w:val="18"/>
                <w:szCs w:val="18"/>
                <w:color w:val="auto"/>
                <w:w w:val="94"/>
              </w:rPr>
              <w:t>Expiration</w:t>
            </w:r>
          </w:p>
        </w:tc>
        <w:tc>
          <w:tcPr>
            <w:tcW w:w="220" w:type="dxa"/>
            <w:vAlign w:val="bottom"/>
          </w:tcPr>
          <w:p>
            <w:pPr>
              <w:spacing w:after="0"/>
              <w:rPr>
                <w:sz w:val="23"/>
                <w:szCs w:val="23"/>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1"/>
              </w:rPr>
              <w:t>Capacity</w:t>
            </w:r>
          </w:p>
        </w:tc>
        <w:tc>
          <w:tcPr>
            <w:tcW w:w="220" w:type="dxa"/>
            <w:vAlign w:val="bottom"/>
          </w:tcPr>
          <w:p>
            <w:pPr>
              <w:spacing w:after="0"/>
              <w:rPr>
                <w:sz w:val="23"/>
                <w:szCs w:val="23"/>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8"/>
              </w:rPr>
              <w:t>September 30, 2017</w:t>
            </w:r>
          </w:p>
        </w:tc>
        <w:tc>
          <w:tcPr>
            <w:tcW w:w="220" w:type="dxa"/>
            <w:vAlign w:val="bottom"/>
          </w:tcPr>
          <w:p>
            <w:pPr>
              <w:spacing w:after="0"/>
              <w:rPr>
                <w:sz w:val="23"/>
                <w:szCs w:val="23"/>
                <w:color w:val="auto"/>
              </w:rPr>
            </w:pPr>
          </w:p>
        </w:tc>
        <w:tc>
          <w:tcPr>
            <w:tcW w:w="1740" w:type="dxa"/>
            <w:vAlign w:val="bottom"/>
          </w:tcPr>
          <w:p>
            <w:pPr>
              <w:jc w:val="center"/>
              <w:ind w:right="70"/>
              <w:spacing w:after="0"/>
              <w:rPr>
                <w:sz w:val="20"/>
                <w:szCs w:val="20"/>
                <w:color w:val="auto"/>
              </w:rPr>
            </w:pPr>
            <w:r>
              <w:rPr>
                <w:rFonts w:ascii="Arial" w:cs="Arial" w:eastAsia="Arial" w:hAnsi="Arial"/>
                <w:sz w:val="18"/>
                <w:szCs w:val="18"/>
                <w:color w:val="auto"/>
                <w:w w:val="89"/>
              </w:rPr>
              <w:t>September 30, 2017</w:t>
            </w:r>
          </w:p>
        </w:tc>
        <w:tc>
          <w:tcPr>
            <w:tcW w:w="200" w:type="dxa"/>
            <w:vAlign w:val="bottom"/>
          </w:tcPr>
          <w:p>
            <w:pPr>
              <w:spacing w:after="0"/>
              <w:rPr>
                <w:sz w:val="23"/>
                <w:szCs w:val="23"/>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8"/>
              </w:rPr>
              <w:t>September 30, 2017</w:t>
            </w:r>
          </w:p>
        </w:tc>
        <w:tc>
          <w:tcPr>
            <w:tcW w:w="200" w:type="dxa"/>
            <w:vAlign w:val="bottom"/>
          </w:tcPr>
          <w:p>
            <w:pPr>
              <w:spacing w:after="0"/>
              <w:rPr>
                <w:sz w:val="23"/>
                <w:szCs w:val="23"/>
                <w:color w:val="auto"/>
              </w:rPr>
            </w:pPr>
          </w:p>
        </w:tc>
        <w:tc>
          <w:tcPr>
            <w:tcW w:w="1780" w:type="dxa"/>
            <w:vAlign w:val="bottom"/>
          </w:tcPr>
          <w:p>
            <w:pPr>
              <w:jc w:val="center"/>
              <w:ind w:right="50"/>
              <w:spacing w:after="0"/>
              <w:rPr>
                <w:sz w:val="20"/>
                <w:szCs w:val="20"/>
                <w:color w:val="auto"/>
              </w:rPr>
            </w:pPr>
            <w:r>
              <w:rPr>
                <w:rFonts w:ascii="Arial" w:cs="Arial" w:eastAsia="Arial" w:hAnsi="Arial"/>
                <w:sz w:val="18"/>
                <w:szCs w:val="18"/>
                <w:color w:val="auto"/>
                <w:w w:val="88"/>
              </w:rPr>
              <w:t>September 30, 2017</w:t>
            </w:r>
          </w:p>
        </w:tc>
      </w:tr>
      <w:tr>
        <w:trPr>
          <w:trHeight w:val="27"/>
        </w:trPr>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2"/>
        </w:trPr>
        <w:tc>
          <w:tcPr>
            <w:tcW w:w="154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Revolving Credit</w:t>
            </w:r>
          </w:p>
        </w:tc>
        <w:tc>
          <w:tcPr>
            <w:tcW w:w="1140" w:type="dxa"/>
            <w:vAlign w:val="bottom"/>
            <w:shd w:val="clear" w:color="auto" w:fill="CEFFE7"/>
          </w:tcPr>
          <w:p>
            <w:pPr>
              <w:jc w:val="center"/>
              <w:ind w:left="70"/>
              <w:spacing w:after="0"/>
              <w:rPr>
                <w:sz w:val="20"/>
                <w:szCs w:val="20"/>
                <w:color w:val="auto"/>
              </w:rPr>
            </w:pPr>
            <w:r>
              <w:rPr>
                <w:rFonts w:ascii="Arial" w:cs="Arial" w:eastAsia="Arial" w:hAnsi="Arial"/>
                <w:sz w:val="18"/>
                <w:szCs w:val="18"/>
                <w:color w:val="auto"/>
                <w:w w:val="91"/>
              </w:rPr>
              <w:t>August 9,</w:t>
            </w:r>
          </w:p>
        </w:tc>
        <w:tc>
          <w:tcPr>
            <w:tcW w:w="22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70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7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70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spacing w:after="0"/>
              <w:rPr>
                <w:sz w:val="19"/>
                <w:szCs w:val="19"/>
                <w:color w:val="auto"/>
              </w:rPr>
            </w:pPr>
          </w:p>
        </w:tc>
      </w:tr>
      <w:tr>
        <w:trPr>
          <w:trHeight w:val="230"/>
        </w:trPr>
        <w:tc>
          <w:tcPr>
            <w:tcW w:w="1540" w:type="dxa"/>
            <w:vAlign w:val="bottom"/>
            <w:shd w:val="clear" w:color="auto" w:fill="CEFFE7"/>
          </w:tcPr>
          <w:p>
            <w:pPr>
              <w:ind w:left="40"/>
              <w:spacing w:after="0"/>
              <w:rPr>
                <w:sz w:val="20"/>
                <w:szCs w:val="20"/>
                <w:color w:val="auto"/>
              </w:rPr>
            </w:pPr>
            <w:r>
              <w:rPr>
                <w:rFonts w:ascii="Arial" w:cs="Arial" w:eastAsia="Arial" w:hAnsi="Arial"/>
                <w:sz w:val="18"/>
                <w:szCs w:val="18"/>
                <w:color w:val="auto"/>
              </w:rPr>
              <w:t>Facility</w:t>
            </w:r>
          </w:p>
        </w:tc>
        <w:tc>
          <w:tcPr>
            <w:tcW w:w="1140" w:type="dxa"/>
            <w:vAlign w:val="bottom"/>
            <w:shd w:val="clear" w:color="auto" w:fill="CEFFE7"/>
          </w:tcPr>
          <w:p>
            <w:pPr>
              <w:jc w:val="center"/>
              <w:ind w:left="50"/>
              <w:spacing w:after="0"/>
              <w:rPr>
                <w:sz w:val="20"/>
                <w:szCs w:val="20"/>
                <w:color w:val="auto"/>
              </w:rPr>
            </w:pPr>
            <w:r>
              <w:rPr>
                <w:rFonts w:ascii="Arial" w:cs="Arial" w:eastAsia="Arial" w:hAnsi="Arial"/>
                <w:sz w:val="18"/>
                <w:szCs w:val="18"/>
                <w:color w:val="auto"/>
                <w:w w:val="89"/>
              </w:rPr>
              <w:t>2021</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EFFE7"/>
          </w:tcPr>
          <w:p>
            <w:pPr>
              <w:ind w:left="1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154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76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70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74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70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78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weighted average interest rate on CP Program borrowings at September 30, 2017 was 1.46%. Revolving Credit Facility and CP Program financing activity for the nine months ended September 30, 2017 was (dollars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560" w:type="dxa"/>
            <w:vAlign w:val="bottom"/>
          </w:tcPr>
          <w:p>
            <w:pPr>
              <w:jc w:val="right"/>
              <w:ind w:right="310"/>
              <w:spacing w:after="0"/>
              <w:rPr>
                <w:sz w:val="20"/>
                <w:szCs w:val="20"/>
                <w:color w:val="auto"/>
              </w:rPr>
            </w:pPr>
            <w:r>
              <w:rPr>
                <w:rFonts w:ascii="Arial" w:cs="Arial" w:eastAsia="Arial" w:hAnsi="Arial"/>
                <w:sz w:val="18"/>
                <w:szCs w:val="18"/>
                <w:color w:val="auto"/>
                <w:w w:val="97"/>
              </w:rPr>
              <w:t>For the Nine Months Ended</w:t>
            </w:r>
          </w:p>
        </w:tc>
      </w:tr>
      <w:tr>
        <w:trPr>
          <w:trHeight w:val="230"/>
        </w:trPr>
        <w:tc>
          <w:tcPr>
            <w:tcW w:w="7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60" w:type="dxa"/>
            <w:vAlign w:val="bottom"/>
          </w:tcPr>
          <w:p>
            <w:pPr>
              <w:jc w:val="right"/>
              <w:ind w:right="590"/>
              <w:spacing w:after="0"/>
              <w:rPr>
                <w:sz w:val="20"/>
                <w:szCs w:val="20"/>
                <w:color w:val="auto"/>
              </w:rPr>
            </w:pPr>
            <w:r>
              <w:rPr>
                <w:rFonts w:ascii="Arial" w:cs="Arial" w:eastAsia="Arial" w:hAnsi="Arial"/>
                <w:sz w:val="18"/>
                <w:szCs w:val="18"/>
                <w:color w:val="auto"/>
              </w:rPr>
              <w:t>September 30, 2017</w:t>
            </w:r>
          </w:p>
        </w:tc>
      </w:tr>
      <w:tr>
        <w:trPr>
          <w:trHeight w:val="27"/>
        </w:trPr>
        <w:tc>
          <w:tcPr>
            <w:tcW w:w="7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Maximum amount outstanding - commercial paper (based on daily outstanding balances)</w:t>
            </w:r>
          </w:p>
        </w:tc>
        <w:tc>
          <w:tcPr>
            <w:tcW w:w="10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238</w:t>
            </w:r>
          </w:p>
        </w:tc>
      </w:tr>
      <w:tr>
        <w:trPr>
          <w:trHeight w:val="243"/>
        </w:trPr>
        <w:tc>
          <w:tcPr>
            <w:tcW w:w="7820" w:type="dxa"/>
            <w:vAlign w:val="bottom"/>
          </w:tcPr>
          <w:p>
            <w:pPr>
              <w:ind w:left="120"/>
              <w:spacing w:after="0"/>
              <w:rPr>
                <w:sz w:val="20"/>
                <w:szCs w:val="20"/>
                <w:color w:val="auto"/>
              </w:rPr>
            </w:pPr>
            <w:r>
              <w:rPr>
                <w:rFonts w:ascii="Arial" w:cs="Arial" w:eastAsia="Arial" w:hAnsi="Arial"/>
                <w:sz w:val="18"/>
                <w:szCs w:val="18"/>
                <w:color w:val="auto"/>
              </w:rPr>
              <w:t>Maximum amount outstanding - revolving credit facility (based on daily outstanding balances)</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97</w:t>
            </w:r>
          </w:p>
        </w:tc>
      </w:tr>
      <w:tr>
        <w:trPr>
          <w:trHeight w:val="27"/>
        </w:trPr>
        <w:tc>
          <w:tcPr>
            <w:tcW w:w="7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70"/>
        </w:trPr>
        <w:tc>
          <w:tcPr>
            <w:tcW w:w="7820" w:type="dxa"/>
            <w:vAlign w:val="bottom"/>
            <w:shd w:val="clear" w:color="auto" w:fill="CEFFE7"/>
          </w:tcPr>
          <w:p>
            <w:pPr>
              <w:ind w:left="120"/>
              <w:spacing w:after="0" w:line="270" w:lineRule="exact"/>
              <w:rPr>
                <w:sz w:val="20"/>
                <w:szCs w:val="20"/>
                <w:color w:val="auto"/>
              </w:rPr>
            </w:pPr>
            <w:r>
              <w:rPr>
                <w:rFonts w:ascii="Arial" w:cs="Arial" w:eastAsia="Arial" w:hAnsi="Arial"/>
                <w:sz w:val="18"/>
                <w:szCs w:val="18"/>
                <w:color w:val="auto"/>
              </w:rPr>
              <w:t xml:space="preserve">Average amount outstanding - commercial paper (based on daily outstanding balances) </w:t>
            </w:r>
            <w:r>
              <w:rPr>
                <w:rFonts w:ascii="Arial" w:cs="Arial" w:eastAsia="Arial" w:hAnsi="Arial"/>
                <w:sz w:val="25"/>
                <w:szCs w:val="25"/>
                <w:color w:val="auto"/>
                <w:vertAlign w:val="superscript"/>
              </w:rPr>
              <w:t>(a)</w:t>
            </w:r>
          </w:p>
        </w:tc>
        <w:tc>
          <w:tcPr>
            <w:tcW w:w="104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107</w:t>
            </w:r>
          </w:p>
        </w:tc>
      </w:tr>
      <w:tr>
        <w:trPr>
          <w:trHeight w:val="270"/>
        </w:trPr>
        <w:tc>
          <w:tcPr>
            <w:tcW w:w="7820" w:type="dxa"/>
            <w:vAlign w:val="bottom"/>
          </w:tcPr>
          <w:p>
            <w:pPr>
              <w:ind w:left="120"/>
              <w:spacing w:after="0" w:line="270" w:lineRule="exact"/>
              <w:rPr>
                <w:sz w:val="20"/>
                <w:szCs w:val="20"/>
                <w:color w:val="auto"/>
              </w:rPr>
            </w:pPr>
            <w:r>
              <w:rPr>
                <w:rFonts w:ascii="Arial" w:cs="Arial" w:eastAsia="Arial" w:hAnsi="Arial"/>
                <w:sz w:val="18"/>
                <w:szCs w:val="18"/>
                <w:color w:val="auto"/>
              </w:rPr>
              <w:t xml:space="preserve">Average amount outstanding - revolving credit facility (based on daily outstanding balances) </w:t>
            </w:r>
            <w:r>
              <w:rPr>
                <w:rFonts w:ascii="Arial" w:cs="Arial" w:eastAsia="Arial" w:hAnsi="Arial"/>
                <w:sz w:val="25"/>
                <w:szCs w:val="25"/>
                <w:color w:val="auto"/>
                <w:vertAlign w:val="superscript"/>
              </w:rPr>
              <w:t>(a)</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55</w:t>
            </w:r>
          </w:p>
        </w:tc>
      </w:tr>
      <w:tr>
        <w:trPr>
          <w:trHeight w:val="270"/>
        </w:trPr>
        <w:tc>
          <w:tcPr>
            <w:tcW w:w="7820" w:type="dxa"/>
            <w:vAlign w:val="bottom"/>
            <w:shd w:val="clear" w:color="auto" w:fill="CEFFE7"/>
          </w:tcPr>
          <w:p>
            <w:pPr>
              <w:ind w:left="120"/>
              <w:spacing w:after="0" w:line="270" w:lineRule="exact"/>
              <w:rPr>
                <w:sz w:val="20"/>
                <w:szCs w:val="20"/>
                <w:color w:val="auto"/>
              </w:rPr>
            </w:pPr>
            <w:r>
              <w:rPr>
                <w:rFonts w:ascii="Arial" w:cs="Arial" w:eastAsia="Arial" w:hAnsi="Arial"/>
                <w:sz w:val="18"/>
                <w:szCs w:val="18"/>
                <w:color w:val="auto"/>
              </w:rPr>
              <w:t xml:space="preserve">Weighted average interest rates - commercial paper </w:t>
            </w:r>
            <w:r>
              <w:rPr>
                <w:rFonts w:ascii="Arial" w:cs="Arial" w:eastAsia="Arial" w:hAnsi="Arial"/>
                <w:sz w:val="25"/>
                <w:szCs w:val="25"/>
                <w:color w:val="auto"/>
                <w:vertAlign w:val="superscript"/>
              </w:rPr>
              <w:t>(a)</w:t>
            </w:r>
          </w:p>
        </w:tc>
        <w:tc>
          <w:tcPr>
            <w:tcW w:w="1040" w:type="dxa"/>
            <w:vAlign w:val="bottom"/>
            <w:shd w:val="clear" w:color="auto" w:fill="CEFFE7"/>
          </w:tcPr>
          <w:p>
            <w:pPr>
              <w:spacing w:after="0"/>
              <w:rPr>
                <w:sz w:val="23"/>
                <w:szCs w:val="23"/>
                <w:color w:val="auto"/>
              </w:rPr>
            </w:pPr>
          </w:p>
        </w:tc>
        <w:tc>
          <w:tcPr>
            <w:tcW w:w="25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1.28%</w:t>
            </w:r>
          </w:p>
        </w:tc>
      </w:tr>
      <w:tr>
        <w:trPr>
          <w:trHeight w:val="274"/>
        </w:trPr>
        <w:tc>
          <w:tcPr>
            <w:tcW w:w="7820" w:type="dxa"/>
            <w:vAlign w:val="bottom"/>
          </w:tcPr>
          <w:p>
            <w:pPr>
              <w:ind w:left="120"/>
              <w:spacing w:after="0" w:line="274" w:lineRule="exact"/>
              <w:rPr>
                <w:sz w:val="20"/>
                <w:szCs w:val="20"/>
                <w:color w:val="auto"/>
              </w:rPr>
            </w:pPr>
            <w:r>
              <w:rPr>
                <w:rFonts w:ascii="Arial" w:cs="Arial" w:eastAsia="Arial" w:hAnsi="Arial"/>
                <w:sz w:val="18"/>
                <w:szCs w:val="18"/>
                <w:color w:val="auto"/>
              </w:rPr>
              <w:t xml:space="preserve">Weighted average interest rates - revolving credit facility </w:t>
            </w:r>
            <w:r>
              <w:rPr>
                <w:rFonts w:ascii="Arial" w:cs="Arial" w:eastAsia="Arial" w:hAnsi="Arial"/>
                <w:sz w:val="25"/>
                <w:szCs w:val="25"/>
                <w:color w:val="auto"/>
                <w:vertAlign w:val="superscript"/>
              </w:rPr>
              <w:t>(a)</w:t>
            </w:r>
          </w:p>
        </w:tc>
        <w:tc>
          <w:tcPr>
            <w:tcW w:w="1040" w:type="dxa"/>
            <w:vAlign w:val="bottom"/>
          </w:tcPr>
          <w:p>
            <w:pPr>
              <w:spacing w:after="0"/>
              <w:rPr>
                <w:sz w:val="23"/>
                <w:szCs w:val="23"/>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2.07%</w:t>
            </w:r>
          </w:p>
        </w:tc>
      </w:tr>
    </w:tbl>
    <w:p>
      <w:pPr>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Averages for the Revolving Credit Facility are for the first 29 days of the year after which all borrowings were through the CP Program.</w:t>
      </w:r>
    </w:p>
    <w:p>
      <w:pPr>
        <w:spacing w:after="0" w:line="20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Revolving Credit Facility contains customary affirmative and negative covenants, such as limitations on certain liens, restrictions on certain transactions, and maintenance of a certain Consolidated Indebtedness to Capitalization Ratio. Under the Revolving Credit Facility, our Consolidated Indebtedness to Capitalization Ratio is calculated by dividing (i) Consolidated Indebtedness, which includes letters of credit, certain guarantees issued and excludes RSNs by</w:t>
      </w:r>
    </w:p>
    <w:p>
      <w:pPr>
        <w:ind w:right="20" w:firstLine="8"/>
        <w:spacing w:after="0" w:line="254" w:lineRule="auto"/>
        <w:tabs>
          <w:tab w:leader="none" w:pos="2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Capital, which includes Consolidated Indebtedness plus Net Worth, which excludes noncontrolling interests in subsidiaries and includes the aggregate outstanding amount of the RSNs. Subject to applicable cure periods, a violation of any of these covenants would constitute an event of default that entitles the lenders to terminate their remaining commitments and accelerate all principal and interest outstanding. We were in compliance with these covenants as of September 30, 2017.</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0" w:right="239" w:bottom="1440" w:gutter="0" w:footer="0" w:header="0"/>
        </w:sectPr>
      </w:pPr>
    </w:p>
    <w:bookmarkStart w:id="69" w:name="page70"/>
    <w:bookmarkEnd w:id="69"/>
    <w:p>
      <w:pPr>
        <w:ind w:right="620"/>
        <w:spacing w:after="0" w:line="308" w:lineRule="auto"/>
        <w:rPr>
          <w:sz w:val="20"/>
          <w:szCs w:val="20"/>
          <w:color w:val="auto"/>
        </w:rPr>
      </w:pPr>
      <w:r>
        <w:rPr>
          <w:rFonts w:ascii="Arial" w:cs="Arial" w:eastAsia="Arial" w:hAnsi="Arial"/>
          <w:sz w:val="17"/>
          <w:szCs w:val="17"/>
          <w:color w:val="auto"/>
        </w:rPr>
        <w:t>The Revolving Credit Facility prohibits us from paying cash dividends if a default or an event of default exists prior to, or would result after, paying a dividend. Although these contractual restrictions exist, we do not anticipate triggering any default measures or restrictions.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Financing activities for the nine months ended September 30, 2017 consisted of short-term borrowings from our Revolving Credit Facility and CP Program. We also made principal payments of $50 million each on May 16, 2017 and July 17, 2017 on our Corporate term loan due August 9, 2019. Short-term borrowings from our CP program were used to fund the payments on the Corporate term loan. On August 4, 2017, we renewed the ATM equity offering program initiated in 2016 which reset the size of the ATM equity offering program to an aggregate value of up to $300 million. We did not issue any shares of common stock under our ATM equity offering program.</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Financing activities from the prior year consisted of completing the permanent financing for the SourceGas Acquisition. In addition to the net proceeds of $536 million from our November 2015 equity issuances, we completed the Acquisition financing with $546 million of net proceeds from our January 2016 debt offering. We also refinanced the long-term debt assumed with the SourceGas Acquisition primarily through $693 million of net proceeds from our August 19, 2016 debt offerings. In addition to our debt refinancings, we issued a total of 1.97 million shares of common stock throughout 2016 for net proceeds of approximately $119 million through our ATM equity offering program, and sold a 49.9% noncontrolling interest in Black Hills Colorado IPP for $216 million in April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Financing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the following financing activities:</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Remarketing the junior subordinated notes maturing in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Evaluating a one-to-two year extension of our Revolving Credit Facility and CP program to be completed in 2018; and</w:t>
      </w:r>
    </w:p>
    <w:p>
      <w:pPr>
        <w:spacing w:after="0" w:line="225" w:lineRule="exact"/>
        <w:rPr>
          <w:rFonts w:ascii="Arial" w:cs="Arial" w:eastAsia="Arial" w:hAnsi="Arial"/>
          <w:sz w:val="18"/>
          <w:szCs w:val="18"/>
          <w:color w:val="auto"/>
        </w:rPr>
      </w:pPr>
    </w:p>
    <w:p>
      <w:pPr>
        <w:ind w:right="1700" w:firstLine="332"/>
        <w:spacing w:after="0" w:line="501"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Evaluating refinancing options for term loan and short-term borrowings under our Revolving Credit Facility and CP program. </w:t>
      </w:r>
      <w:r>
        <w:rPr>
          <w:rFonts w:ascii="Arial" w:cs="Arial" w:eastAsia="Arial" w:hAnsi="Arial"/>
          <w:sz w:val="18"/>
          <w:szCs w:val="18"/>
          <w:u w:val="single" w:color="auto"/>
          <w:color w:val="auto"/>
        </w:rPr>
        <w:t>Dividend Restrictions</w:t>
      </w:r>
    </w:p>
    <w:p>
      <w:pPr>
        <w:spacing w:after="0" w:line="269" w:lineRule="auto"/>
        <w:rPr>
          <w:sz w:val="20"/>
          <w:szCs w:val="20"/>
          <w:color w:val="auto"/>
        </w:rPr>
      </w:pPr>
      <w:r>
        <w:rPr>
          <w:rFonts w:ascii="Arial" w:cs="Arial" w:eastAsia="Arial" w:hAnsi="Arial"/>
          <w:sz w:val="17"/>
          <w:szCs w:val="17"/>
          <w:color w:val="auto"/>
        </w:rPr>
        <w:t>As a utility holding company which owns several regulated utilities, we are subject to various regulations that could influence our liquidity. Our utilities in Arkansas, Colorado, Iowa, Kansas, Nebraska and Wyoming have regulatory agreements in which they cannot pay dividends if they have issued debt to third parties and the payment of a dividend would reduce their equity ratio to below 40% of their total capitalization; and neither Black Hills Utility Holdings nor its subsidiaries can extend credit to the Company except in the ordinary course of business and upon reasonable terms consistent with market terms. The use of our utility assets as collateral generally requires the prior approval of the state regulators in the state in which the utility assets are located. Additionally, our utility subsidiaries may generally be limited to the amount of dividends allowed by state regulatory authorities to be paid to us as a utility holding company and also may have further restrictions under the Federal Power Act. As a result of our holding company structure, our right as a common shareholder to receive assets of any of our direct or indirect subsidiaries upon a subsidiary’s liquidation or reorganization is junior to the claims against the assets of such subsidiaries by their creditors. Therefore, our holding company debt obligations are effectively subordinated to all existing and future claims of the creditors of our subsidiaries, including trade creditors, debt holders, secured creditors, taxing authorities, and guarantee holders. As of September 30, 2017, the restricted net assets at our Electric Utilities and Gas Utilities were approximately $257 million.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70" w:name="page71"/>
    <w:bookmarkEnd w:id="70"/>
    <w:p>
      <w:pPr>
        <w:ind w:right="100"/>
        <w:spacing w:after="0" w:line="271" w:lineRule="auto"/>
        <w:rPr>
          <w:sz w:val="20"/>
          <w:szCs w:val="20"/>
          <w:color w:val="auto"/>
        </w:rPr>
      </w:pPr>
      <w:r>
        <w:rPr>
          <w:rFonts w:ascii="Arial" w:cs="Arial" w:eastAsia="Arial" w:hAnsi="Arial"/>
          <w:sz w:val="17"/>
          <w:szCs w:val="17"/>
          <w:color w:val="auto"/>
        </w:rPr>
        <w:t>Our credit facilities and other debt obligations contain restrictions on the payment of cash dividends upon a default or event of default. An event of default would be deemed to have occurred if we did not meet certain financial covenants. The only financial covenant under our Revolving Credit Facility and existing term loans is a Consolidated Indebtedness to Capitalization Ratio, which requires us to maintain a Consolidated Indebtedness to Capitalization Ratio not to exceed 0.65 to 1.00 at the end of any fiscal quarter. Our Consolidated Indebtedness to Capitalization Ratio is calculated by dividing (i) Consolidated Indebtedness, which includes letters of credit, certain guarantees issued and excludes RSNs by (ii) Capital, which includes Consolidated Indebtedness plus Net Worth, which excludes noncontrolling interests in subsidiaries and includes the aggregate outstanding amount of the RSNs. Additionally, covenants within Cheyenne Light’s financing agreements require Cheyenne Light to maintain a debt to capitalization ratio of no more than 0.60 to 1.00. As of September 30, 2017, we were in compliance with these covenants.</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other material changes in our financing transactions and short-term liquidity from those reported in Item 7 of our 2016 Annual Report on Form 10-K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Financing for operational needs and capital expenditure requirements not satisfied by operating cash flows depends upon the cost and availability of external funds through both short and long-term financing. The inability to raise capital on favorable terms could negatively affect our ability to maintain or expand our businesses.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the credit ratings of the Company, management believes that the Company will have access to the capital markets at prevailing market rates for companies with comparable credit ratings. BHC notes that credit ratings are not recommendations to buy, sell, or hold securities and may be subject to revision or withdrawal at any time by the assigning rating agency. Each rating should be evaluated independently of any other rating.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w w:val="93"/>
              </w:rPr>
              <w:t>The following table represents the credit ratings and outlook and risk profile of BHC at September 30, 2017:</w:t>
            </w:r>
          </w:p>
        </w:tc>
        <w:tc>
          <w:tcPr>
            <w:tcW w:w="2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Rating Agency</w:t>
            </w:r>
          </w:p>
        </w:tc>
        <w:tc>
          <w:tcPr>
            <w:tcW w:w="2300" w:type="dxa"/>
            <w:vAlign w:val="bottom"/>
          </w:tcPr>
          <w:p>
            <w:pPr>
              <w:ind w:left="180"/>
              <w:spacing w:after="0"/>
              <w:rPr>
                <w:sz w:val="20"/>
                <w:szCs w:val="20"/>
                <w:color w:val="auto"/>
              </w:rPr>
            </w:pPr>
            <w:r>
              <w:rPr>
                <w:rFonts w:ascii="Arial" w:cs="Arial" w:eastAsia="Arial" w:hAnsi="Arial"/>
                <w:sz w:val="18"/>
                <w:szCs w:val="18"/>
                <w:b w:val="1"/>
                <w:bCs w:val="1"/>
                <w:color w:val="auto"/>
                <w:w w:val="97"/>
              </w:rPr>
              <w:t>Senior Unsecured Rating</w:t>
            </w: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Outlook</w:t>
            </w:r>
          </w:p>
        </w:tc>
      </w:tr>
      <w:tr>
        <w:trPr>
          <w:trHeight w:val="27"/>
        </w:trPr>
        <w:tc>
          <w:tcPr>
            <w:tcW w:w="80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00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S&amp;P </w:t>
            </w:r>
            <w:r>
              <w:rPr>
                <w:rFonts w:ascii="Arial" w:cs="Arial" w:eastAsia="Arial" w:hAnsi="Arial"/>
                <w:sz w:val="25"/>
                <w:szCs w:val="25"/>
                <w:color w:val="auto"/>
                <w:vertAlign w:val="superscript"/>
              </w:rPr>
              <w:t>(a)</w:t>
            </w:r>
          </w:p>
        </w:tc>
        <w:tc>
          <w:tcPr>
            <w:tcW w:w="2300" w:type="dxa"/>
            <w:vAlign w:val="bottom"/>
            <w:shd w:val="clear" w:color="auto" w:fill="CEFFE7"/>
          </w:tcPr>
          <w:p>
            <w:pPr>
              <w:ind w:left="960"/>
              <w:spacing w:after="0"/>
              <w:rPr>
                <w:sz w:val="20"/>
                <w:szCs w:val="20"/>
                <w:color w:val="auto"/>
              </w:rPr>
            </w:pPr>
            <w:r>
              <w:rPr>
                <w:rFonts w:ascii="Arial" w:cs="Arial" w:eastAsia="Arial" w:hAnsi="Arial"/>
                <w:sz w:val="18"/>
                <w:szCs w:val="18"/>
                <w:color w:val="auto"/>
              </w:rPr>
              <w:t>BBB</w:t>
            </w:r>
          </w:p>
        </w:tc>
        <w:tc>
          <w:tcPr>
            <w:tcW w:w="112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270"/>
        </w:trPr>
        <w:tc>
          <w:tcPr>
            <w:tcW w:w="8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2300" w:type="dxa"/>
            <w:vAlign w:val="bottom"/>
          </w:tcPr>
          <w:p>
            <w:pPr>
              <w:ind w:left="960"/>
              <w:spacing w:after="0"/>
              <w:rPr>
                <w:sz w:val="20"/>
                <w:szCs w:val="20"/>
                <w:color w:val="auto"/>
              </w:rPr>
            </w:pPr>
            <w:r>
              <w:rPr>
                <w:rFonts w:ascii="Arial" w:cs="Arial" w:eastAsia="Arial" w:hAnsi="Arial"/>
                <w:sz w:val="18"/>
                <w:szCs w:val="18"/>
                <w:color w:val="auto"/>
              </w:rPr>
              <w:t>Baa2</w:t>
            </w: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270"/>
        </w:trPr>
        <w:tc>
          <w:tcPr>
            <w:tcW w:w="80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2300" w:type="dxa"/>
            <w:vAlign w:val="bottom"/>
            <w:shd w:val="clear" w:color="auto" w:fill="CEFFE7"/>
          </w:tcPr>
          <w:p>
            <w:pPr>
              <w:ind w:left="960"/>
              <w:spacing w:after="0"/>
              <w:rPr>
                <w:sz w:val="20"/>
                <w:szCs w:val="20"/>
                <w:color w:val="auto"/>
              </w:rPr>
            </w:pPr>
            <w:r>
              <w:rPr>
                <w:rFonts w:ascii="Arial" w:cs="Arial" w:eastAsia="Arial" w:hAnsi="Arial"/>
                <w:sz w:val="18"/>
                <w:szCs w:val="18"/>
                <w:color w:val="auto"/>
              </w:rPr>
              <w:t>BBB+</w:t>
            </w:r>
          </w:p>
        </w:tc>
        <w:tc>
          <w:tcPr>
            <w:tcW w:w="112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193"/>
        </w:trPr>
        <w:tc>
          <w:tcPr>
            <w:tcW w:w="8000" w:type="dxa"/>
            <w:vAlign w:val="bottom"/>
          </w:tcPr>
          <w:p>
            <w:pPr>
              <w:spacing w:after="0"/>
              <w:rPr>
                <w:sz w:val="20"/>
                <w:szCs w:val="20"/>
                <w:color w:val="auto"/>
              </w:rPr>
            </w:pPr>
            <w:r>
              <w:rPr>
                <w:rFonts w:ascii="Arial" w:cs="Arial" w:eastAsia="Arial" w:hAnsi="Arial"/>
                <w:sz w:val="16"/>
                <w:szCs w:val="16"/>
                <w:color w:val="auto"/>
              </w:rPr>
              <w:t>__________</w:t>
            </w:r>
          </w:p>
        </w:tc>
        <w:tc>
          <w:tcPr>
            <w:tcW w:w="230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ind w:left="340" w:hanging="332"/>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July 21, 2017, S&amp;P affirmed BBB rating and maintained a Stable outlook.</w:t>
      </w:r>
    </w:p>
    <w:p>
      <w:pPr>
        <w:spacing w:after="0" w:line="5" w:lineRule="exact"/>
        <w:rPr>
          <w:rFonts w:ascii="Arial" w:cs="Arial" w:eastAsia="Arial" w:hAnsi="Arial"/>
          <w:sz w:val="16"/>
          <w:szCs w:val="16"/>
          <w:color w:val="auto"/>
        </w:rPr>
      </w:pPr>
    </w:p>
    <w:p>
      <w:pPr>
        <w:ind w:left="340" w:right="220" w:hanging="332"/>
        <w:spacing w:after="0" w:line="246"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December 9, 2016, Moody’s issued a Baa2 rating with a Stable outlook, which reflects the higher debt leverage resulting from the incremental debt used to fund the SourceGas Acquisition.</w:t>
      </w:r>
    </w:p>
    <w:p>
      <w:pPr>
        <w:ind w:left="340" w:hanging="332"/>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October 4, 2017, Fitch affirmed BBB+ rating and maintained a Stable outlook.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credit ratings of Black Hills Power at September 30,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Rating Agency</w:t>
            </w:r>
          </w:p>
        </w:tc>
        <w:tc>
          <w:tcPr>
            <w:tcW w:w="352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Senior Secured Rating</w:t>
            </w:r>
          </w:p>
        </w:tc>
      </w:tr>
      <w:tr>
        <w:trPr>
          <w:trHeight w:val="27"/>
        </w:trPr>
        <w:tc>
          <w:tcPr>
            <w:tcW w:w="79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S&amp;P</w:t>
            </w:r>
          </w:p>
        </w:tc>
        <w:tc>
          <w:tcPr>
            <w:tcW w:w="3520" w:type="dxa"/>
            <w:vAlign w:val="bottom"/>
            <w:tcBorders>
              <w:bottom w:val="single" w:sz="8" w:color="CEFFE7"/>
            </w:tcBorders>
            <w:shd w:val="clear" w:color="auto" w:fill="CEFFE7"/>
          </w:tcPr>
          <w:p>
            <w:pPr>
              <w:jc w:val="center"/>
              <w:ind w:left="1370"/>
              <w:spacing w:after="0"/>
              <w:rPr>
                <w:sz w:val="20"/>
                <w:szCs w:val="20"/>
                <w:color w:val="auto"/>
              </w:rPr>
            </w:pPr>
            <w:r>
              <w:rPr>
                <w:rFonts w:ascii="Arial" w:cs="Arial" w:eastAsia="Arial" w:hAnsi="Arial"/>
                <w:sz w:val="18"/>
                <w:szCs w:val="18"/>
                <w:color w:val="auto"/>
                <w:w w:val="99"/>
              </w:rPr>
              <w:t>A-</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Moody’s</w:t>
            </w:r>
          </w:p>
        </w:tc>
        <w:tc>
          <w:tcPr>
            <w:tcW w:w="3520" w:type="dxa"/>
            <w:vAlign w:val="bottom"/>
          </w:tcPr>
          <w:p>
            <w:pPr>
              <w:jc w:val="center"/>
              <w:ind w:left="1370"/>
              <w:spacing w:after="0"/>
              <w:rPr>
                <w:sz w:val="20"/>
                <w:szCs w:val="20"/>
                <w:color w:val="auto"/>
              </w:rPr>
            </w:pPr>
            <w:r>
              <w:rPr>
                <w:rFonts w:ascii="Arial" w:cs="Arial" w:eastAsia="Arial" w:hAnsi="Arial"/>
                <w:sz w:val="18"/>
                <w:szCs w:val="18"/>
                <w:color w:val="auto"/>
                <w:w w:val="99"/>
              </w:rPr>
              <w:t>A1</w:t>
            </w:r>
          </w:p>
        </w:tc>
      </w:tr>
      <w:tr>
        <w:trPr>
          <w:trHeight w:val="27"/>
        </w:trPr>
        <w:tc>
          <w:tcPr>
            <w:tcW w:w="790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Fitch</w:t>
            </w:r>
          </w:p>
        </w:tc>
        <w:tc>
          <w:tcPr>
            <w:tcW w:w="3520" w:type="dxa"/>
            <w:vAlign w:val="bottom"/>
            <w:tcBorders>
              <w:bottom w:val="single" w:sz="8" w:color="CEFFE7"/>
            </w:tcBorders>
            <w:shd w:val="clear" w:color="auto" w:fill="CEFFE7"/>
          </w:tcPr>
          <w:p>
            <w:pPr>
              <w:jc w:val="center"/>
              <w:ind w:left="1370"/>
              <w:spacing w:after="0"/>
              <w:rPr>
                <w:sz w:val="20"/>
                <w:szCs w:val="20"/>
                <w:color w:val="auto"/>
              </w:rPr>
            </w:pPr>
            <w:r>
              <w:rPr>
                <w:rFonts w:ascii="Arial" w:cs="Arial" w:eastAsia="Arial" w:hAnsi="Arial"/>
                <w:sz w:val="18"/>
                <w:szCs w:val="18"/>
                <w:color w:val="auto"/>
              </w:rPr>
              <w:t>A</w:t>
            </w:r>
          </w:p>
        </w:tc>
      </w:tr>
      <w:tr>
        <w:trPr>
          <w:trHeight w:val="432"/>
        </w:trPr>
        <w:tc>
          <w:tcPr>
            <w:tcW w:w="7900" w:type="dxa"/>
            <w:vAlign w:val="bottom"/>
          </w:tcPr>
          <w:p>
            <w:pPr>
              <w:spacing w:after="0"/>
              <w:rPr>
                <w:sz w:val="20"/>
                <w:szCs w:val="20"/>
                <w:color w:val="auto"/>
              </w:rPr>
            </w:pPr>
            <w:r>
              <w:rPr>
                <w:rFonts w:ascii="Arial" w:cs="Arial" w:eastAsia="Arial" w:hAnsi="Arial"/>
                <w:sz w:val="18"/>
                <w:szCs w:val="18"/>
                <w:color w:val="auto"/>
              </w:rPr>
              <w:t>There were no rating changes for Black Hills Power from previously disclosed ratings.</w:t>
            </w:r>
          </w:p>
        </w:tc>
        <w:tc>
          <w:tcPr>
            <w:tcW w:w="3520" w:type="dxa"/>
            <w:vAlign w:val="bottom"/>
          </w:tcPr>
          <w:p>
            <w:pPr>
              <w:spacing w:after="0"/>
              <w:rPr>
                <w:sz w:val="24"/>
                <w:szCs w:val="24"/>
                <w:color w:val="auto"/>
              </w:rPr>
            </w:pPr>
          </w:p>
        </w:tc>
      </w:tr>
      <w:tr>
        <w:trPr>
          <w:trHeight w:val="648"/>
        </w:trPr>
        <w:tc>
          <w:tcPr>
            <w:tcW w:w="7900" w:type="dxa"/>
            <w:vAlign w:val="bottom"/>
          </w:tcPr>
          <w:p>
            <w:pPr>
              <w:ind w:left="5620"/>
              <w:spacing w:after="0"/>
              <w:rPr>
                <w:sz w:val="20"/>
                <w:szCs w:val="20"/>
                <w:color w:val="auto"/>
              </w:rPr>
            </w:pPr>
            <w:r>
              <w:rPr>
                <w:rFonts w:ascii="Arial" w:cs="Arial" w:eastAsia="Arial" w:hAnsi="Arial"/>
                <w:sz w:val="18"/>
                <w:szCs w:val="18"/>
                <w:color w:val="auto"/>
              </w:rPr>
              <w:t>71</w:t>
            </w:r>
          </w:p>
        </w:tc>
        <w:tc>
          <w:tcPr>
            <w:tcW w:w="35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Actual and forecasted capital requirements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w w:val="91"/>
              </w:rPr>
              <w:t>Expenditures for the</w:t>
            </w:r>
          </w:p>
        </w:tc>
        <w:tc>
          <w:tcPr>
            <w:tcW w:w="300" w:type="dxa"/>
            <w:vAlign w:val="bottom"/>
          </w:tcPr>
          <w:p>
            <w:pPr>
              <w:spacing w:after="0"/>
              <w:rPr>
                <w:sz w:val="20"/>
                <w:szCs w:val="20"/>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94"/>
              </w:rPr>
              <w:t>Total</w:t>
            </w:r>
          </w:p>
        </w:tc>
        <w:tc>
          <w:tcPr>
            <w:tcW w:w="32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9"/>
              </w:rPr>
              <w:t>Total</w:t>
            </w:r>
          </w:p>
        </w:tc>
        <w:tc>
          <w:tcPr>
            <w:tcW w:w="340" w:type="dxa"/>
            <w:vAlign w:val="bottom"/>
          </w:tcPr>
          <w:p>
            <w:pPr>
              <w:spacing w:after="0"/>
              <w:rPr>
                <w:sz w:val="20"/>
                <w:szCs w:val="20"/>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94"/>
              </w:rPr>
              <w:t>Total</w:t>
            </w:r>
          </w:p>
        </w:tc>
      </w:tr>
      <w:tr>
        <w:trPr>
          <w:trHeight w:val="256"/>
        </w:trPr>
        <w:tc>
          <w:tcPr>
            <w:tcW w:w="3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w w:val="91"/>
              </w:rPr>
              <w:t>Nine Months Ended</w:t>
            </w:r>
          </w:p>
        </w:tc>
        <w:tc>
          <w:tcPr>
            <w:tcW w:w="300" w:type="dxa"/>
            <w:vAlign w:val="bottom"/>
          </w:tcPr>
          <w:p>
            <w:pPr>
              <w:spacing w:after="0"/>
              <w:rPr>
                <w:sz w:val="22"/>
                <w:szCs w:val="22"/>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88"/>
              </w:rPr>
              <w:t>2017 Planned</w:t>
            </w:r>
          </w:p>
        </w:tc>
        <w:tc>
          <w:tcPr>
            <w:tcW w:w="320" w:type="dxa"/>
            <w:vAlign w:val="bottom"/>
          </w:tcPr>
          <w:p>
            <w:pPr>
              <w:spacing w:after="0"/>
              <w:rPr>
                <w:sz w:val="22"/>
                <w:szCs w:val="22"/>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9"/>
              </w:rPr>
              <w:t>2018 Planned</w:t>
            </w:r>
          </w:p>
        </w:tc>
        <w:tc>
          <w:tcPr>
            <w:tcW w:w="340" w:type="dxa"/>
            <w:vAlign w:val="bottom"/>
          </w:tcPr>
          <w:p>
            <w:pPr>
              <w:spacing w:after="0"/>
              <w:rPr>
                <w:sz w:val="22"/>
                <w:szCs w:val="22"/>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88"/>
              </w:rPr>
              <w:t>2019 Planned</w:t>
            </w:r>
          </w:p>
        </w:tc>
      </w:tr>
      <w:tr>
        <w:trPr>
          <w:trHeight w:val="257"/>
        </w:trPr>
        <w:tc>
          <w:tcPr>
            <w:tcW w:w="3780" w:type="dxa"/>
            <w:vAlign w:val="bottom"/>
            <w:tcBorders>
              <w:bottom w:val="single" w:sz="8" w:color="CEFFE7"/>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center"/>
              <w:ind w:right="130"/>
              <w:spacing w:after="0" w:line="257" w:lineRule="exact"/>
              <w:rPr>
                <w:sz w:val="20"/>
                <w:szCs w:val="20"/>
                <w:color w:val="auto"/>
              </w:rPr>
            </w:pPr>
            <w:r>
              <w:rPr>
                <w:rFonts w:ascii="Arial" w:cs="Arial" w:eastAsia="Arial" w:hAnsi="Arial"/>
                <w:sz w:val="18"/>
                <w:szCs w:val="18"/>
                <w:color w:val="auto"/>
                <w:w w:val="86"/>
              </w:rPr>
              <w:t xml:space="preserve">September 30, 2017 </w:t>
            </w:r>
            <w:r>
              <w:rPr>
                <w:rFonts w:ascii="Arial" w:cs="Arial" w:eastAsia="Arial" w:hAnsi="Arial"/>
                <w:sz w:val="25"/>
                <w:szCs w:val="25"/>
                <w:color w:val="auto"/>
                <w:w w:val="86"/>
                <w:vertAlign w:val="superscript"/>
              </w:rPr>
              <w:t>(a)</w:t>
            </w: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30"/>
              <w:spacing w:after="0" w:line="257" w:lineRule="exact"/>
              <w:rPr>
                <w:sz w:val="20"/>
                <w:szCs w:val="20"/>
                <w:color w:val="auto"/>
              </w:rPr>
            </w:pPr>
            <w:r>
              <w:rPr>
                <w:rFonts w:ascii="Arial" w:cs="Arial" w:eastAsia="Arial" w:hAnsi="Arial"/>
                <w:sz w:val="18"/>
                <w:szCs w:val="18"/>
                <w:color w:val="auto"/>
                <w:w w:val="87"/>
              </w:rPr>
              <w:t xml:space="preserve">Expenditures </w:t>
            </w:r>
            <w:r>
              <w:rPr>
                <w:rFonts w:ascii="Arial" w:cs="Arial" w:eastAsia="Arial" w:hAnsi="Arial"/>
                <w:sz w:val="25"/>
                <w:szCs w:val="25"/>
                <w:color w:val="auto"/>
                <w:w w:val="87"/>
                <w:vertAlign w:val="superscript"/>
              </w:rPr>
              <w:t>(b)</w:t>
            </w: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Expenditures</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Expenditures</w:t>
            </w:r>
          </w:p>
        </w:tc>
      </w:tr>
      <w:tr>
        <w:trPr>
          <w:trHeight w:val="244"/>
        </w:trPr>
        <w:tc>
          <w:tcPr>
            <w:tcW w:w="37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113,199</w:t>
            </w:r>
          </w:p>
        </w:tc>
        <w:tc>
          <w:tcPr>
            <w:tcW w:w="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134,000</w:t>
            </w:r>
          </w:p>
        </w:tc>
        <w:tc>
          <w:tcPr>
            <w:tcW w:w="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149,000</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193,000</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2020" w:type="dxa"/>
            <w:vAlign w:val="bottom"/>
          </w:tcPr>
          <w:p>
            <w:pPr>
              <w:jc w:val="right"/>
              <w:ind w:right="50"/>
              <w:spacing w:after="0"/>
              <w:rPr>
                <w:sz w:val="20"/>
                <w:szCs w:val="20"/>
                <w:color w:val="auto"/>
              </w:rPr>
            </w:pPr>
            <w:r>
              <w:rPr>
                <w:rFonts w:ascii="Arial" w:cs="Arial" w:eastAsia="Arial" w:hAnsi="Arial"/>
                <w:sz w:val="18"/>
                <w:szCs w:val="18"/>
                <w:color w:val="auto"/>
              </w:rPr>
              <w:t>122,482</w:t>
            </w:r>
          </w:p>
        </w:tc>
        <w:tc>
          <w:tcPr>
            <w:tcW w:w="3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187,000</w:t>
            </w: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263,000</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279,000</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7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1,899</w:t>
            </w:r>
          </w:p>
        </w:tc>
        <w:tc>
          <w:tcPr>
            <w:tcW w:w="30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2,000</w:t>
            </w:r>
          </w:p>
        </w:tc>
        <w:tc>
          <w:tcPr>
            <w:tcW w:w="34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14,000</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2020" w:type="dxa"/>
            <w:vAlign w:val="bottom"/>
          </w:tcPr>
          <w:p>
            <w:pPr>
              <w:jc w:val="right"/>
              <w:ind w:right="50"/>
              <w:spacing w:after="0"/>
              <w:rPr>
                <w:sz w:val="20"/>
                <w:szCs w:val="20"/>
                <w:color w:val="auto"/>
              </w:rPr>
            </w:pPr>
            <w:r>
              <w:rPr>
                <w:rFonts w:ascii="Arial" w:cs="Arial" w:eastAsia="Arial" w:hAnsi="Arial"/>
                <w:sz w:val="18"/>
                <w:szCs w:val="18"/>
                <w:color w:val="auto"/>
              </w:rPr>
              <w:t>4,315</w:t>
            </w:r>
          </w:p>
        </w:tc>
        <w:tc>
          <w:tcPr>
            <w:tcW w:w="3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7,000</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780" w:type="dxa"/>
            <w:vAlign w:val="bottom"/>
            <w:shd w:val="clear" w:color="auto" w:fill="CEFFE7"/>
          </w:tcPr>
          <w:p>
            <w:pPr>
              <w:ind w:left="120"/>
              <w:spacing w:after="0" w:line="270" w:lineRule="exact"/>
              <w:rPr>
                <w:sz w:val="20"/>
                <w:szCs w:val="20"/>
                <w:color w:val="auto"/>
              </w:rPr>
            </w:pPr>
            <w:r>
              <w:rPr>
                <w:rFonts w:ascii="Arial" w:cs="Arial" w:eastAsia="Arial" w:hAnsi="Arial"/>
                <w:sz w:val="18"/>
                <w:szCs w:val="18"/>
                <w:color w:val="auto"/>
              </w:rPr>
              <w:t xml:space="preserve">Oil and Gas </w:t>
            </w:r>
            <w:r>
              <w:rPr>
                <w:rFonts w:ascii="Arial" w:cs="Arial" w:eastAsia="Arial" w:hAnsi="Arial"/>
                <w:sz w:val="25"/>
                <w:szCs w:val="25"/>
                <w:color w:val="auto"/>
                <w:vertAlign w:val="superscript"/>
              </w:rPr>
              <w:t>(c)</w:t>
            </w:r>
          </w:p>
        </w:tc>
        <w:tc>
          <w:tcPr>
            <w:tcW w:w="200" w:type="dxa"/>
            <w:vAlign w:val="bottom"/>
            <w:shd w:val="clear" w:color="auto" w:fill="CEFFE7"/>
          </w:tcPr>
          <w:p>
            <w:pPr>
              <w:spacing w:after="0"/>
              <w:rPr>
                <w:sz w:val="23"/>
                <w:szCs w:val="23"/>
                <w:color w:val="auto"/>
              </w:rPr>
            </w:pPr>
          </w:p>
        </w:tc>
        <w:tc>
          <w:tcPr>
            <w:tcW w:w="202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16,951</w:t>
            </w:r>
          </w:p>
        </w:tc>
        <w:tc>
          <w:tcPr>
            <w:tcW w:w="300" w:type="dxa"/>
            <w:vAlign w:val="bottom"/>
            <w:shd w:val="clear" w:color="auto" w:fill="CEFFE7"/>
          </w:tcPr>
          <w:p>
            <w:pPr>
              <w:spacing w:after="0"/>
              <w:rPr>
                <w:sz w:val="23"/>
                <w:szCs w:val="23"/>
                <w:color w:val="auto"/>
              </w:rPr>
            </w:pPr>
          </w:p>
        </w:tc>
        <w:tc>
          <w:tcPr>
            <w:tcW w:w="15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21,000</w:t>
            </w:r>
          </w:p>
        </w:tc>
        <w:tc>
          <w:tcPr>
            <w:tcW w:w="320" w:type="dxa"/>
            <w:vAlign w:val="bottom"/>
            <w:shd w:val="clear" w:color="auto" w:fill="CEFFE7"/>
          </w:tcPr>
          <w:p>
            <w:pPr>
              <w:spacing w:after="0"/>
              <w:rPr>
                <w:sz w:val="23"/>
                <w:szCs w:val="23"/>
                <w:color w:val="auto"/>
              </w:rPr>
            </w:pPr>
          </w:p>
        </w:tc>
        <w:tc>
          <w:tcPr>
            <w:tcW w:w="14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EFFE7"/>
          </w:tcPr>
          <w:p>
            <w:pPr>
              <w:spacing w:after="0"/>
              <w:rPr>
                <w:sz w:val="23"/>
                <w:szCs w:val="23"/>
                <w:color w:val="auto"/>
              </w:rPr>
            </w:pPr>
          </w:p>
        </w:tc>
        <w:tc>
          <w:tcPr>
            <w:tcW w:w="14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2020" w:type="dxa"/>
            <w:vAlign w:val="bottom"/>
          </w:tcPr>
          <w:p>
            <w:pPr>
              <w:jc w:val="right"/>
              <w:ind w:right="50"/>
              <w:spacing w:after="0"/>
              <w:rPr>
                <w:sz w:val="20"/>
                <w:szCs w:val="20"/>
                <w:color w:val="auto"/>
              </w:rPr>
            </w:pPr>
            <w:r>
              <w:rPr>
                <w:rFonts w:ascii="Arial" w:cs="Arial" w:eastAsia="Arial" w:hAnsi="Arial"/>
                <w:sz w:val="18"/>
                <w:szCs w:val="18"/>
                <w:color w:val="auto"/>
              </w:rPr>
              <w:t>5,075</w:t>
            </w:r>
          </w:p>
        </w:tc>
        <w:tc>
          <w:tcPr>
            <w:tcW w:w="3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9,000</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13,000</w:t>
            </w:r>
          </w:p>
        </w:tc>
      </w:tr>
      <w:tr>
        <w:trPr>
          <w:trHeight w:val="27"/>
        </w:trPr>
        <w:tc>
          <w:tcPr>
            <w:tcW w:w="378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EFFE7"/>
            </w:tcBorders>
            <w:shd w:val="clear" w:color="auto" w:fill="CEFFE7"/>
          </w:tcPr>
          <w:p>
            <w:pPr>
              <w:spacing w:after="0"/>
              <w:rPr>
                <w:sz w:val="22"/>
                <w:szCs w:val="22"/>
                <w:color w:val="auto"/>
              </w:rPr>
            </w:pP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263,921</w:t>
            </w:r>
          </w:p>
        </w:tc>
        <w:tc>
          <w:tcPr>
            <w:tcW w:w="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357,000</w:t>
            </w:r>
          </w:p>
        </w:tc>
        <w:tc>
          <w:tcPr>
            <w:tcW w:w="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430,000</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506,000</w:t>
            </w:r>
          </w:p>
        </w:tc>
      </w:tr>
      <w:tr>
        <w:trPr>
          <w:trHeight w:val="20"/>
        </w:trPr>
        <w:tc>
          <w:tcPr>
            <w:tcW w:w="378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w:t>
      </w:r>
    </w:p>
    <w:p>
      <w:pPr>
        <w:spacing w:after="0" w:line="9"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Expenditures for the nine months ended September 30, 2017 include the impact of accruals for property, plant and equipment.</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actual capital expenditures for the nine months ended September 30, 2017.</w:t>
      </w:r>
    </w:p>
    <w:p>
      <w:pPr>
        <w:spacing w:after="0" w:line="5" w:lineRule="exact"/>
        <w:rPr>
          <w:rFonts w:ascii="Arial" w:cs="Arial" w:eastAsia="Arial" w:hAnsi="Arial"/>
          <w:sz w:val="16"/>
          <w:szCs w:val="16"/>
          <w:color w:val="auto"/>
        </w:rPr>
      </w:pPr>
    </w:p>
    <w:p>
      <w:pPr>
        <w:ind w:left="340" w:right="40" w:hanging="332"/>
        <w:spacing w:after="0" w:line="257"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Expenditures reflect the completion of two wells previously drilled in 2015 to meet minimum daily quantity requirements for the Piceance Basin gathering and processing contract.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have updated our planned 2018 and 2019 capital expenditures to primarily reflect the following:</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additional planned transmission and distribution investments at our Electric Utilities in 2018 and 2019;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additional planned growth and integrity investments in our Gas utilities, primarily as a result of gaining further knowledge of the SourceGas utilities.</w:t>
      </w:r>
    </w:p>
    <w:p>
      <w:pPr>
        <w:spacing w:after="0" w:line="2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continue to evaluate potential future acquisitions and other growth opportunities when they arise. As a result, capital expenditures may vary significantly from the estimates identified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There have been no significant changes in contractual obligations from those previously disclosed in Note 19 of our Notes to the Consolidated Financial Statements in our 2016 Annual Report on Form 10-K except for those described in Note 16 of the Notes to Condensed Consolidated Financial Statements in Item 1 of Part I of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significant changes to guarantees from those previously disclosed in Note 20 of the Notes to the Consolidated Financial Statements in our 2016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than the pronouncements reported in our 2016 Annual Report on Form 10-K filed with the SEC and those discussed in Note 1 of the Notes to Condensed Consolidated Financial Statements in this Quarterly Report on Form 10-Q, there have been no new accounting pronouncements that are expected to have a material effect on our financial position,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0" w:right="23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Quarterly Report on Form 10-Q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Item 2 - Management’s Discussion &amp; Analysis of Financial Condition and Results of Operations.</w:t>
      </w:r>
    </w:p>
    <w:p>
      <w:pPr>
        <w:spacing w:after="0" w:line="19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forward-looking statement contained in this document speaks only as of the date on which the statement was made, and the Company undertakes no obligation to update any forward-looking statement or statements to reflect events or circumstances that occur after the date on which the statement was made or to reflect the occurrence of unanticipated events. New factors emerge from time to time,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described in our 2016 Annual Report on Form 10-K including statements contained within Item 1A - Risk Factors of our 2016 Annual Report on Form 10-K, Part II, Item 1A of this Quarterly Report on Form 10-Q and other reports that we file with the SEC from time to time.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580" w:right="279" w:bottom="1440" w:gutter="0" w:footer="0" w:header="0"/>
        </w:sectPr>
      </w:pPr>
    </w:p>
    <w:bookmarkStart w:id="73" w:name="page74"/>
    <w:bookmarkEnd w:id="73"/>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Utilities</w:t>
      </w:r>
    </w:p>
    <w:p>
      <w:pPr>
        <w:spacing w:after="0" w:line="229"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Our utility customers are exposed to natural gas price volatility. Therefore, as allowed or required by state utility commissions, we have entered into commission-approved hedging programs utilizing natural gas futures, options and basis swaps to reduce our customers’ underlying exposure to these fluctuations. The fair value of our Utilities Group’s derivative contracts is summarized below (in thousands) as of:</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ind w:right="310"/>
              <w:spacing w:after="0"/>
              <w:rPr>
                <w:sz w:val="20"/>
                <w:szCs w:val="20"/>
                <w:color w:val="auto"/>
              </w:rPr>
            </w:pPr>
            <w:r>
              <w:rPr>
                <w:rFonts w:ascii="Arial" w:cs="Arial" w:eastAsia="Arial" w:hAnsi="Arial"/>
                <w:sz w:val="18"/>
                <w:szCs w:val="18"/>
                <w:color w:val="auto"/>
                <w:w w:val="95"/>
              </w:rPr>
              <w:t>September 30, 2017</w:t>
            </w:r>
          </w:p>
        </w:tc>
        <w:tc>
          <w:tcPr>
            <w:tcW w:w="320" w:type="dxa"/>
            <w:vAlign w:val="bottom"/>
          </w:tcPr>
          <w:p>
            <w:pPr>
              <w:spacing w:after="0"/>
              <w:rPr>
                <w:sz w:val="20"/>
                <w:szCs w:val="20"/>
                <w:color w:val="auto"/>
              </w:rPr>
            </w:pPr>
          </w:p>
        </w:tc>
        <w:tc>
          <w:tcPr>
            <w:tcW w:w="1960" w:type="dxa"/>
            <w:vAlign w:val="bottom"/>
          </w:tcPr>
          <w:p>
            <w:pPr>
              <w:jc w:val="right"/>
              <w:ind w:right="330"/>
              <w:spacing w:after="0"/>
              <w:rPr>
                <w:sz w:val="20"/>
                <w:szCs w:val="20"/>
                <w:color w:val="auto"/>
              </w:rPr>
            </w:pPr>
            <w:r>
              <w:rPr>
                <w:rFonts w:ascii="Arial" w:cs="Arial" w:eastAsia="Arial" w:hAnsi="Arial"/>
                <w:sz w:val="18"/>
                <w:szCs w:val="18"/>
                <w:color w:val="auto"/>
                <w:w w:val="96"/>
              </w:rPr>
              <w:t>December 31, 2016</w:t>
            </w:r>
          </w:p>
        </w:tc>
        <w:tc>
          <w:tcPr>
            <w:tcW w:w="30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color w:val="auto"/>
                <w:w w:val="94"/>
              </w:rPr>
              <w:t>September 30, 2016</w:t>
            </w:r>
          </w:p>
        </w:tc>
      </w:tr>
      <w:tr>
        <w:trPr>
          <w:trHeight w:val="27"/>
        </w:trPr>
        <w:tc>
          <w:tcPr>
            <w:tcW w:w="47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derivative (liabilities) assets</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(6,541)</w:t>
            </w:r>
          </w:p>
        </w:tc>
        <w:tc>
          <w:tcPr>
            <w:tcW w:w="3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(4,733)</w:t>
            </w:r>
          </w:p>
        </w:tc>
        <w:tc>
          <w:tcPr>
            <w:tcW w:w="3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(10,800)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collateral offset in Derivatives</w:t>
            </w:r>
          </w:p>
        </w:tc>
        <w:tc>
          <w:tcPr>
            <w:tcW w:w="240" w:type="dxa"/>
            <w:vAlign w:val="bottom"/>
          </w:tcPr>
          <w:p>
            <w:pPr>
              <w:spacing w:after="0"/>
              <w:rPr>
                <w:sz w:val="21"/>
                <w:szCs w:val="21"/>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5,452</w:t>
            </w:r>
          </w:p>
        </w:tc>
        <w:tc>
          <w:tcPr>
            <w:tcW w:w="32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7,882</w:t>
            </w:r>
          </w:p>
        </w:tc>
        <w:tc>
          <w:tcPr>
            <w:tcW w:w="3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11,584</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Cash collateral included in Other current assets</w:t>
            </w:r>
          </w:p>
        </w:tc>
        <w:tc>
          <w:tcPr>
            <w:tcW w:w="240" w:type="dxa"/>
            <w:vAlign w:val="bottom"/>
            <w:tcBorders>
              <w:bottom w:val="single" w:sz="8" w:color="CEFFE7"/>
            </w:tcBorders>
            <w:shd w:val="clear" w:color="auto" w:fill="CEFFE7"/>
          </w:tcPr>
          <w:p>
            <w:pPr>
              <w:spacing w:after="0"/>
              <w:rPr>
                <w:sz w:val="23"/>
                <w:szCs w:val="23"/>
                <w:color w:val="auto"/>
              </w:rPr>
            </w:pPr>
          </w:p>
        </w:tc>
        <w:tc>
          <w:tcPr>
            <w:tcW w:w="19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2,841</w:t>
            </w:r>
          </w:p>
        </w:tc>
        <w:tc>
          <w:tcPr>
            <w:tcW w:w="320" w:type="dxa"/>
            <w:vAlign w:val="bottom"/>
            <w:tcBorders>
              <w:bottom w:val="single" w:sz="8" w:color="CEFFE7"/>
            </w:tcBorders>
            <w:shd w:val="clear" w:color="auto" w:fill="CEFFE7"/>
          </w:tcPr>
          <w:p>
            <w:pPr>
              <w:spacing w:after="0"/>
              <w:rPr>
                <w:sz w:val="23"/>
                <w:szCs w:val="23"/>
                <w:color w:val="auto"/>
              </w:rPr>
            </w:pPr>
          </w:p>
        </w:tc>
        <w:tc>
          <w:tcPr>
            <w:tcW w:w="19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4,840</w:t>
            </w:r>
          </w:p>
        </w:tc>
        <w:tc>
          <w:tcPr>
            <w:tcW w:w="300" w:type="dxa"/>
            <w:vAlign w:val="bottom"/>
            <w:tcBorders>
              <w:bottom w:val="single" w:sz="8" w:color="CEFFE7"/>
            </w:tcBorders>
            <w:shd w:val="clear" w:color="auto" w:fill="CEFFE7"/>
          </w:tcPr>
          <w:p>
            <w:pPr>
              <w:spacing w:after="0"/>
              <w:rPr>
                <w:sz w:val="23"/>
                <w:szCs w:val="23"/>
                <w:color w:val="auto"/>
              </w:rPr>
            </w:pPr>
          </w:p>
        </w:tc>
        <w:tc>
          <w:tcPr>
            <w:tcW w:w="1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4,602</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Net asset (liability) position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1,752</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7,989</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5,386</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Activities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entered into agreements to hedge a portion of our estimated 2017 and 2018 natural gas and crude oil production from the Oil and Gas segment. The hedge agreements in place at September 30, 2017,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5"/>
          </w:tcPr>
          <w:p>
            <w:pPr>
              <w:spacing w:after="0"/>
              <w:rPr>
                <w:sz w:val="20"/>
                <w:szCs w:val="20"/>
                <w:color w:val="auto"/>
              </w:rPr>
            </w:pPr>
            <w:r>
              <w:rPr>
                <w:rFonts w:ascii="Arial" w:cs="Arial" w:eastAsia="Arial" w:hAnsi="Arial"/>
                <w:sz w:val="18"/>
                <w:szCs w:val="18"/>
                <w:color w:val="auto"/>
              </w:rPr>
              <w:t>Natural Gas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March 31</w:t>
            </w:r>
          </w:p>
        </w:tc>
        <w:tc>
          <w:tcPr>
            <w:tcW w:w="300" w:type="dxa"/>
            <w:vAlign w:val="bottom"/>
          </w:tcPr>
          <w:p>
            <w:pPr>
              <w:spacing w:after="0"/>
              <w:rPr>
                <w:sz w:val="24"/>
                <w:szCs w:val="24"/>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24"/>
                <w:szCs w:val="24"/>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91"/>
              </w:rPr>
              <w:t>September 30</w:t>
            </w:r>
          </w:p>
        </w:tc>
        <w:tc>
          <w:tcPr>
            <w:tcW w:w="22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w w:val="94"/>
              </w:rPr>
              <w:t>December 31</w:t>
            </w:r>
          </w:p>
        </w:tc>
        <w:tc>
          <w:tcPr>
            <w:tcW w:w="240" w:type="dxa"/>
            <w:vAlign w:val="bottom"/>
          </w:tcPr>
          <w:p>
            <w:pPr>
              <w:spacing w:after="0"/>
              <w:rPr>
                <w:sz w:val="24"/>
                <w:szCs w:val="24"/>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Total Year</w:t>
            </w:r>
          </w:p>
        </w:tc>
        <w:tc>
          <w:tcPr>
            <w:tcW w:w="0" w:type="dxa"/>
            <w:vAlign w:val="bottom"/>
          </w:tcPr>
          <w:p>
            <w:pPr>
              <w:spacing w:after="0"/>
              <w:rPr>
                <w:sz w:val="1"/>
                <w:szCs w:val="1"/>
                <w:color w:val="auto"/>
              </w:rPr>
            </w:pPr>
          </w:p>
        </w:tc>
      </w:tr>
      <w:tr>
        <w:trPr>
          <w:trHeight w:val="27"/>
        </w:trPr>
        <w:tc>
          <w:tcPr>
            <w:tcW w:w="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2017</w:t>
            </w: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Swaps - MMBtu</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540,000</w:t>
            </w:r>
          </w:p>
        </w:tc>
        <w:tc>
          <w:tcPr>
            <w:tcW w:w="24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540,000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4"/>
          </w:tcPr>
          <w:p>
            <w:pPr>
              <w:ind w:left="140"/>
              <w:spacing w:after="0"/>
              <w:rPr>
                <w:sz w:val="20"/>
                <w:szCs w:val="20"/>
                <w:color w:val="auto"/>
              </w:rPr>
            </w:pPr>
            <w:r>
              <w:rPr>
                <w:rFonts w:ascii="Arial" w:cs="Arial" w:eastAsia="Arial" w:hAnsi="Arial"/>
                <w:sz w:val="18"/>
                <w:szCs w:val="18"/>
                <w:color w:val="auto"/>
              </w:rPr>
              <w:t>Weighted Average Price per MMBtu</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419"/>
        </w:trPr>
        <w:tc>
          <w:tcPr>
            <w:tcW w:w="4360" w:type="dxa"/>
            <w:vAlign w:val="bottom"/>
            <w:gridSpan w:val="5"/>
          </w:tcPr>
          <w:p>
            <w:pPr>
              <w:spacing w:after="0"/>
              <w:rPr>
                <w:sz w:val="20"/>
                <w:szCs w:val="20"/>
                <w:color w:val="auto"/>
              </w:rPr>
            </w:pPr>
            <w:r>
              <w:rPr>
                <w:rFonts w:ascii="Arial" w:cs="Arial" w:eastAsia="Arial" w:hAnsi="Arial"/>
                <w:sz w:val="18"/>
                <w:szCs w:val="18"/>
                <w:color w:val="auto"/>
              </w:rPr>
              <w:t>Crude Oil</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March 31</w:t>
            </w:r>
          </w:p>
        </w:tc>
        <w:tc>
          <w:tcPr>
            <w:tcW w:w="300" w:type="dxa"/>
            <w:vAlign w:val="bottom"/>
          </w:tcPr>
          <w:p>
            <w:pPr>
              <w:spacing w:after="0"/>
              <w:rPr>
                <w:sz w:val="24"/>
                <w:szCs w:val="24"/>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24"/>
                <w:szCs w:val="24"/>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91"/>
              </w:rPr>
              <w:t>September 30</w:t>
            </w:r>
          </w:p>
        </w:tc>
        <w:tc>
          <w:tcPr>
            <w:tcW w:w="22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w w:val="94"/>
              </w:rPr>
              <w:t>December 31</w:t>
            </w:r>
          </w:p>
        </w:tc>
        <w:tc>
          <w:tcPr>
            <w:tcW w:w="240" w:type="dxa"/>
            <w:vAlign w:val="bottom"/>
          </w:tcPr>
          <w:p>
            <w:pPr>
              <w:spacing w:after="0"/>
              <w:rPr>
                <w:sz w:val="24"/>
                <w:szCs w:val="24"/>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Total Year</w:t>
            </w:r>
          </w:p>
        </w:tc>
        <w:tc>
          <w:tcPr>
            <w:tcW w:w="0" w:type="dxa"/>
            <w:vAlign w:val="bottom"/>
          </w:tcPr>
          <w:p>
            <w:pPr>
              <w:spacing w:after="0"/>
              <w:rPr>
                <w:sz w:val="1"/>
                <w:szCs w:val="1"/>
                <w:color w:val="auto"/>
              </w:rPr>
            </w:pPr>
          </w:p>
        </w:tc>
      </w:tr>
      <w:tr>
        <w:trPr>
          <w:trHeight w:val="27"/>
        </w:trPr>
        <w:tc>
          <w:tcPr>
            <w:tcW w:w="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2017</w:t>
            </w: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Swaps - Bbls</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18,000</w:t>
            </w:r>
          </w:p>
        </w:tc>
        <w:tc>
          <w:tcPr>
            <w:tcW w:w="24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4"/>
          </w:tcPr>
          <w:p>
            <w:pPr>
              <w:ind w:left="140"/>
              <w:spacing w:after="0"/>
              <w:rPr>
                <w:sz w:val="20"/>
                <w:szCs w:val="20"/>
                <w:color w:val="auto"/>
              </w:rPr>
            </w:pPr>
            <w:r>
              <w:rPr>
                <w:rFonts w:ascii="Arial" w:cs="Arial" w:eastAsia="Arial" w:hAnsi="Arial"/>
                <w:sz w:val="18"/>
                <w:szCs w:val="18"/>
                <w:color w:val="auto"/>
              </w:rPr>
              <w:t>Weighted Average Price per Bbl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348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0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1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gridSpan w:val="5"/>
          </w:tcPr>
          <w:p>
            <w:pPr>
              <w:ind w:left="40"/>
              <w:spacing w:after="0"/>
              <w:rPr>
                <w:sz w:val="20"/>
                <w:szCs w:val="20"/>
                <w:color w:val="auto"/>
              </w:rPr>
            </w:pPr>
            <w:r>
              <w:rPr>
                <w:rFonts w:ascii="Arial" w:cs="Arial" w:eastAsia="Arial" w:hAnsi="Arial"/>
                <w:sz w:val="18"/>
                <w:szCs w:val="18"/>
                <w:color w:val="auto"/>
              </w:rPr>
              <w:t>Calls - Bbls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9,000</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32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8"/>
                <w:szCs w:val="18"/>
                <w:color w:val="auto"/>
              </w:rPr>
              <w:t>Weighted Average Price per Bbl</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b w:val="1"/>
                <w:bCs w:val="1"/>
                <w:color w:val="auto"/>
                <w:w w:val="84"/>
              </w:rPr>
              <w:t>2018</w:t>
            </w:r>
          </w:p>
        </w:tc>
        <w:tc>
          <w:tcPr>
            <w:tcW w:w="3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348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1120" w:type="dxa"/>
            <w:vAlign w:val="bottom"/>
            <w:shd w:val="clear" w:color="auto" w:fill="CEFFE7"/>
          </w:tcPr>
          <w:p>
            <w:pPr>
              <w:spacing w:after="0"/>
              <w:rPr>
                <w:sz w:val="17"/>
                <w:szCs w:val="17"/>
                <w:color w:val="auto"/>
              </w:rPr>
            </w:pPr>
          </w:p>
        </w:tc>
        <w:tc>
          <w:tcPr>
            <w:tcW w:w="30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126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1260" w:type="dxa"/>
            <w:vAlign w:val="bottom"/>
            <w:shd w:val="clear" w:color="auto" w:fill="CEFFE7"/>
          </w:tcPr>
          <w:p>
            <w:pPr>
              <w:spacing w:after="0"/>
              <w:rPr>
                <w:sz w:val="17"/>
                <w:szCs w:val="17"/>
                <w:color w:val="auto"/>
              </w:rPr>
            </w:pPr>
          </w:p>
        </w:tc>
        <w:tc>
          <w:tcPr>
            <w:tcW w:w="240" w:type="dxa"/>
            <w:vAlign w:val="bottom"/>
            <w:shd w:val="clear" w:color="auto" w:fill="CEFFE7"/>
          </w:tcPr>
          <w:p>
            <w:pPr>
              <w:spacing w:after="0"/>
              <w:rPr>
                <w:sz w:val="17"/>
                <w:szCs w:val="17"/>
                <w:color w:val="auto"/>
              </w:rPr>
            </w:pPr>
          </w:p>
        </w:tc>
        <w:tc>
          <w:tcPr>
            <w:tcW w:w="116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EFFE7"/>
            </w:tcBorders>
            <w:shd w:val="clear" w:color="auto" w:fill="CEFFE7"/>
          </w:tcPr>
          <w:p>
            <w:pPr>
              <w:spacing w:after="0"/>
              <w:rPr>
                <w:sz w:val="4"/>
                <w:szCs w:val="4"/>
                <w:color w:val="auto"/>
              </w:rPr>
            </w:pPr>
          </w:p>
        </w:tc>
        <w:tc>
          <w:tcPr>
            <w:tcW w:w="360" w:type="dxa"/>
            <w:vAlign w:val="bottom"/>
            <w:tcBorders>
              <w:top w:val="single" w:sz="8" w:color="auto"/>
            </w:tcBorders>
            <w:shd w:val="clear" w:color="auto" w:fill="CEFFE7"/>
          </w:tcPr>
          <w:p>
            <w:pPr>
              <w:spacing w:after="0"/>
              <w:rPr>
                <w:sz w:val="4"/>
                <w:szCs w:val="4"/>
                <w:color w:val="auto"/>
              </w:rPr>
            </w:pPr>
          </w:p>
        </w:tc>
        <w:tc>
          <w:tcPr>
            <w:tcW w:w="320" w:type="dxa"/>
            <w:vAlign w:val="bottom"/>
            <w:tcBorders>
              <w:top w:val="single" w:sz="8" w:color="CEFFE7"/>
            </w:tcBorders>
            <w:shd w:val="clear" w:color="auto" w:fill="CEFFE7"/>
          </w:tcPr>
          <w:p>
            <w:pPr>
              <w:spacing w:after="0"/>
              <w:rPr>
                <w:sz w:val="4"/>
                <w:szCs w:val="4"/>
                <w:color w:val="auto"/>
              </w:rPr>
            </w:pPr>
          </w:p>
        </w:tc>
        <w:tc>
          <w:tcPr>
            <w:tcW w:w="160" w:type="dxa"/>
            <w:vAlign w:val="bottom"/>
            <w:tcBorders>
              <w:top w:val="single" w:sz="8" w:color="CEFFE7"/>
            </w:tcBorders>
            <w:shd w:val="clear" w:color="auto" w:fill="CEFFE7"/>
          </w:tcPr>
          <w:p>
            <w:pPr>
              <w:spacing w:after="0"/>
              <w:rPr>
                <w:sz w:val="4"/>
                <w:szCs w:val="4"/>
                <w:color w:val="auto"/>
              </w:rPr>
            </w:pPr>
          </w:p>
        </w:tc>
        <w:tc>
          <w:tcPr>
            <w:tcW w:w="3480" w:type="dxa"/>
            <w:vAlign w:val="bottom"/>
            <w:tcBorders>
              <w:top w:val="single" w:sz="8" w:color="CEFFE7"/>
            </w:tcBorders>
            <w:shd w:val="clear" w:color="auto" w:fill="CEFFE7"/>
          </w:tcPr>
          <w:p>
            <w:pPr>
              <w:spacing w:after="0"/>
              <w:rPr>
                <w:sz w:val="4"/>
                <w:szCs w:val="4"/>
                <w:color w:val="auto"/>
              </w:rPr>
            </w:pPr>
          </w:p>
        </w:tc>
        <w:tc>
          <w:tcPr>
            <w:tcW w:w="220" w:type="dxa"/>
            <w:vAlign w:val="bottom"/>
            <w:tcBorders>
              <w:top w:val="single" w:sz="8" w:color="CEFFE7"/>
            </w:tcBorders>
            <w:shd w:val="clear" w:color="auto" w:fill="CEFFE7"/>
          </w:tcPr>
          <w:p>
            <w:pPr>
              <w:spacing w:after="0"/>
              <w:rPr>
                <w:sz w:val="4"/>
                <w:szCs w:val="4"/>
                <w:color w:val="auto"/>
              </w:rPr>
            </w:pPr>
          </w:p>
        </w:tc>
        <w:tc>
          <w:tcPr>
            <w:tcW w:w="1120" w:type="dxa"/>
            <w:vAlign w:val="bottom"/>
            <w:tcBorders>
              <w:top w:val="single" w:sz="8" w:color="CEFFE7"/>
            </w:tcBorders>
            <w:shd w:val="clear" w:color="auto" w:fill="CEFFE7"/>
          </w:tcPr>
          <w:p>
            <w:pPr>
              <w:spacing w:after="0"/>
              <w:rPr>
                <w:sz w:val="4"/>
                <w:szCs w:val="4"/>
                <w:color w:val="auto"/>
              </w:rPr>
            </w:pPr>
          </w:p>
        </w:tc>
        <w:tc>
          <w:tcPr>
            <w:tcW w:w="300" w:type="dxa"/>
            <w:vAlign w:val="bottom"/>
            <w:tcBorders>
              <w:top w:val="single" w:sz="8" w:color="CEFFE7"/>
            </w:tcBorders>
            <w:shd w:val="clear" w:color="auto" w:fill="CEFFE7"/>
          </w:tcPr>
          <w:p>
            <w:pPr>
              <w:spacing w:after="0"/>
              <w:rPr>
                <w:sz w:val="4"/>
                <w:szCs w:val="4"/>
                <w:color w:val="auto"/>
              </w:rPr>
            </w:pPr>
          </w:p>
        </w:tc>
        <w:tc>
          <w:tcPr>
            <w:tcW w:w="1080" w:type="dxa"/>
            <w:vAlign w:val="bottom"/>
            <w:tcBorders>
              <w:top w:val="single" w:sz="8" w:color="CEFFE7"/>
            </w:tcBorders>
            <w:shd w:val="clear" w:color="auto" w:fill="CEFFE7"/>
          </w:tcPr>
          <w:p>
            <w:pPr>
              <w:spacing w:after="0"/>
              <w:rPr>
                <w:sz w:val="4"/>
                <w:szCs w:val="4"/>
                <w:color w:val="auto"/>
              </w:rPr>
            </w:pPr>
          </w:p>
        </w:tc>
        <w:tc>
          <w:tcPr>
            <w:tcW w:w="200" w:type="dxa"/>
            <w:vAlign w:val="bottom"/>
            <w:tcBorders>
              <w:top w:val="single" w:sz="8" w:color="CEFFE7"/>
            </w:tcBorders>
            <w:shd w:val="clear" w:color="auto" w:fill="CEFFE7"/>
          </w:tcPr>
          <w:p>
            <w:pPr>
              <w:spacing w:after="0"/>
              <w:rPr>
                <w:sz w:val="4"/>
                <w:szCs w:val="4"/>
                <w:color w:val="auto"/>
              </w:rPr>
            </w:pPr>
          </w:p>
        </w:tc>
        <w:tc>
          <w:tcPr>
            <w:tcW w:w="1260" w:type="dxa"/>
            <w:vAlign w:val="bottom"/>
            <w:tcBorders>
              <w:top w:val="single" w:sz="8" w:color="CEFFE7"/>
            </w:tcBorders>
            <w:shd w:val="clear" w:color="auto" w:fill="CEFFE7"/>
          </w:tcPr>
          <w:p>
            <w:pPr>
              <w:spacing w:after="0"/>
              <w:rPr>
                <w:sz w:val="4"/>
                <w:szCs w:val="4"/>
                <w:color w:val="auto"/>
              </w:rPr>
            </w:pPr>
          </w:p>
        </w:tc>
        <w:tc>
          <w:tcPr>
            <w:tcW w:w="220" w:type="dxa"/>
            <w:vAlign w:val="bottom"/>
            <w:tcBorders>
              <w:top w:val="single" w:sz="8" w:color="CEFFE7"/>
            </w:tcBorders>
            <w:shd w:val="clear" w:color="auto" w:fill="CEFFE7"/>
          </w:tcPr>
          <w:p>
            <w:pPr>
              <w:spacing w:after="0"/>
              <w:rPr>
                <w:sz w:val="4"/>
                <w:szCs w:val="4"/>
                <w:color w:val="auto"/>
              </w:rPr>
            </w:pPr>
          </w:p>
        </w:tc>
        <w:tc>
          <w:tcPr>
            <w:tcW w:w="1260" w:type="dxa"/>
            <w:vAlign w:val="bottom"/>
            <w:tcBorders>
              <w:top w:val="single" w:sz="8" w:color="CEFFE7"/>
            </w:tcBorders>
            <w:shd w:val="clear" w:color="auto" w:fill="CEFFE7"/>
          </w:tcPr>
          <w:p>
            <w:pPr>
              <w:spacing w:after="0"/>
              <w:rPr>
                <w:sz w:val="4"/>
                <w:szCs w:val="4"/>
                <w:color w:val="auto"/>
              </w:rPr>
            </w:pPr>
          </w:p>
        </w:tc>
        <w:tc>
          <w:tcPr>
            <w:tcW w:w="240" w:type="dxa"/>
            <w:vAlign w:val="bottom"/>
            <w:tcBorders>
              <w:top w:val="single" w:sz="8" w:color="CEFFE7"/>
            </w:tcBorders>
            <w:shd w:val="clear" w:color="auto" w:fill="CEFFE7"/>
          </w:tcPr>
          <w:p>
            <w:pPr>
              <w:spacing w:after="0"/>
              <w:rPr>
                <w:sz w:val="4"/>
                <w:szCs w:val="4"/>
                <w:color w:val="auto"/>
              </w:rPr>
            </w:pPr>
          </w:p>
        </w:tc>
        <w:tc>
          <w:tcPr>
            <w:tcW w:w="1160" w:type="dxa"/>
            <w:vAlign w:val="bottom"/>
            <w:tcBorders>
              <w:top w:val="single" w:sz="8" w:color="CEFFE7"/>
            </w:tcBorders>
            <w:shd w:val="clear" w:color="auto" w:fill="CEFFE7"/>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gridSpan w:val="5"/>
          </w:tcPr>
          <w:p>
            <w:pPr>
              <w:ind w:left="40"/>
              <w:spacing w:after="0"/>
              <w:rPr>
                <w:sz w:val="20"/>
                <w:szCs w:val="20"/>
                <w:color w:val="auto"/>
              </w:rPr>
            </w:pPr>
            <w:r>
              <w:rPr>
                <w:rFonts w:ascii="Arial" w:cs="Arial" w:eastAsia="Arial" w:hAnsi="Arial"/>
                <w:sz w:val="18"/>
                <w:szCs w:val="18"/>
                <w:color w:val="auto"/>
              </w:rPr>
              <w:t>Swaps - Bbls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9,000</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9,000</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9,000</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EFFE7"/>
          </w:tcPr>
          <w:p>
            <w:pPr>
              <w:spacing w:after="0"/>
              <w:rPr>
                <w:sz w:val="21"/>
                <w:szCs w:val="21"/>
                <w:color w:val="auto"/>
              </w:rPr>
            </w:pPr>
          </w:p>
        </w:tc>
        <w:tc>
          <w:tcPr>
            <w:tcW w:w="4320" w:type="dxa"/>
            <w:vAlign w:val="bottom"/>
            <w:gridSpan w:val="4"/>
            <w:shd w:val="clear" w:color="auto" w:fill="CEFFE7"/>
          </w:tcPr>
          <w:p>
            <w:pPr>
              <w:ind w:left="140"/>
              <w:spacing w:after="0"/>
              <w:rPr>
                <w:sz w:val="20"/>
                <w:szCs w:val="20"/>
                <w:color w:val="auto"/>
              </w:rPr>
            </w:pPr>
            <w:r>
              <w:rPr>
                <w:rFonts w:ascii="Arial" w:cs="Arial" w:eastAsia="Arial" w:hAnsi="Arial"/>
                <w:sz w:val="18"/>
                <w:szCs w:val="18"/>
                <w:color w:val="auto"/>
              </w:rPr>
              <w:t>Weighted Average Price per Bbl</w:t>
            </w:r>
          </w:p>
        </w:tc>
        <w:tc>
          <w:tcPr>
            <w:tcW w:w="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49.58</w:t>
            </w:r>
          </w:p>
        </w:tc>
        <w:tc>
          <w:tcPr>
            <w:tcW w:w="30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49.85</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50.12</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50.45</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4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320" w:type="dxa"/>
            <w:vAlign w:val="bottom"/>
            <w:shd w:val="clear" w:color="auto" w:fill="CEFFE7"/>
          </w:tcPr>
          <w:p>
            <w:pPr>
              <w:spacing w:after="0"/>
              <w:rPr>
                <w:sz w:val="2"/>
                <w:szCs w:val="2"/>
                <w:color w:val="auto"/>
              </w:rPr>
            </w:pPr>
          </w:p>
        </w:tc>
        <w:tc>
          <w:tcPr>
            <w:tcW w:w="160" w:type="dxa"/>
            <w:vAlign w:val="bottom"/>
            <w:shd w:val="clear" w:color="auto" w:fill="CEFFE7"/>
          </w:tcPr>
          <w:p>
            <w:pPr>
              <w:spacing w:after="0"/>
              <w:rPr>
                <w:sz w:val="2"/>
                <w:szCs w:val="2"/>
                <w:color w:val="auto"/>
              </w:rPr>
            </w:pPr>
          </w:p>
        </w:tc>
        <w:tc>
          <w:tcPr>
            <w:tcW w:w="348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120" w:type="dxa"/>
            <w:vAlign w:val="bottom"/>
            <w:shd w:val="clear" w:color="auto" w:fill="CEFFE7"/>
          </w:tcPr>
          <w:p>
            <w:pPr>
              <w:spacing w:after="0"/>
              <w:rPr>
                <w:sz w:val="2"/>
                <w:szCs w:val="2"/>
                <w:color w:val="auto"/>
              </w:rPr>
            </w:pPr>
          </w:p>
        </w:tc>
        <w:tc>
          <w:tcPr>
            <w:tcW w:w="300" w:type="dxa"/>
            <w:vAlign w:val="bottom"/>
            <w:shd w:val="clear" w:color="auto" w:fill="CEFFE7"/>
          </w:tcPr>
          <w:p>
            <w:pPr>
              <w:spacing w:after="0"/>
              <w:rPr>
                <w:sz w:val="2"/>
                <w:szCs w:val="2"/>
                <w:color w:val="auto"/>
              </w:rPr>
            </w:pPr>
          </w:p>
        </w:tc>
        <w:tc>
          <w:tcPr>
            <w:tcW w:w="108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26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26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160" w:type="dxa"/>
            <w:vAlign w:val="bottom"/>
            <w:shd w:val="clear" w:color="auto" w:fill="CEFF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Oil and Gas segment’s derivative contracts is summarized below (in thousands) as of:</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w w:val="94"/>
              </w:rPr>
              <w:t>September 30, 2017</w:t>
            </w:r>
          </w:p>
        </w:tc>
        <w:tc>
          <w:tcPr>
            <w:tcW w:w="340" w:type="dxa"/>
            <w:vAlign w:val="bottom"/>
          </w:tcPr>
          <w:p>
            <w:pPr>
              <w:spacing w:after="0"/>
              <w:rPr>
                <w:sz w:val="20"/>
                <w:szCs w:val="20"/>
                <w:color w:val="auto"/>
              </w:rPr>
            </w:pPr>
          </w:p>
        </w:tc>
        <w:tc>
          <w:tcPr>
            <w:tcW w:w="1940" w:type="dxa"/>
            <w:vAlign w:val="bottom"/>
          </w:tcPr>
          <w:p>
            <w:pPr>
              <w:jc w:val="right"/>
              <w:ind w:right="310"/>
              <w:spacing w:after="0"/>
              <w:rPr>
                <w:sz w:val="20"/>
                <w:szCs w:val="20"/>
                <w:color w:val="auto"/>
              </w:rPr>
            </w:pPr>
            <w:r>
              <w:rPr>
                <w:rFonts w:ascii="Arial" w:cs="Arial" w:eastAsia="Arial" w:hAnsi="Arial"/>
                <w:sz w:val="18"/>
                <w:szCs w:val="18"/>
                <w:color w:val="auto"/>
                <w:w w:val="96"/>
              </w:rPr>
              <w:t>December 31, 2016</w:t>
            </w:r>
          </w:p>
        </w:tc>
        <w:tc>
          <w:tcPr>
            <w:tcW w:w="30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color w:val="auto"/>
                <w:w w:val="94"/>
              </w:rPr>
              <w:t>September 30, 2016</w:t>
            </w:r>
          </w:p>
        </w:tc>
      </w:tr>
      <w:tr>
        <w:trPr>
          <w:trHeight w:val="27"/>
        </w:trPr>
        <w:tc>
          <w:tcPr>
            <w:tcW w:w="478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derivative (liabilities) assets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110</w:t>
            </w:r>
          </w:p>
        </w:tc>
        <w:tc>
          <w:tcPr>
            <w:tcW w:w="3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(1,433)</w:t>
            </w:r>
          </w:p>
        </w:tc>
        <w:tc>
          <w:tcPr>
            <w:tcW w:w="3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2,177</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Cash collateral offset in Derivatives</w:t>
            </w:r>
          </w:p>
        </w:tc>
        <w:tc>
          <w:tcPr>
            <w:tcW w:w="2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544</w:t>
            </w:r>
          </w:p>
        </w:tc>
        <w:tc>
          <w:tcPr>
            <w:tcW w:w="3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2,733</w:t>
            </w:r>
          </w:p>
        </w:tc>
        <w:tc>
          <w:tcPr>
            <w:tcW w:w="30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Net asset (liability) position</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654</w:t>
            </w:r>
          </w:p>
        </w:tc>
        <w:tc>
          <w:tcPr>
            <w:tcW w:w="34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1,300</w:t>
            </w:r>
          </w:p>
        </w:tc>
        <w:tc>
          <w:tcPr>
            <w:tcW w:w="3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2,177</w:t>
            </w:r>
          </w:p>
        </w:tc>
      </w:tr>
      <w:tr>
        <w:trPr>
          <w:trHeight w:val="20"/>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662"/>
        </w:trPr>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jc w:val="right"/>
              <w:ind w:right="1010"/>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engage in activities to manage risks associated with changes in interest rates. Historically, we have entered into floating-to-fixed interest rate swap agreements to reduce our exposure to interest rate fluctuations associated with our floating rate debt obligations and anticipated long-term refinancings. Further details of the swap agreements are set forth in Note 9 of the Notes to Consolidated Financial Statements in our 2016 Annual Report on Form 10-K and in Note 10 of the Notes to the Condensed Consolidated Financial Statements in this Quarterly Report on Form 10-Q.</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contract or notional amounts, terms of our interest rate swaps and the interest rate swaps balances reflected on the Condensed Consolidated Balance Sheets were as follows (dollars in thousands)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30, 2017</w:t>
            </w:r>
          </w:p>
        </w:tc>
        <w:tc>
          <w:tcPr>
            <w:tcW w:w="20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December 31, 2016</w:t>
            </w:r>
          </w:p>
        </w:tc>
        <w:tc>
          <w:tcPr>
            <w:tcW w:w="180" w:type="dxa"/>
            <w:vAlign w:val="bottom"/>
          </w:tcPr>
          <w:p>
            <w:pPr>
              <w:spacing w:after="0"/>
              <w:rPr>
                <w:sz w:val="20"/>
                <w:szCs w:val="20"/>
                <w:color w:val="auto"/>
              </w:rPr>
            </w:pPr>
          </w:p>
        </w:tc>
        <w:tc>
          <w:tcPr>
            <w:tcW w:w="1800" w:type="dxa"/>
            <w:vAlign w:val="bottom"/>
          </w:tcPr>
          <w:p>
            <w:pPr>
              <w:jc w:val="center"/>
              <w:ind w:right="110"/>
              <w:spacing w:after="0"/>
              <w:rPr>
                <w:sz w:val="20"/>
                <w:szCs w:val="20"/>
                <w:color w:val="auto"/>
              </w:rPr>
            </w:pPr>
            <w:r>
              <w:rPr>
                <w:rFonts w:ascii="Arial" w:cs="Arial" w:eastAsia="Arial" w:hAnsi="Arial"/>
                <w:sz w:val="18"/>
                <w:szCs w:val="18"/>
                <w:color w:val="auto"/>
                <w:w w:val="88"/>
              </w:rPr>
              <w:t>September 30, 2016</w:t>
            </w:r>
          </w:p>
        </w:tc>
      </w:tr>
      <w:tr>
        <w:trPr>
          <w:trHeight w:val="256"/>
        </w:trPr>
        <w:tc>
          <w:tcPr>
            <w:tcW w:w="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Designated</w:t>
            </w:r>
          </w:p>
        </w:tc>
        <w:tc>
          <w:tcPr>
            <w:tcW w:w="200" w:type="dxa"/>
            <w:vAlign w:val="bottom"/>
          </w:tcPr>
          <w:p>
            <w:pPr>
              <w:spacing w:after="0"/>
              <w:rPr>
                <w:sz w:val="22"/>
                <w:szCs w:val="22"/>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Designated</w:t>
            </w:r>
          </w:p>
        </w:tc>
        <w:tc>
          <w:tcPr>
            <w:tcW w:w="180" w:type="dxa"/>
            <w:vAlign w:val="bottom"/>
          </w:tcPr>
          <w:p>
            <w:pPr>
              <w:spacing w:after="0"/>
              <w:rPr>
                <w:sz w:val="22"/>
                <w:szCs w:val="22"/>
                <w:color w:val="auto"/>
              </w:rPr>
            </w:pPr>
          </w:p>
        </w:tc>
        <w:tc>
          <w:tcPr>
            <w:tcW w:w="1800" w:type="dxa"/>
            <w:vAlign w:val="bottom"/>
          </w:tcPr>
          <w:p>
            <w:pPr>
              <w:jc w:val="center"/>
              <w:ind w:right="150"/>
              <w:spacing w:after="0"/>
              <w:rPr>
                <w:sz w:val="20"/>
                <w:szCs w:val="20"/>
                <w:color w:val="auto"/>
              </w:rPr>
            </w:pPr>
            <w:r>
              <w:rPr>
                <w:rFonts w:ascii="Arial" w:cs="Arial" w:eastAsia="Arial" w:hAnsi="Arial"/>
                <w:sz w:val="18"/>
                <w:szCs w:val="18"/>
                <w:color w:val="auto"/>
                <w:w w:val="87"/>
              </w:rPr>
              <w:t>Designated</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Interest Rate</w:t>
            </w:r>
          </w:p>
        </w:tc>
        <w:tc>
          <w:tcPr>
            <w:tcW w:w="20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Interest Rate</w:t>
            </w:r>
          </w:p>
        </w:tc>
        <w:tc>
          <w:tcPr>
            <w:tcW w:w="180" w:type="dxa"/>
            <w:vAlign w:val="bottom"/>
          </w:tcPr>
          <w:p>
            <w:pPr>
              <w:spacing w:after="0"/>
              <w:rPr>
                <w:sz w:val="18"/>
                <w:szCs w:val="18"/>
                <w:color w:val="auto"/>
              </w:rPr>
            </w:pPr>
          </w:p>
        </w:tc>
        <w:tc>
          <w:tcPr>
            <w:tcW w:w="1800" w:type="dxa"/>
            <w:vAlign w:val="bottom"/>
          </w:tcPr>
          <w:p>
            <w:pPr>
              <w:jc w:val="center"/>
              <w:ind w:right="150"/>
              <w:spacing w:after="0"/>
              <w:rPr>
                <w:sz w:val="20"/>
                <w:szCs w:val="20"/>
                <w:color w:val="auto"/>
              </w:rPr>
            </w:pPr>
            <w:r>
              <w:rPr>
                <w:rFonts w:ascii="Arial" w:cs="Arial" w:eastAsia="Arial" w:hAnsi="Arial"/>
                <w:sz w:val="18"/>
                <w:szCs w:val="18"/>
                <w:color w:val="auto"/>
                <w:w w:val="89"/>
              </w:rPr>
              <w:t>Interest Rate</w:t>
            </w:r>
          </w:p>
        </w:tc>
      </w:tr>
      <w:tr>
        <w:trPr>
          <w:trHeight w:val="257"/>
        </w:trPr>
        <w:tc>
          <w:tcPr>
            <w:tcW w:w="20" w:type="dxa"/>
            <w:vAlign w:val="bottom"/>
          </w:tcPr>
          <w:p>
            <w:pPr>
              <w:spacing w:after="0"/>
              <w:rPr>
                <w:sz w:val="22"/>
                <w:szCs w:val="22"/>
                <w:color w:val="auto"/>
              </w:rPr>
            </w:pPr>
          </w:p>
        </w:tc>
        <w:tc>
          <w:tcPr>
            <w:tcW w:w="5220" w:type="dxa"/>
            <w:vAlign w:val="bottom"/>
            <w:tcBorders>
              <w:bottom w:val="single" w:sz="8" w:color="CEFFE7"/>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5"/>
              </w:rPr>
              <w:t>Swaps</w:t>
            </w:r>
          </w:p>
        </w:tc>
        <w:tc>
          <w:tcPr>
            <w:tcW w:w="100" w:type="dxa"/>
            <w:vAlign w:val="bottom"/>
            <w:tcBorders>
              <w:bottom w:val="single" w:sz="8" w:color="CEFFE7"/>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center"/>
              <w:ind w:right="110"/>
              <w:spacing w:after="0" w:line="257" w:lineRule="exact"/>
              <w:rPr>
                <w:sz w:val="20"/>
                <w:szCs w:val="20"/>
                <w:color w:val="auto"/>
              </w:rPr>
            </w:pPr>
            <w:r>
              <w:rPr>
                <w:rFonts w:ascii="Arial" w:cs="Arial" w:eastAsia="Arial" w:hAnsi="Arial"/>
                <w:sz w:val="18"/>
                <w:szCs w:val="18"/>
                <w:color w:val="auto"/>
                <w:w w:val="82"/>
              </w:rPr>
              <w:t xml:space="preserve">Swap </w:t>
            </w:r>
            <w:r>
              <w:rPr>
                <w:rFonts w:ascii="Arial" w:cs="Arial" w:eastAsia="Arial" w:hAnsi="Arial"/>
                <w:sz w:val="25"/>
                <w:szCs w:val="25"/>
                <w:color w:val="auto"/>
                <w:w w:val="82"/>
                <w:vertAlign w:val="superscript"/>
              </w:rPr>
              <w:t>(a)</w:t>
            </w:r>
          </w:p>
        </w:tc>
        <w:tc>
          <w:tcPr>
            <w:tcW w:w="120" w:type="dxa"/>
            <w:vAlign w:val="bottom"/>
            <w:tcBorders>
              <w:bottom w:val="single" w:sz="8" w:color="CEFFE7"/>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90"/>
              <w:spacing w:after="0" w:line="257" w:lineRule="exact"/>
              <w:rPr>
                <w:sz w:val="20"/>
                <w:szCs w:val="20"/>
                <w:color w:val="auto"/>
              </w:rPr>
            </w:pPr>
            <w:r>
              <w:rPr>
                <w:rFonts w:ascii="Arial" w:cs="Arial" w:eastAsia="Arial" w:hAnsi="Arial"/>
                <w:sz w:val="18"/>
                <w:szCs w:val="18"/>
                <w:color w:val="auto"/>
                <w:w w:val="83"/>
              </w:rPr>
              <w:t xml:space="preserve">Swaps </w:t>
            </w:r>
            <w:r>
              <w:rPr>
                <w:rFonts w:ascii="Arial" w:cs="Arial" w:eastAsia="Arial" w:hAnsi="Arial"/>
                <w:sz w:val="25"/>
                <w:szCs w:val="25"/>
                <w:color w:val="auto"/>
                <w:w w:val="83"/>
                <w:vertAlign w:val="superscript"/>
              </w:rPr>
              <w:t>(a)</w:t>
            </w:r>
          </w:p>
        </w:tc>
      </w:tr>
      <w:tr>
        <w:trPr>
          <w:trHeight w:val="244"/>
        </w:trPr>
        <w:tc>
          <w:tcPr>
            <w:tcW w:w="20" w:type="dxa"/>
            <w:vAlign w:val="bottom"/>
          </w:tcPr>
          <w:p>
            <w:pPr>
              <w:spacing w:after="0"/>
              <w:rPr>
                <w:sz w:val="21"/>
                <w:szCs w:val="21"/>
                <w:color w:val="auto"/>
              </w:rPr>
            </w:pPr>
          </w:p>
        </w:tc>
        <w:tc>
          <w:tcPr>
            <w:tcW w:w="5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Notional</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EFFE7"/>
            </w:tcBorders>
            <w:gridSpan w:val="2"/>
            <w:shd w:val="clear" w:color="auto" w:fill="CEFFE7"/>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75,000</w:t>
            </w:r>
          </w:p>
        </w:tc>
      </w:tr>
      <w:tr>
        <w:trPr>
          <w:trHeight w:val="243"/>
        </w:trPr>
        <w:tc>
          <w:tcPr>
            <w:tcW w:w="2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Weighted average fixed interest rate</w:t>
            </w:r>
          </w:p>
        </w:tc>
        <w:tc>
          <w:tcPr>
            <w:tcW w:w="200" w:type="dxa"/>
            <w:vAlign w:val="bottom"/>
          </w:tcPr>
          <w:p>
            <w:pPr>
              <w:spacing w:after="0"/>
              <w:rPr>
                <w:sz w:val="21"/>
                <w:szCs w:val="21"/>
                <w:color w:val="auto"/>
              </w:rPr>
            </w:pPr>
          </w:p>
        </w:tc>
        <w:tc>
          <w:tcPr>
            <w:tcW w:w="19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Maximum terms in months</w:t>
            </w:r>
          </w:p>
        </w:tc>
        <w:tc>
          <w:tcPr>
            <w:tcW w:w="20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4</w:t>
            </w:r>
          </w:p>
        </w:tc>
      </w:tr>
      <w:tr>
        <w:trPr>
          <w:trHeight w:val="243"/>
        </w:trPr>
        <w:tc>
          <w:tcPr>
            <w:tcW w:w="2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Derivative assets, non-current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Derivative liabilities, current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EFFE7"/>
            </w:tcBorders>
            <w:gridSpan w:val="2"/>
            <w:shd w:val="clear" w:color="auto" w:fill="CEFFE7"/>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654</w:t>
            </w:r>
          </w:p>
        </w:tc>
      </w:tr>
      <w:tr>
        <w:trPr>
          <w:trHeight w:val="243"/>
        </w:trPr>
        <w:tc>
          <w:tcPr>
            <w:tcW w:w="2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Derivative liabilities, non-current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Pre-tax accumulated other comprehensive income (loss)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EFFE7"/>
            </w:tcBorders>
            <w:gridSpan w:val="2"/>
            <w:shd w:val="clear" w:color="auto" w:fill="CEFFE7"/>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(654)</w:t>
            </w:r>
          </w:p>
        </w:tc>
      </w:tr>
      <w:tr>
        <w:trPr>
          <w:trHeight w:val="22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ind w:left="340" w:right="200" w:hanging="332"/>
        <w:spacing w:after="0" w:line="257"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$25 million in swaps expired in October 2016 and the $50 million in swaps expired in January 2017. These swaps were designated to borrowings on our Revolving Credit Facility and were priced using three-month LIBOR, matching the floating portion of the related borrowings.</w:t>
      </w:r>
    </w:p>
    <w:p>
      <w:pPr>
        <w:spacing w:after="0" w:line="3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Chief Executive Officer and Chief Financial Officer evaluated the effectiveness of our disclosure controls and procedures (as defined in Rules 13a-15(e) and 15d-15(e) of the Securities Exchange Act of 1934) as of September 30, 2017. Based on their evaluation, they have concluded that our disclosure controls and procedures were effective at September 30, 2017.</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Security Exchange Act of 1934, as amended,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quarter ended September 30, 2017, there have been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0" w:right="23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color w:val="auto"/>
        </w:rPr>
        <w:t>BLACK HILLS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II — Other Information</w:t>
      </w:r>
    </w:p>
    <w:p>
      <w:pPr>
        <w:spacing w:after="0" w:line="200" w:lineRule="exact"/>
        <w:rPr>
          <w:sz w:val="20"/>
          <w:szCs w:val="20"/>
          <w:color w:val="auto"/>
        </w:rPr>
      </w:pP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Legal Proceedings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legal proceedings, see Note 19 in Item 8 of our 2016 Annual Report on Form 10-K and Note 16 in Item 1 of Part I of this Quarterly Report on Form 10-Q, which information from Note 16 is incorporated by reference into this item.</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19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are no material changes to the risk factors previously disclosed in Item 1A of Part I in our 2016 Annual Report on Form 10-K filed with the SEC, except those stated below:</w:t>
      </w:r>
    </w:p>
    <w:p>
      <w:pPr>
        <w:spacing w:after="0" w:line="16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While we plan to sell Black Hills Exploration and Production, Inc. (”BHEP”), our oil and gas exploration business, and we have initiated a sales process and retained advisors to facilitate the process, there is no assurance that we can complete the transaction or recognize any particular level of proceeds.</w:t>
      </w:r>
    </w:p>
    <w:p>
      <w:pPr>
        <w:spacing w:after="0" w:line="18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plan to divest all of our oil and gas assets and fully exit our oil and gas business. Such a divestiture and exit is subject to various risks, including: suitable purchasers may not be available or willing to purchase the assets on terms and conditions reasonable to us or may only be interested in acquiring a portion of the assets; we may incur substantial costs in connection with the marketing and sale of the assets; uncertainties associated with the sale may cause a loss of key management personnel at BHEP which could make it more difficult to sell the assets or operate the business in the event that we are unable to sell it; and we may be required to record an additional impairment charge that could have an adverse effect on our financial condition and results of operations.</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securities sold during the nine months ended September 30, 2017.</w:t>
      </w:r>
    </w:p>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Mine Safety Disclosures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in Exhibit 95 of this Quarterly Report on Form 10-Q.</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584" w:right="2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134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7"/>
        </w:trPr>
        <w:tc>
          <w:tcPr>
            <w:tcW w:w="2320" w:type="dxa"/>
            <w:vAlign w:val="bottom"/>
            <w:gridSpan w:val="3"/>
          </w:tcPr>
          <w:p>
            <w:pPr>
              <w:ind w:left="520"/>
              <w:spacing w:after="0"/>
              <w:rPr>
                <w:sz w:val="20"/>
                <w:szCs w:val="20"/>
                <w:color w:val="auto"/>
              </w:rPr>
            </w:pPr>
            <w:r>
              <w:rPr>
                <w:rFonts w:ascii="Arial" w:cs="Arial" w:eastAsia="Arial" w:hAnsi="Arial"/>
                <w:sz w:val="18"/>
                <w:szCs w:val="18"/>
                <w:b w:val="1"/>
                <w:bCs w:val="1"/>
                <w:color w:val="auto"/>
              </w:rPr>
              <w:t>Exhibit Number</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560" w:type="dxa"/>
            <w:vAlign w:val="bottom"/>
            <w:gridSpan w:val="20"/>
          </w:tcPr>
          <w:p>
            <w:pPr>
              <w:ind w:left="5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426"/>
        </w:trPr>
        <w:tc>
          <w:tcPr>
            <w:tcW w:w="980" w:type="dxa"/>
            <w:vAlign w:val="bottom"/>
          </w:tcPr>
          <w:p>
            <w:pPr>
              <w:ind w:left="40"/>
              <w:spacing w:after="0"/>
              <w:rPr>
                <w:sz w:val="20"/>
                <w:szCs w:val="20"/>
                <w:color w:val="auto"/>
              </w:rPr>
            </w:pPr>
            <w:r>
              <w:rPr>
                <w:rFonts w:ascii="Arial" w:cs="Arial" w:eastAsia="Arial" w:hAnsi="Arial"/>
                <w:sz w:val="18"/>
                <w:szCs w:val="18"/>
                <w:color w:val="auto"/>
              </w:rPr>
              <w:t>Exhibit 2.1*</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00" w:type="dxa"/>
            <w:vAlign w:val="bottom"/>
            <w:gridSpan w:val="24"/>
          </w:tcPr>
          <w:p>
            <w:pPr>
              <w:spacing w:after="0"/>
              <w:rPr>
                <w:rFonts w:ascii="Arial" w:cs="Arial" w:eastAsia="Arial" w:hAnsi="Arial"/>
                <w:sz w:val="18"/>
                <w:szCs w:val="18"/>
                <w:color w:val="0000FF"/>
                <w:w w:val="96"/>
              </w:rPr>
            </w:pPr>
            <w:hyperlink r:id="rId78">
              <w:r>
                <w:rPr>
                  <w:rFonts w:ascii="Arial" w:cs="Arial" w:eastAsia="Arial" w:hAnsi="Arial"/>
                  <w:sz w:val="18"/>
                  <w:szCs w:val="18"/>
                  <w:color w:val="0000FF"/>
                  <w:w w:val="96"/>
                </w:rPr>
                <w:t>Purchase and Sale Agreement by and among Alinda Gas Delaware LLC, Alinda Infrastructure Fund I, L.P. and Aircraft</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8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Services Corporation, as Sellers, and Black Hills Utility Holdings, Inc., as Buyer dated as of July 12, 2015 (filed as Exhibit</w:t>
              </w:r>
            </w:hyperlink>
          </w:p>
        </w:tc>
        <w:tc>
          <w:tcPr>
            <w:tcW w:w="22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24"/>
          </w:tcPr>
          <w:p>
            <w:pPr>
              <w:spacing w:after="0" w:line="196" w:lineRule="exact"/>
              <w:rPr>
                <w:rFonts w:ascii="Arial" w:cs="Arial" w:eastAsia="Arial" w:hAnsi="Arial"/>
                <w:sz w:val="18"/>
                <w:szCs w:val="18"/>
                <w:color w:val="0000FF"/>
                <w:w w:val="98"/>
              </w:rPr>
            </w:pPr>
            <w:hyperlink r:id="rId78">
              <w:r>
                <w:rPr>
                  <w:rFonts w:ascii="Arial" w:cs="Arial" w:eastAsia="Arial" w:hAnsi="Arial"/>
                  <w:sz w:val="18"/>
                  <w:szCs w:val="18"/>
                  <w:color w:val="0000FF"/>
                  <w:w w:val="98"/>
                </w:rPr>
                <w:t>2.</w:t>
              </w:r>
              <w:r>
                <w:rPr>
                  <w:rFonts w:ascii="Arial" w:cs="Arial" w:eastAsia="Arial" w:hAnsi="Arial"/>
                  <w:sz w:val="18"/>
                  <w:szCs w:val="18"/>
                  <w:u w:val="single" w:color="auto"/>
                  <w:color w:val="0000FF"/>
                  <w:w w:val="98"/>
                </w:rPr>
                <w:t>1</w:t>
              </w:r>
              <w:r>
                <w:rPr>
                  <w:rFonts w:ascii="Arial" w:cs="Arial" w:eastAsia="Arial" w:hAnsi="Arial"/>
                  <w:sz w:val="18"/>
                  <w:szCs w:val="18"/>
                  <w:color w:val="0000FF"/>
                  <w:w w:val="98"/>
                </w:rPr>
                <w:t xml:space="preserve"> to the Registrant’s Form 8-K filed on July 14, 2015). First Amendment to Purchase and Sale Agreement effective</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5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December 10, 2015, by and among, Alinda Gas Delaware LLC, Alinda Infrastructure Fund I L.P. and Aircraft Services</w:t>
              </w:r>
            </w:hyperlink>
          </w:p>
        </w:tc>
        <w:tc>
          <w:tcPr>
            <w:tcW w:w="540" w:type="dxa"/>
            <w:vAlign w:val="bottom"/>
            <w:gridSpan w:val="1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24"/>
          </w:tcPr>
          <w:p>
            <w:pPr>
              <w:spacing w:after="0" w:line="196" w:lineRule="exact"/>
              <w:rPr>
                <w:rFonts w:ascii="Arial" w:cs="Arial" w:eastAsia="Arial" w:hAnsi="Arial"/>
                <w:sz w:val="18"/>
                <w:szCs w:val="18"/>
                <w:color w:val="0000FF"/>
                <w:w w:val="95"/>
              </w:rPr>
            </w:pPr>
            <w:hyperlink r:id="rId78">
              <w:r>
                <w:rPr>
                  <w:rFonts w:ascii="Arial" w:cs="Arial" w:eastAsia="Arial" w:hAnsi="Arial"/>
                  <w:sz w:val="18"/>
                  <w:szCs w:val="18"/>
                  <w:color w:val="0000FF"/>
                  <w:w w:val="95"/>
                </w:rPr>
                <w:t>Corporation, as Sellers, and Black Hills Utility Holdings, Inc., as Buyer (filed as Exhibit 2.2 to the Registrant’s Form 10-K</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for 2015).</w:t>
              </w:r>
            </w:hyperlink>
          </w:p>
        </w:tc>
        <w:tc>
          <w:tcPr>
            <w:tcW w:w="8120" w:type="dxa"/>
            <w:vAlign w:val="bottom"/>
            <w:tcBorders>
              <w:top w:val="single" w:sz="8" w:color="0000FF"/>
            </w:tcBorders>
            <w:gridSpan w:val="15"/>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Exhibit 2.2*</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00" w:type="dxa"/>
            <w:vAlign w:val="bottom"/>
            <w:gridSpan w:val="24"/>
          </w:tcPr>
          <w:p>
            <w:pPr>
              <w:spacing w:after="0"/>
              <w:rPr>
                <w:rFonts w:ascii="Arial" w:cs="Arial" w:eastAsia="Arial" w:hAnsi="Arial"/>
                <w:sz w:val="18"/>
                <w:szCs w:val="18"/>
                <w:color w:val="0000FF"/>
                <w:w w:val="94"/>
              </w:rPr>
            </w:pPr>
            <w:hyperlink r:id="rId79">
              <w:r>
                <w:rPr>
                  <w:rFonts w:ascii="Arial" w:cs="Arial" w:eastAsia="Arial" w:hAnsi="Arial"/>
                  <w:sz w:val="18"/>
                  <w:szCs w:val="18"/>
                  <w:color w:val="0000FF"/>
                  <w:w w:val="94"/>
                </w:rPr>
                <w:t>Option Agreement by and among Aircraft Services Corporation, as ASC, SourceGas Holdings LLC, as the Company and</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Black Hills Utility Holdings, Inc., as Buyer (filed as Exhibit 2.2 to the Registrant’s Form 8-K filed on July 14, 2015).</w:t>
              </w:r>
            </w:hyperlink>
          </w:p>
        </w:tc>
        <w:tc>
          <w:tcPr>
            <w:tcW w:w="300" w:type="dxa"/>
            <w:vAlign w:val="bottom"/>
            <w:tcBorders>
              <w:top w:val="single" w:sz="8" w:color="0000FF"/>
            </w:tcBorders>
            <w:gridSpan w:val="5"/>
          </w:tcPr>
          <w:p>
            <w:pPr>
              <w:spacing w:after="0"/>
              <w:rPr>
                <w:sz w:val="17"/>
                <w:szCs w:val="17"/>
                <w:color w:val="auto"/>
              </w:rPr>
            </w:pPr>
          </w:p>
        </w:tc>
        <w:tc>
          <w:tcPr>
            <w:tcW w:w="360" w:type="dxa"/>
            <w:vAlign w:val="bottom"/>
            <w:gridSpan w:val="11"/>
          </w:tcPr>
          <w:p>
            <w:pPr>
              <w:spacing w:after="0"/>
              <w:rPr>
                <w:sz w:val="17"/>
                <w:szCs w:val="17"/>
                <w:color w:val="auto"/>
              </w:rPr>
            </w:pPr>
          </w:p>
        </w:tc>
      </w:tr>
      <w:tr>
        <w:trPr>
          <w:trHeight w:val="466"/>
        </w:trPr>
        <w:tc>
          <w:tcPr>
            <w:tcW w:w="980" w:type="dxa"/>
            <w:vAlign w:val="bottom"/>
          </w:tcPr>
          <w:p>
            <w:pPr>
              <w:ind w:left="40"/>
              <w:spacing w:after="0"/>
              <w:rPr>
                <w:sz w:val="20"/>
                <w:szCs w:val="20"/>
                <w:color w:val="auto"/>
              </w:rPr>
            </w:pPr>
            <w:r>
              <w:rPr>
                <w:rFonts w:ascii="Arial" w:cs="Arial" w:eastAsia="Arial" w:hAnsi="Arial"/>
                <w:sz w:val="18"/>
                <w:szCs w:val="18"/>
                <w:color w:val="auto"/>
              </w:rPr>
              <w:t>Exhibit 2.3*</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40" w:type="dxa"/>
            <w:vAlign w:val="bottom"/>
            <w:tcBorders>
              <w:bottom w:val="single" w:sz="8" w:color="0000FF"/>
            </w:tcBorders>
            <w:gridSpan w:val="16"/>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Guaranty of Black Hills Corporation in favor of Alinda Gas Delaware LLC, Alinda Infrastructure Fund I, L.P. and Aircraft</w:t>
              </w:r>
            </w:hyperlink>
          </w:p>
        </w:tc>
        <w:tc>
          <w:tcPr>
            <w:tcW w:w="260" w:type="dxa"/>
            <w:vAlign w:val="bottom"/>
            <w:gridSpan w:val="8"/>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24"/>
          </w:tcPr>
          <w:p>
            <w:pPr>
              <w:spacing w:after="0" w:line="196" w:lineRule="exact"/>
              <w:rPr>
                <w:rFonts w:ascii="Arial" w:cs="Arial" w:eastAsia="Arial" w:hAnsi="Arial"/>
                <w:sz w:val="18"/>
                <w:szCs w:val="18"/>
                <w:color w:val="0000FF"/>
                <w:w w:val="95"/>
              </w:rPr>
            </w:pPr>
            <w:hyperlink r:id="rId80">
              <w:r>
                <w:rPr>
                  <w:rFonts w:ascii="Arial" w:cs="Arial" w:eastAsia="Arial" w:hAnsi="Arial"/>
                  <w:sz w:val="18"/>
                  <w:szCs w:val="18"/>
                  <w:color w:val="0000FF"/>
                  <w:w w:val="95"/>
                </w:rPr>
                <w:t>Services Corporation, dated as of July 12, 2015 (filed as Exhibit 2.3 to the Registrant’s Form 8-K filed on July 14, 2015).</w:t>
              </w:r>
            </w:hyperlink>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Exhibit 3.1*</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720" w:type="dxa"/>
            <w:vAlign w:val="bottom"/>
            <w:tcBorders>
              <w:top w:val="single" w:sz="8" w:color="0000FF"/>
            </w:tcBorders>
            <w:gridSpan w:val="12"/>
          </w:tcPr>
          <w:p>
            <w:pPr>
              <w:spacing w:after="0"/>
              <w:rPr>
                <w:rFonts w:ascii="Arial" w:cs="Arial" w:eastAsia="Arial" w:hAnsi="Arial"/>
                <w:sz w:val="18"/>
                <w:szCs w:val="18"/>
                <w:color w:val="0000FF"/>
              </w:rPr>
            </w:pPr>
            <w:hyperlink r:id="rId81">
              <w:r>
                <w:rPr>
                  <w:rFonts w:ascii="Arial" w:cs="Arial" w:eastAsia="Arial" w:hAnsi="Arial"/>
                  <w:sz w:val="18"/>
                  <w:szCs w:val="18"/>
                  <w:color w:val="0000FF"/>
                </w:rPr>
                <w:t>Restated Articles of Incorporation of the Registrant (filed as Exhibit 3 to the Registrant’s Form 10-K for 2004).</w:t>
              </w:r>
            </w:hyperlink>
          </w:p>
        </w:tc>
        <w:tc>
          <w:tcPr>
            <w:tcW w:w="380" w:type="dxa"/>
            <w:vAlign w:val="bottom"/>
            <w:gridSpan w:val="12"/>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Exhibit 3.2*</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00" w:type="dxa"/>
            <w:vAlign w:val="bottom"/>
            <w:gridSpan w:val="24"/>
          </w:tcPr>
          <w:p>
            <w:pPr>
              <w:spacing w:after="0"/>
              <w:rPr>
                <w:rFonts w:ascii="Arial" w:cs="Arial" w:eastAsia="Arial" w:hAnsi="Arial"/>
                <w:sz w:val="18"/>
                <w:szCs w:val="18"/>
                <w:color w:val="0000FF"/>
                <w:w w:val="94"/>
              </w:rPr>
            </w:pPr>
            <w:hyperlink r:id="rId82">
              <w:r>
                <w:rPr>
                  <w:rFonts w:ascii="Arial" w:cs="Arial" w:eastAsia="Arial" w:hAnsi="Arial"/>
                  <w:sz w:val="18"/>
                  <w:szCs w:val="18"/>
                  <w:color w:val="0000FF"/>
                  <w:w w:val="94"/>
                </w:rPr>
                <w:t>Amended and Restated Bylaws of the Registrant dated April 24, 2017 (filed as Exhibit 3 to the Registrant’s Form 8-K filed</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on April 28, 2017).</w:t>
              </w:r>
            </w:hyperlink>
          </w:p>
        </w:tc>
        <w:tc>
          <w:tcPr>
            <w:tcW w:w="240" w:type="dxa"/>
            <w:vAlign w:val="bottom"/>
            <w:gridSpan w:val="7"/>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Exhibit 4.1*</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700" w:type="dxa"/>
            <w:vAlign w:val="bottom"/>
            <w:tcBorders>
              <w:bottom w:val="single" w:sz="8" w:color="0000FF"/>
            </w:tcBorders>
            <w:gridSpan w:val="11"/>
          </w:tcPr>
          <w:p>
            <w:pPr>
              <w:spacing w:after="0"/>
              <w:rPr>
                <w:rFonts w:ascii="Arial" w:cs="Arial" w:eastAsia="Arial" w:hAnsi="Arial"/>
                <w:sz w:val="18"/>
                <w:szCs w:val="18"/>
                <w:color w:val="0000FF"/>
                <w:w w:val="89"/>
              </w:rPr>
            </w:pPr>
            <w:hyperlink r:id="rId83">
              <w:r>
                <w:rPr>
                  <w:rFonts w:ascii="Arial" w:cs="Arial" w:eastAsia="Arial" w:hAnsi="Arial"/>
                  <w:sz w:val="18"/>
                  <w:szCs w:val="18"/>
                  <w:color w:val="0000FF"/>
                  <w:w w:val="89"/>
                </w:rPr>
                <w:t>Indenture dated as of May 21, 2003 between the Registrant and Wells Fargo Bank, National Association (as successor to</w:t>
              </w:r>
            </w:hyperlink>
          </w:p>
        </w:tc>
        <w:tc>
          <w:tcPr>
            <w:tcW w:w="400" w:type="dxa"/>
            <w:vAlign w:val="bottom"/>
            <w:gridSpan w:val="1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LaSalle Bank National Association), as Trustee (filed as Exhibit 4.1 to the Registrant’s Form 10-Q for the quarterly period</w:t>
              </w:r>
            </w:hyperlink>
          </w:p>
        </w:tc>
        <w:tc>
          <w:tcPr>
            <w:tcW w:w="260" w:type="dxa"/>
            <w:vAlign w:val="bottom"/>
            <w:gridSpan w:val="8"/>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8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ended June 30, 2003). First Supplemental Indenture dated as of May 21, 2003 (filed as Exhibit 4.2 to the Registrant’s Form</w:t>
              </w:r>
            </w:hyperlink>
          </w:p>
        </w:tc>
        <w:tc>
          <w:tcPr>
            <w:tcW w:w="22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24"/>
          </w:tcPr>
          <w:p>
            <w:pPr>
              <w:spacing w:after="0" w:line="196" w:lineRule="exact"/>
              <w:rPr>
                <w:rFonts w:ascii="Arial" w:cs="Arial" w:eastAsia="Arial" w:hAnsi="Arial"/>
                <w:sz w:val="18"/>
                <w:szCs w:val="18"/>
                <w:color w:val="0000FF"/>
                <w:w w:val="95"/>
              </w:rPr>
            </w:pPr>
            <w:hyperlink r:id="rId83">
              <w:r>
                <w:rPr>
                  <w:rFonts w:ascii="Arial" w:cs="Arial" w:eastAsia="Arial" w:hAnsi="Arial"/>
                  <w:sz w:val="18"/>
                  <w:szCs w:val="18"/>
                  <w:color w:val="0000FF"/>
                  <w:w w:val="95"/>
                </w:rPr>
                <w:t>10-Q for the quarterly period ended June 30, 2003). Second Supplemental Indenture dated as of May 14, 2009 (filed as</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40" w:type="dxa"/>
            <w:vAlign w:val="bottom"/>
            <w:tcBorders>
              <w:bottom w:val="single" w:sz="8" w:color="0000FF"/>
            </w:tcBorders>
            <w:gridSpan w:val="23"/>
          </w:tcPr>
          <w:p>
            <w:pPr>
              <w:spacing w:after="0" w:line="19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Exhibit 4 to the Registrant’s Form 8-K filed on May 14, 2009). Third Supplemental Indenture dated as of July 16, 2010 (filed</w:t>
              </w:r>
            </w:hyperlink>
          </w:p>
        </w:tc>
        <w:tc>
          <w:tcPr>
            <w:tcW w:w="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4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as Exhibit 4 to Registrant’s Form 8-K filed on July 15, 2010). Fourth Supplemental Indenture dated as of November 19, 2013</w:t>
              </w:r>
            </w:hyperlink>
          </w:p>
        </w:tc>
        <w:tc>
          <w:tcPr>
            <w:tcW w:w="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24"/>
          </w:tcPr>
          <w:p>
            <w:pPr>
              <w:spacing w:after="0" w:line="196" w:lineRule="exact"/>
              <w:rPr>
                <w:rFonts w:ascii="Arial" w:cs="Arial" w:eastAsia="Arial" w:hAnsi="Arial"/>
                <w:sz w:val="18"/>
                <w:szCs w:val="18"/>
                <w:color w:val="0000FF"/>
                <w:w w:val="97"/>
              </w:rPr>
            </w:pPr>
            <w:hyperlink r:id="rId83">
              <w:r>
                <w:rPr>
                  <w:rFonts w:ascii="Arial" w:cs="Arial" w:eastAsia="Arial" w:hAnsi="Arial"/>
                  <w:sz w:val="18"/>
                  <w:szCs w:val="18"/>
                  <w:color w:val="0000FF"/>
                  <w:w w:val="97"/>
                </w:rPr>
                <w:t>(filed as Exhibit 4 to the Registrant’s Form 8-K filed on November 18, 2013). Fifth Supplemental Indenture dated as of</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24"/>
          </w:tcPr>
          <w:p>
            <w:pPr>
              <w:spacing w:after="0" w:line="19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January 13, 2016 (filed as Exhibit 4.1 to the Registrant’s Form 8-K filed on January 13, 2016). Sixth Supplemental Indenture</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5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dated as of August 19, 2016 (filed as Exhibit 4.1 to the Registrant’s Form 8-K filed on August 19, 2016).</w:t>
              </w:r>
            </w:hyperlink>
          </w:p>
        </w:tc>
        <w:tc>
          <w:tcPr>
            <w:tcW w:w="1440" w:type="dxa"/>
            <w:vAlign w:val="bottom"/>
            <w:tcBorders>
              <w:top w:val="single" w:sz="8" w:color="0000FF"/>
            </w:tcBorders>
            <w:gridSpan w:val="16"/>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Exhibit 4.2*</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960" w:type="dxa"/>
            <w:vAlign w:val="bottom"/>
            <w:tcBorders>
              <w:bottom w:val="single" w:sz="8" w:color="0000FF"/>
            </w:tcBorders>
            <w:gridSpan w:val="20"/>
          </w:tcPr>
          <w:p>
            <w:pPr>
              <w:spacing w:after="0"/>
              <w:rPr>
                <w:rFonts w:ascii="Arial" w:cs="Arial" w:eastAsia="Arial" w:hAnsi="Arial"/>
                <w:sz w:val="18"/>
                <w:szCs w:val="18"/>
                <w:color w:val="0000FF"/>
                <w:w w:val="91"/>
              </w:rPr>
            </w:pPr>
            <w:hyperlink r:id="rId84">
              <w:r>
                <w:rPr>
                  <w:rFonts w:ascii="Arial" w:cs="Arial" w:eastAsia="Arial" w:hAnsi="Arial"/>
                  <w:sz w:val="18"/>
                  <w:szCs w:val="18"/>
                  <w:color w:val="0000FF"/>
                  <w:w w:val="91"/>
                </w:rPr>
                <w:t>Restated and Amended Indenture of Mortgage and Deed of Trust of Black Hills Corporation (now called Black Hills Power,</w:t>
              </w:r>
            </w:hyperlink>
          </w:p>
        </w:tc>
        <w:tc>
          <w:tcPr>
            <w:tcW w:w="14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Inc.) dated as of September 1, 1999 (filed as Exhibit 4.19 to the Registrant’s Post-Effective Amendment No. 1 to the</w:t>
              </w:r>
            </w:hyperlink>
          </w:p>
        </w:tc>
        <w:tc>
          <w:tcPr>
            <w:tcW w:w="680" w:type="dxa"/>
            <w:vAlign w:val="bottom"/>
            <w:gridSpan w:val="1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Registrant’s Registration Statement on Form S-3 (No. 333-150669)). First Supplemental Indenture, dated as of August 13,</w:t>
              </w:r>
            </w:hyperlink>
          </w:p>
        </w:tc>
        <w:tc>
          <w:tcPr>
            <w:tcW w:w="260" w:type="dxa"/>
            <w:vAlign w:val="bottom"/>
            <w:gridSpan w:val="8"/>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56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2002, between Black Hills Power, Inc. and The Bank of New York Mellon (as successor to JPMorgan Chase Bank), as</w:t>
              </w:r>
            </w:hyperlink>
          </w:p>
        </w:tc>
        <w:tc>
          <w:tcPr>
            <w:tcW w:w="540" w:type="dxa"/>
            <w:vAlign w:val="bottom"/>
            <w:gridSpan w:val="1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6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Trustee (filed as Exhibit 4.20 to the Registrant’s Post-Effective Amendment No. 1 to the Registrant’s Registration Statement</w:t>
              </w:r>
            </w:hyperlink>
          </w:p>
        </w:tc>
        <w:tc>
          <w:tcPr>
            <w:tcW w:w="14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24"/>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on Form S</w:t>
              </w:r>
              <w:r>
                <w:rPr>
                  <w:rFonts w:ascii="MS PGothic" w:cs="MS PGothic" w:eastAsia="MS PGothic" w:hAnsi="MS PGothic"/>
                  <w:sz w:val="18"/>
                  <w:szCs w:val="18"/>
                  <w:color w:val="0000FF"/>
                  <w:w w:val="91"/>
                </w:rPr>
                <w:t>‑</w:t>
              </w:r>
              <w:r>
                <w:rPr>
                  <w:rFonts w:ascii="Arial" w:cs="Arial" w:eastAsia="Arial" w:hAnsi="Arial"/>
                  <w:sz w:val="18"/>
                  <w:szCs w:val="18"/>
                  <w:color w:val="0000FF"/>
                  <w:w w:val="91"/>
                </w:rPr>
                <w:t>3 (No. 333</w:t>
              </w:r>
              <w:r>
                <w:rPr>
                  <w:rFonts w:ascii="MS PGothic" w:cs="MS PGothic" w:eastAsia="MS PGothic" w:hAnsi="MS PGothic"/>
                  <w:sz w:val="18"/>
                  <w:szCs w:val="18"/>
                  <w:color w:val="0000FF"/>
                  <w:w w:val="91"/>
                </w:rPr>
                <w:t>‑</w:t>
              </w:r>
              <w:r>
                <w:rPr>
                  <w:rFonts w:ascii="Arial" w:cs="Arial" w:eastAsia="Arial" w:hAnsi="Arial"/>
                  <w:sz w:val="18"/>
                  <w:szCs w:val="18"/>
                  <w:color w:val="0000FF"/>
                  <w:w w:val="91"/>
                </w:rPr>
                <w:t>150669)). Second Supplemental Indenture, dated as of October 27, 2009, between Black Hills Power,</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7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Inc. and The Bank of New York Mellon (filed as Exhibit 4.21 to the Registrant’s Post-Effective Amendment No. 2 to the</w:t>
              </w:r>
            </w:hyperlink>
          </w:p>
        </w:tc>
        <w:tc>
          <w:tcPr>
            <w:tcW w:w="260" w:type="dxa"/>
            <w:vAlign w:val="bottom"/>
            <w:tcBorders>
              <w:top w:val="single" w:sz="8" w:color="0000FF"/>
            </w:tcBorders>
            <w:gridSpan w:val="9"/>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24"/>
          </w:tcPr>
          <w:p>
            <w:pPr>
              <w:spacing w:after="0" w:line="196" w:lineRule="exact"/>
              <w:rPr>
                <w:rFonts w:ascii="Arial" w:cs="Arial" w:eastAsia="Arial" w:hAnsi="Arial"/>
                <w:sz w:val="18"/>
                <w:szCs w:val="18"/>
                <w:color w:val="0000FF"/>
                <w:w w:val="93"/>
              </w:rPr>
            </w:pPr>
            <w:hyperlink r:id="rId84">
              <w:r>
                <w:rPr>
                  <w:rFonts w:ascii="Arial" w:cs="Arial" w:eastAsia="Arial" w:hAnsi="Arial"/>
                  <w:sz w:val="18"/>
                  <w:szCs w:val="18"/>
                  <w:color w:val="0000FF"/>
                  <w:w w:val="93"/>
                </w:rPr>
                <w:t>Registrant’s Registration Statement on Form S-3 (No. 333-150669)). Third Supplemental Indenture, dated as of October 1,</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5140" w:type="dxa"/>
            <w:vAlign w:val="bottom"/>
            <w:gridSpan w:val="6"/>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24"/>
          </w:tcPr>
          <w:p>
            <w:pPr>
              <w:spacing w:after="0" w:line="19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2014, between Black Hills Power, Inc. and The Bank of New York Mellon (filed as Exhibit 10.1 to the Registrant’s Form 8-K</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4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filed on October 2, 2014).</w:t>
              </w:r>
            </w:hyperlink>
          </w:p>
        </w:tc>
        <w:tc>
          <w:tcPr>
            <w:tcW w:w="6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Exhibit 4.3*</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00" w:type="dxa"/>
            <w:vAlign w:val="bottom"/>
            <w:gridSpan w:val="24"/>
          </w:tcPr>
          <w:p>
            <w:pPr>
              <w:spacing w:after="0"/>
              <w:rPr>
                <w:rFonts w:ascii="Arial" w:cs="Arial" w:eastAsia="Arial" w:hAnsi="Arial"/>
                <w:sz w:val="18"/>
                <w:szCs w:val="18"/>
                <w:color w:val="0000FF"/>
                <w:w w:val="92"/>
              </w:rPr>
            </w:pPr>
            <w:hyperlink r:id="rId85">
              <w:r>
                <w:rPr>
                  <w:rFonts w:ascii="Arial" w:cs="Arial" w:eastAsia="Arial" w:hAnsi="Arial"/>
                  <w:sz w:val="18"/>
                  <w:szCs w:val="18"/>
                  <w:color w:val="0000FF"/>
                  <w:w w:val="92"/>
                </w:rPr>
                <w:t>Restated Indenture of Mortgage, Deed of Trust, Security Agreement and Financing Statement, amended and restated as of</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5140" w:type="dxa"/>
            <w:vAlign w:val="bottom"/>
            <w:gridSpan w:val="6"/>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24"/>
          </w:tcPr>
          <w:p>
            <w:pPr>
              <w:spacing w:after="0" w:line="196"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November 20, 2007, between Cheyenne Light, Fuel and Power Company and Wells Fargo Bank, National Association (filed</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60" w:type="dxa"/>
            <w:vAlign w:val="bottom"/>
            <w:tcBorders>
              <w:top w:val="single" w:sz="8" w:color="0000FF"/>
            </w:tcBorders>
            <w:gridSpan w:val="20"/>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as Exhibit 10.2 to the Registrant’s Form 8-K filed on October 2, 2014). First Supplemental Indenture, dated as of September</w:t>
              </w:r>
            </w:hyperlink>
          </w:p>
        </w:tc>
        <w:tc>
          <w:tcPr>
            <w:tcW w:w="14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40" w:type="dxa"/>
            <w:vAlign w:val="bottom"/>
            <w:tcBorders>
              <w:top w:val="single" w:sz="8" w:color="0000FF"/>
            </w:tcBorders>
            <w:gridSpan w:val="19"/>
          </w:tcPr>
          <w:p>
            <w:pPr>
              <w:spacing w:after="0" w:line="196"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3, 2009, between Cheyenne Light, Fuel and Power Company and Wells Fargo Bank, National Association (filed as Exhibit</w:t>
              </w:r>
            </w:hyperlink>
          </w:p>
        </w:tc>
        <w:tc>
          <w:tcPr>
            <w:tcW w:w="160" w:type="dxa"/>
            <w:vAlign w:val="bottom"/>
            <w:gridSpan w:val="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4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3</w:t>
              </w:r>
              <w:r>
                <w:rPr>
                  <w:rFonts w:ascii="Arial" w:cs="Arial" w:eastAsia="Arial" w:hAnsi="Arial"/>
                  <w:sz w:val="18"/>
                  <w:szCs w:val="18"/>
                  <w:color w:val="0000FF"/>
                  <w:w w:val="90"/>
                </w:rPr>
                <w:t xml:space="preserve"> to the Registrant’s Form 8-K filed on October 2, 2014). Second Supplemental Indenture, dated as of October 1, 2014,</w:t>
              </w:r>
            </w:hyperlink>
          </w:p>
        </w:tc>
        <w:tc>
          <w:tcPr>
            <w:tcW w:w="260" w:type="dxa"/>
            <w:vAlign w:val="bottom"/>
            <w:gridSpan w:val="8"/>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24"/>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between Cheyenne Light, Fuel and Power Company and Wells Fargo Bank, National Association (filed as Exhibit 10.4 to the</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Registrant’s Form 8-K filed on October 2, 2014).</w:t>
              </w:r>
            </w:hyperlink>
          </w:p>
        </w:tc>
        <w:tc>
          <w:tcPr>
            <w:tcW w:w="5480" w:type="dxa"/>
            <w:vAlign w:val="bottom"/>
            <w:tcBorders>
              <w:top w:val="single" w:sz="8" w:color="0000FF"/>
            </w:tcBorders>
            <w:gridSpan w:val="18"/>
          </w:tcPr>
          <w:p>
            <w:pPr>
              <w:spacing w:after="0"/>
              <w:rPr>
                <w:sz w:val="17"/>
                <w:szCs w:val="17"/>
                <w:color w:val="auto"/>
              </w:rPr>
            </w:pPr>
          </w:p>
        </w:tc>
        <w:tc>
          <w:tcPr>
            <w:tcW w:w="80" w:type="dxa"/>
            <w:vAlign w:val="bottom"/>
            <w:gridSpan w:val="2"/>
          </w:tcPr>
          <w:p>
            <w:pPr>
              <w:spacing w:after="0"/>
              <w:rPr>
                <w:sz w:val="17"/>
                <w:szCs w:val="17"/>
                <w:color w:val="auto"/>
              </w:rPr>
            </w:pPr>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Exhibit 4.4*</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80" w:type="dxa"/>
            <w:vAlign w:val="bottom"/>
            <w:tcBorders>
              <w:bottom w:val="single" w:sz="8" w:color="0000FF"/>
            </w:tcBorders>
            <w:gridSpan w:val="10"/>
          </w:tcPr>
          <w:p>
            <w:pPr>
              <w:spacing w:after="0"/>
              <w:rPr>
                <w:rFonts w:ascii="Arial" w:cs="Arial" w:eastAsia="Arial" w:hAnsi="Arial"/>
                <w:sz w:val="18"/>
                <w:szCs w:val="18"/>
                <w:color w:val="0000FF"/>
                <w:w w:val="91"/>
              </w:rPr>
            </w:pPr>
            <w:hyperlink r:id="rId86">
              <w:r>
                <w:rPr>
                  <w:rFonts w:ascii="Arial" w:cs="Arial" w:eastAsia="Arial" w:hAnsi="Arial"/>
                  <w:sz w:val="18"/>
                  <w:szCs w:val="18"/>
                  <w:color w:val="0000FF"/>
                  <w:w w:val="91"/>
                </w:rPr>
                <w:t>Junior Subordinated Indenture dated as of November 23, 2015 between Black Hills Corporation and U.S. Bank National</w:t>
              </w:r>
            </w:hyperlink>
          </w:p>
        </w:tc>
        <w:tc>
          <w:tcPr>
            <w:tcW w:w="420" w:type="dxa"/>
            <w:vAlign w:val="bottom"/>
            <w:gridSpan w:val="1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Association, as trustee (filed as Exhibit 4.1 to the Registrant’s Form 8-K filed on November 23, 2015). First Supplemental</w:t>
              </w:r>
            </w:hyperlink>
          </w:p>
        </w:tc>
        <w:tc>
          <w:tcPr>
            <w:tcW w:w="300" w:type="dxa"/>
            <w:vAlign w:val="bottom"/>
            <w:gridSpan w:val="9"/>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24"/>
          </w:tcPr>
          <w:p>
            <w:pPr>
              <w:spacing w:after="0" w:line="196" w:lineRule="exact"/>
              <w:rPr>
                <w:rFonts w:ascii="Arial" w:cs="Arial" w:eastAsia="Arial" w:hAnsi="Arial"/>
                <w:sz w:val="18"/>
                <w:szCs w:val="18"/>
                <w:color w:val="0000FF"/>
                <w:w w:val="94"/>
              </w:rPr>
            </w:pPr>
            <w:hyperlink r:id="rId86">
              <w:r>
                <w:rPr>
                  <w:rFonts w:ascii="Arial" w:cs="Arial" w:eastAsia="Arial" w:hAnsi="Arial"/>
                  <w:sz w:val="18"/>
                  <w:szCs w:val="18"/>
                  <w:color w:val="0000FF"/>
                  <w:w w:val="94"/>
                </w:rPr>
                <w:t>Indenture dated as of November 23, 2015 (filed as Exhibit 4.2 to the Registrant’s Form 8-K filed on November 23, 2015).</w:t>
              </w:r>
            </w:hyperlink>
          </w:p>
        </w:tc>
      </w:tr>
      <w:tr>
        <w:trPr>
          <w:trHeight w:val="507"/>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40" w:type="dxa"/>
            <w:vAlign w:val="bottom"/>
            <w:tcBorders>
              <w:top w:val="single" w:sz="8" w:color="0000FF"/>
            </w:tcBorders>
            <w:gridSpan w:val="4"/>
          </w:tcPr>
          <w:p>
            <w:pPr>
              <w:ind w:left="3300"/>
              <w:spacing w:after="0"/>
              <w:rPr>
                <w:sz w:val="20"/>
                <w:szCs w:val="20"/>
                <w:color w:val="auto"/>
              </w:rPr>
            </w:pPr>
            <w:r>
              <w:rPr>
                <w:rFonts w:ascii="Arial" w:cs="Arial" w:eastAsia="Arial" w:hAnsi="Arial"/>
                <w:sz w:val="18"/>
                <w:szCs w:val="18"/>
                <w:color w:val="auto"/>
              </w:rPr>
              <w:t>77</w:t>
            </w:r>
          </w:p>
        </w:tc>
        <w:tc>
          <w:tcPr>
            <w:tcW w:w="40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338"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ind w:left="40"/>
              <w:spacing w:after="0"/>
              <w:rPr>
                <w:sz w:val="20"/>
                <w:szCs w:val="20"/>
                <w:color w:val="auto"/>
              </w:rPr>
            </w:pPr>
            <w:r>
              <w:rPr>
                <w:rFonts w:ascii="Arial" w:cs="Arial" w:eastAsia="Arial" w:hAnsi="Arial"/>
                <w:sz w:val="18"/>
                <w:szCs w:val="18"/>
                <w:color w:val="auto"/>
              </w:rPr>
              <w:t>Exhibit 4.5*</w:t>
            </w:r>
          </w:p>
        </w:tc>
        <w:tc>
          <w:tcPr>
            <w:tcW w:w="8820" w:type="dxa"/>
            <w:vAlign w:val="bottom"/>
            <w:tcBorders>
              <w:bottom w:val="single" w:sz="8" w:color="0000FF"/>
            </w:tcBorders>
            <w:gridSpan w:val="12"/>
          </w:tcPr>
          <w:p>
            <w:pPr>
              <w:spacing w:after="0"/>
              <w:rPr>
                <w:rFonts w:ascii="Arial" w:cs="Arial" w:eastAsia="Arial" w:hAnsi="Arial"/>
                <w:sz w:val="18"/>
                <w:szCs w:val="18"/>
                <w:color w:val="0000FF"/>
                <w:w w:val="90"/>
              </w:rPr>
            </w:pPr>
            <w:hyperlink r:id="rId87">
              <w:r>
                <w:rPr>
                  <w:rFonts w:ascii="Arial" w:cs="Arial" w:eastAsia="Arial" w:hAnsi="Arial"/>
                  <w:sz w:val="18"/>
                  <w:szCs w:val="18"/>
                  <w:color w:val="0000FF"/>
                  <w:w w:val="90"/>
                </w:rPr>
                <w:t>Purchase Contract and Pledge Agreement dated as of November 23, 2015 between Black Hills Corporation and U.S. Bank</w:t>
              </w:r>
            </w:hyperlink>
          </w:p>
        </w:tc>
        <w:tc>
          <w:tcPr>
            <w:tcW w:w="240" w:type="dxa"/>
            <w:vAlign w:val="bottom"/>
            <w:gridSpan w:val="2"/>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906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National Association, as purchase contract agent, collateral agent, custodial agent and securities intermediary (filed as Exhibit</w:t>
              </w:r>
            </w:hyperlink>
          </w:p>
        </w:tc>
      </w:tr>
      <w:tr>
        <w:trPr>
          <w:trHeight w:val="196"/>
        </w:trPr>
        <w:tc>
          <w:tcPr>
            <w:tcW w:w="2320" w:type="dxa"/>
            <w:vAlign w:val="bottom"/>
          </w:tcPr>
          <w:p>
            <w:pPr>
              <w:spacing w:after="0"/>
              <w:rPr>
                <w:sz w:val="17"/>
                <w:szCs w:val="17"/>
                <w:color w:val="auto"/>
              </w:rPr>
            </w:pPr>
          </w:p>
        </w:tc>
        <w:tc>
          <w:tcPr>
            <w:tcW w:w="9060" w:type="dxa"/>
            <w:vAlign w:val="bottom"/>
            <w:gridSpan w:val="14"/>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4.</w:t>
              </w:r>
              <w:r>
                <w:rPr>
                  <w:rFonts w:ascii="Arial" w:cs="Arial" w:eastAsia="Arial" w:hAnsi="Arial"/>
                  <w:sz w:val="18"/>
                  <w:szCs w:val="18"/>
                  <w:u w:val="single" w:color="auto"/>
                  <w:color w:val="0000FF"/>
                </w:rPr>
                <w:t>4</w:t>
              </w:r>
              <w:r>
                <w:rPr>
                  <w:rFonts w:ascii="Arial" w:cs="Arial" w:eastAsia="Arial" w:hAnsi="Arial"/>
                  <w:sz w:val="18"/>
                  <w:szCs w:val="18"/>
                  <w:color w:val="0000FF"/>
                </w:rPr>
                <w:t xml:space="preserve"> to the Registrant’s Form 8-K filed on November 23, 2015).</w:t>
              </w:r>
            </w:hyperlink>
          </w:p>
        </w:tc>
      </w:tr>
      <w:tr>
        <w:trPr>
          <w:trHeight w:val="20"/>
        </w:trPr>
        <w:tc>
          <w:tcPr>
            <w:tcW w:w="2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4.6*</w:t>
            </w:r>
          </w:p>
        </w:tc>
        <w:tc>
          <w:tcPr>
            <w:tcW w:w="8780" w:type="dxa"/>
            <w:vAlign w:val="bottom"/>
            <w:tcBorders>
              <w:bottom w:val="single" w:sz="8" w:color="0000FF"/>
            </w:tcBorders>
            <w:gridSpan w:val="10"/>
          </w:tcPr>
          <w:p>
            <w:pPr>
              <w:spacing w:after="0"/>
              <w:rPr>
                <w:rFonts w:ascii="Arial" w:cs="Arial" w:eastAsia="Arial" w:hAnsi="Arial"/>
                <w:sz w:val="18"/>
                <w:szCs w:val="18"/>
                <w:color w:val="0000FF"/>
                <w:w w:val="90"/>
              </w:rPr>
            </w:pPr>
            <w:hyperlink r:id="rId88">
              <w:r>
                <w:rPr>
                  <w:rFonts w:ascii="Arial" w:cs="Arial" w:eastAsia="Arial" w:hAnsi="Arial"/>
                  <w:sz w:val="18"/>
                  <w:szCs w:val="18"/>
                  <w:color w:val="0000FF"/>
                  <w:w w:val="90"/>
                </w:rPr>
                <w:t>Indenture dated as of April 16, 2007 between SourceGas LLC and U.S. Bank National Association, as Trustee (relating to</w:t>
              </w:r>
            </w:hyperlink>
          </w:p>
        </w:tc>
        <w:tc>
          <w:tcPr>
            <w:tcW w:w="280" w:type="dxa"/>
            <w:vAlign w:val="bottom"/>
            <w:gridSpan w:val="4"/>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9060" w:type="dxa"/>
            <w:vAlign w:val="bottom"/>
            <w:gridSpan w:val="14"/>
          </w:tcPr>
          <w:p>
            <w:pPr>
              <w:spacing w:after="0" w:line="196" w:lineRule="exact"/>
              <w:rPr>
                <w:rFonts w:ascii="Arial" w:cs="Arial" w:eastAsia="Arial" w:hAnsi="Arial"/>
                <w:sz w:val="18"/>
                <w:szCs w:val="18"/>
                <w:color w:val="0000FF"/>
                <w:w w:val="94"/>
              </w:rPr>
            </w:pPr>
            <w:hyperlink r:id="rId88">
              <w:r>
                <w:rPr>
                  <w:rFonts w:ascii="Arial" w:cs="Arial" w:eastAsia="Arial" w:hAnsi="Arial"/>
                  <w:sz w:val="18"/>
                  <w:szCs w:val="18"/>
                  <w:u w:val="single" w:color="auto"/>
                  <w:color w:val="0000FF"/>
                  <w:w w:val="94"/>
                </w:rPr>
                <w:t>$</w:t>
              </w:r>
              <w:r>
                <w:rPr>
                  <w:rFonts w:ascii="Arial" w:cs="Arial" w:eastAsia="Arial" w:hAnsi="Arial"/>
                  <w:sz w:val="18"/>
                  <w:szCs w:val="18"/>
                  <w:color w:val="0000FF"/>
                  <w:w w:val="94"/>
                </w:rPr>
                <w:t>325 million, 5.90% Senior Notes due 2017) (filed as Exhibit 10.1 to the Registrant’s Form 8-K filed on March 18, 2016).</w:t>
              </w:r>
            </w:hyperlink>
          </w:p>
        </w:tc>
      </w:tr>
      <w:tr>
        <w:trPr>
          <w:trHeight w:val="20"/>
        </w:trPr>
        <w:tc>
          <w:tcPr>
            <w:tcW w:w="2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4.7*</w:t>
            </w:r>
          </w:p>
        </w:tc>
        <w:tc>
          <w:tcPr>
            <w:tcW w:w="9060" w:type="dxa"/>
            <w:vAlign w:val="bottom"/>
            <w:gridSpan w:val="14"/>
          </w:tcPr>
          <w:p>
            <w:pPr>
              <w:spacing w:after="0"/>
              <w:rPr>
                <w:rFonts w:ascii="Arial" w:cs="Arial" w:eastAsia="Arial" w:hAnsi="Arial"/>
                <w:sz w:val="18"/>
                <w:szCs w:val="18"/>
                <w:color w:val="0000FF"/>
                <w:w w:val="92"/>
              </w:rPr>
            </w:pPr>
            <w:hyperlink r:id="rId89">
              <w:r>
                <w:rPr>
                  <w:rFonts w:ascii="Arial" w:cs="Arial" w:eastAsia="Arial" w:hAnsi="Arial"/>
                  <w:sz w:val="18"/>
                  <w:szCs w:val="18"/>
                  <w:color w:val="0000FF"/>
                  <w:w w:val="92"/>
                </w:rPr>
                <w:t xml:space="preserve">Form of Stock Certificate for Common Stock, Par Value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1.00 Per Share (filed as Exhibit 4.2 to the Registrant’s Form 10-K</w:t>
              </w:r>
            </w:hyperlink>
          </w:p>
        </w:tc>
      </w:tr>
      <w:tr>
        <w:trPr>
          <w:trHeight w:val="196"/>
        </w:trPr>
        <w:tc>
          <w:tcPr>
            <w:tcW w:w="2320" w:type="dxa"/>
            <w:vAlign w:val="bottom"/>
          </w:tcPr>
          <w:p>
            <w:pPr>
              <w:spacing w:after="0"/>
              <w:rPr>
                <w:sz w:val="17"/>
                <w:szCs w:val="17"/>
                <w:color w:val="auto"/>
              </w:rPr>
            </w:pPr>
          </w:p>
        </w:tc>
        <w:tc>
          <w:tcPr>
            <w:tcW w:w="7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for 2000).</w:t>
              </w:r>
            </w:hyperlink>
          </w:p>
        </w:tc>
        <w:tc>
          <w:tcPr>
            <w:tcW w:w="8200" w:type="dxa"/>
            <w:vAlign w:val="bottom"/>
            <w:tcBorders>
              <w:top w:val="single" w:sz="8" w:color="0000FF"/>
            </w:tcBorders>
            <w:gridSpan w:val="12"/>
          </w:tcPr>
          <w:p>
            <w:pPr>
              <w:spacing w:after="0"/>
              <w:rPr>
                <w:sz w:val="17"/>
                <w:szCs w:val="17"/>
                <w:color w:val="auto"/>
              </w:rPr>
            </w:pPr>
          </w:p>
        </w:tc>
        <w:tc>
          <w:tcPr>
            <w:tcW w:w="140" w:type="dxa"/>
            <w:vAlign w:val="bottom"/>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31.1</w:t>
            </w:r>
          </w:p>
        </w:tc>
        <w:tc>
          <w:tcPr>
            <w:tcW w:w="868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Certification of Chief Executive Officer pursuant to Rule 13a - 14(a) of the Securities Exchange Act of 1934, as adopted</w:t>
              </w:r>
            </w:hyperlink>
          </w:p>
        </w:tc>
        <w:tc>
          <w:tcPr>
            <w:tcW w:w="380" w:type="dxa"/>
            <w:vAlign w:val="bottom"/>
            <w:gridSpan w:val="5"/>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44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80">
              <w:r>
                <w:rPr>
                  <w:rFonts w:ascii="Arial" w:cs="Arial" w:eastAsia="Arial" w:hAnsi="Arial"/>
                  <w:sz w:val="18"/>
                  <w:szCs w:val="18"/>
                  <w:color w:val="0000FF"/>
                  <w:w w:val="90"/>
                </w:rPr>
                <w:t>pursuant to Section 302 of the Sarbanes - Oxley Act of 2002.</w:t>
              </w:r>
            </w:hyperlink>
          </w:p>
        </w:tc>
        <w:tc>
          <w:tcPr>
            <w:tcW w:w="4660" w:type="dxa"/>
            <w:vAlign w:val="bottom"/>
            <w:gridSpan w:val="10"/>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31.2</w:t>
            </w:r>
          </w:p>
        </w:tc>
        <w:tc>
          <w:tcPr>
            <w:tcW w:w="9060" w:type="dxa"/>
            <w:vAlign w:val="bottom"/>
            <w:gridSpan w:val="14"/>
          </w:tcPr>
          <w:p>
            <w:pPr>
              <w:spacing w:after="0"/>
              <w:rPr>
                <w:rFonts w:ascii="Arial" w:cs="Arial" w:eastAsia="Arial" w:hAnsi="Arial"/>
                <w:sz w:val="18"/>
                <w:szCs w:val="18"/>
                <w:color w:val="0000FF"/>
                <w:w w:val="96"/>
              </w:rPr>
            </w:pPr>
            <w:hyperlink w:anchor="page81">
              <w:r>
                <w:rPr>
                  <w:rFonts w:ascii="Arial" w:cs="Arial" w:eastAsia="Arial" w:hAnsi="Arial"/>
                  <w:sz w:val="18"/>
                  <w:szCs w:val="18"/>
                  <w:color w:val="0000FF"/>
                  <w:w w:val="96"/>
                </w:rPr>
                <w:t>Certification of Chief Financial Officer pursuant to Rule 13a - 14(a) of the Securities Exchange Act of 1934, as adopted</w:t>
              </w:r>
            </w:hyperlink>
          </w:p>
        </w:tc>
      </w:tr>
      <w:tr>
        <w:trPr>
          <w:trHeight w:val="196"/>
        </w:trPr>
        <w:tc>
          <w:tcPr>
            <w:tcW w:w="232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w:anchor="page81">
              <w:r>
                <w:rPr>
                  <w:rFonts w:ascii="Arial" w:cs="Arial" w:eastAsia="Arial" w:hAnsi="Arial"/>
                  <w:sz w:val="18"/>
                  <w:szCs w:val="18"/>
                  <w:color w:val="0000FF"/>
                  <w:w w:val="90"/>
                </w:rPr>
                <w:t>pursuant to Section 302 of the Sarbanes - Oxley Act of 2002.</w:t>
              </w:r>
            </w:hyperlink>
          </w:p>
        </w:tc>
        <w:tc>
          <w:tcPr>
            <w:tcW w:w="4220" w:type="dxa"/>
            <w:vAlign w:val="bottom"/>
            <w:tcBorders>
              <w:top w:val="single" w:sz="8" w:color="0000FF"/>
            </w:tcBorders>
            <w:gridSpan w:val="4"/>
          </w:tcPr>
          <w:p>
            <w:pPr>
              <w:spacing w:after="0"/>
              <w:rPr>
                <w:sz w:val="17"/>
                <w:szCs w:val="17"/>
                <w:color w:val="auto"/>
              </w:rPr>
            </w:pPr>
          </w:p>
        </w:tc>
        <w:tc>
          <w:tcPr>
            <w:tcW w:w="440" w:type="dxa"/>
            <w:vAlign w:val="bottom"/>
            <w:gridSpan w:val="6"/>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32.1</w:t>
            </w:r>
          </w:p>
        </w:tc>
        <w:tc>
          <w:tcPr>
            <w:tcW w:w="854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Certification of Chief Executive Officer pursuant to 18 U.S.C. Section 1350, as adopted pursuant to Section 906 of the</w:t>
              </w:r>
            </w:hyperlink>
          </w:p>
        </w:tc>
        <w:tc>
          <w:tcPr>
            <w:tcW w:w="520" w:type="dxa"/>
            <w:vAlign w:val="bottom"/>
            <w:gridSpan w:val="7"/>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9060" w:type="dxa"/>
            <w:vAlign w:val="bottom"/>
            <w:gridSpan w:val="14"/>
          </w:tcPr>
          <w:p>
            <w:pPr>
              <w:spacing w:after="0" w:line="196" w:lineRule="exact"/>
              <w:rPr>
                <w:rFonts w:ascii="Arial" w:cs="Arial" w:eastAsia="Arial" w:hAnsi="Arial"/>
                <w:sz w:val="18"/>
                <w:szCs w:val="18"/>
                <w:color w:val="0000FF"/>
              </w:rPr>
            </w:pPr>
            <w:hyperlink w:anchor="page82">
              <w:r>
                <w:rPr>
                  <w:rFonts w:ascii="Arial" w:cs="Arial" w:eastAsia="Arial" w:hAnsi="Arial"/>
                  <w:sz w:val="18"/>
                  <w:szCs w:val="18"/>
                  <w:color w:val="0000FF"/>
                </w:rPr>
                <w:t>Sarbanes - Oxley Act of 2002.</w:t>
              </w:r>
            </w:hyperlink>
          </w:p>
        </w:tc>
      </w:tr>
      <w:tr>
        <w:trPr>
          <w:trHeight w:val="20"/>
        </w:trPr>
        <w:tc>
          <w:tcPr>
            <w:tcW w:w="23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32.2</w:t>
            </w:r>
          </w:p>
        </w:tc>
        <w:tc>
          <w:tcPr>
            <w:tcW w:w="9060" w:type="dxa"/>
            <w:vAlign w:val="bottom"/>
            <w:gridSpan w:val="14"/>
          </w:tcPr>
          <w:p>
            <w:pPr>
              <w:spacing w:after="0"/>
              <w:rPr>
                <w:rFonts w:ascii="Arial" w:cs="Arial" w:eastAsia="Arial" w:hAnsi="Arial"/>
                <w:sz w:val="18"/>
                <w:szCs w:val="18"/>
                <w:color w:val="0000FF"/>
                <w:w w:val="97"/>
              </w:rPr>
            </w:pPr>
            <w:hyperlink w:anchor="page83">
              <w:r>
                <w:rPr>
                  <w:rFonts w:ascii="Arial" w:cs="Arial" w:eastAsia="Arial" w:hAnsi="Arial"/>
                  <w:sz w:val="18"/>
                  <w:szCs w:val="18"/>
                  <w:color w:val="0000FF"/>
                  <w:w w:val="97"/>
                </w:rPr>
                <w:t>Certification of Chief Financial Officer pursuant to 18 U.S.C. Section 1350, as adopted pursuant to Section 906 of the</w:t>
              </w:r>
            </w:hyperlink>
          </w:p>
        </w:tc>
      </w:tr>
      <w:tr>
        <w:trPr>
          <w:trHeight w:val="196"/>
        </w:trPr>
        <w:tc>
          <w:tcPr>
            <w:tcW w:w="2320" w:type="dxa"/>
            <w:vAlign w:val="bottom"/>
          </w:tcPr>
          <w:p>
            <w:pPr>
              <w:spacing w:after="0"/>
              <w:rPr>
                <w:sz w:val="17"/>
                <w:szCs w:val="17"/>
                <w:color w:val="auto"/>
              </w:rPr>
            </w:pPr>
          </w:p>
        </w:tc>
        <w:tc>
          <w:tcPr>
            <w:tcW w:w="848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83">
              <w:r>
                <w:rPr>
                  <w:rFonts w:ascii="Arial" w:cs="Arial" w:eastAsia="Arial" w:hAnsi="Arial"/>
                  <w:sz w:val="18"/>
                  <w:szCs w:val="18"/>
                  <w:color w:val="0000FF"/>
                </w:rPr>
                <w:t>Sarbanes - Oxley Act of 2002.</w:t>
              </w:r>
            </w:hyperlink>
          </w:p>
        </w:tc>
        <w:tc>
          <w:tcPr>
            <w:tcW w:w="580" w:type="dxa"/>
            <w:vAlign w:val="bottom"/>
            <w:gridSpan w:val="8"/>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80" w:type="dxa"/>
            <w:vAlign w:val="bottom"/>
            <w:gridSpan w:val="11"/>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95</w:t>
            </w:r>
          </w:p>
        </w:tc>
        <w:tc>
          <w:tcPr>
            <w:tcW w:w="9060" w:type="dxa"/>
            <w:vAlign w:val="bottom"/>
            <w:gridSpan w:val="14"/>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Mine Safety and Health Administration Safety Data.</w:t>
              </w:r>
            </w:hyperlink>
          </w:p>
        </w:tc>
      </w:tr>
      <w:tr>
        <w:trPr>
          <w:trHeight w:val="520"/>
        </w:trPr>
        <w:tc>
          <w:tcPr>
            <w:tcW w:w="2320" w:type="dxa"/>
            <w:vAlign w:val="bottom"/>
          </w:tcPr>
          <w:p>
            <w:pPr>
              <w:ind w:left="40"/>
              <w:spacing w:after="0"/>
              <w:rPr>
                <w:sz w:val="20"/>
                <w:szCs w:val="20"/>
                <w:color w:val="auto"/>
              </w:rPr>
            </w:pPr>
            <w:r>
              <w:rPr>
                <w:rFonts w:ascii="Arial" w:cs="Arial" w:eastAsia="Arial" w:hAnsi="Arial"/>
                <w:sz w:val="18"/>
                <w:szCs w:val="18"/>
                <w:color w:val="auto"/>
              </w:rPr>
              <w:t>Exhibit 101</w:t>
            </w:r>
          </w:p>
        </w:tc>
        <w:tc>
          <w:tcPr>
            <w:tcW w:w="37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Financial Statements for XBRL Format.</w:t>
            </w:r>
          </w:p>
        </w:tc>
        <w:tc>
          <w:tcPr>
            <w:tcW w:w="5280" w:type="dxa"/>
            <w:vAlign w:val="bottom"/>
            <w:gridSpan w:val="11"/>
          </w:tcPr>
          <w:p>
            <w:pPr>
              <w:spacing w:after="0"/>
              <w:rPr>
                <w:sz w:val="24"/>
                <w:szCs w:val="24"/>
                <w:color w:val="auto"/>
              </w:rPr>
            </w:pPr>
          </w:p>
        </w:tc>
      </w:tr>
      <w:tr>
        <w:trPr>
          <w:trHeight w:val="243"/>
        </w:trPr>
        <w:tc>
          <w:tcPr>
            <w:tcW w:w="2320" w:type="dxa"/>
            <w:vAlign w:val="bottom"/>
          </w:tcPr>
          <w:p>
            <w:pPr>
              <w:spacing w:after="0"/>
              <w:rPr>
                <w:sz w:val="20"/>
                <w:szCs w:val="20"/>
                <w:color w:val="auto"/>
              </w:rPr>
            </w:pPr>
            <w:r>
              <w:rPr>
                <w:rFonts w:ascii="Arial" w:cs="Arial" w:eastAsia="Arial" w:hAnsi="Arial"/>
                <w:sz w:val="18"/>
                <w:szCs w:val="18"/>
                <w:color w:val="auto"/>
              </w:rPr>
              <w:t>__________</w:t>
            </w:r>
          </w:p>
        </w:tc>
        <w:tc>
          <w:tcPr>
            <w:tcW w:w="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Previously filed as part of the filing indicated and incorporated by reference herein.</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Indicates a board of director or management compensatory plan.</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743" w:right="279" w:bottom="1440" w:gutter="0" w:footer="0" w:header="0"/>
        </w:sectPr>
      </w:pPr>
    </w:p>
    <w:bookmarkStart w:id="78" w:name="page79"/>
    <w:bookmarkEnd w:id="78"/>
    <w:p>
      <w:pPr>
        <w:jc w:val="center"/>
        <w:ind w:right="-43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BLACK HILLS CORPORATION</w:t>
      </w:r>
    </w:p>
    <w:p>
      <w:pPr>
        <w:spacing w:after="0" w:line="1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David R. Emery, Chairman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Richard W. Kinzley, Senior Vice President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w:t>
      </w:r>
    </w:p>
    <w:p>
      <w:pPr>
        <w:spacing w:after="0" w:line="29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3,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240" w:top="584" w:right="6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R. Emery, certify that:</w:t>
      </w:r>
    </w:p>
    <w:p>
      <w:pPr>
        <w:spacing w:after="0" w:line="387" w:lineRule="exact"/>
        <w:rPr>
          <w:sz w:val="20"/>
          <w:szCs w:val="20"/>
          <w:color w:val="auto"/>
        </w:rPr>
      </w:pPr>
    </w:p>
    <w:p>
      <w:pPr>
        <w:ind w:left="840" w:hanging="805"/>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2017</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David R. Emery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Richard W. Kinzley, certify that:</w:t>
      </w:r>
    </w:p>
    <w:p>
      <w:pPr>
        <w:spacing w:after="0" w:line="387" w:lineRule="exact"/>
        <w:rPr>
          <w:sz w:val="20"/>
          <w:szCs w:val="20"/>
          <w:color w:val="auto"/>
        </w:rPr>
      </w:pPr>
    </w:p>
    <w:p>
      <w:pPr>
        <w:ind w:left="840" w:hanging="805"/>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2017</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Black Hills Corporation (the “Company”) on Form 10-Q for the period ended September 30, 2017 as filed with the Securities and Exchange Commission on the date hereof (the “Report”), I, David R. Emery, Chairman and Chief Executive Officer of the Company, certify, pursuant to 18 U.S.C. ss. 1350, as adopted pursuant to ss. 906 of the Sarbanes-Oxley Act of 2002, that:</w:t>
      </w:r>
    </w:p>
    <w:p>
      <w:pPr>
        <w:spacing w:after="0" w:line="289" w:lineRule="exact"/>
        <w:rPr>
          <w:sz w:val="20"/>
          <w:szCs w:val="20"/>
          <w:color w:val="auto"/>
        </w:rPr>
      </w:pPr>
    </w:p>
    <w:p>
      <w:pPr>
        <w:ind w:left="1640" w:hanging="795"/>
        <w:spacing w:after="0"/>
        <w:tabs>
          <w:tab w:leader="none" w:pos="1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2017</w:t>
      </w:r>
    </w:p>
    <w:p>
      <w:pPr>
        <w:spacing w:after="0" w:line="38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David R. Emery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Quarterly Report of Black Hills Corporation (the “Company”) on Form 10-Q for the period ended September 30, 2017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74" w:lineRule="exact"/>
        <w:rPr>
          <w:sz w:val="20"/>
          <w:szCs w:val="20"/>
          <w:color w:val="auto"/>
        </w:rPr>
      </w:pPr>
    </w:p>
    <w:p>
      <w:pPr>
        <w:ind w:left="1640" w:hanging="795"/>
        <w:spacing w:after="0"/>
        <w:tabs>
          <w:tab w:leader="none" w:pos="1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2017</w:t>
      </w:r>
    </w:p>
    <w:p>
      <w:pPr>
        <w:spacing w:after="0" w:line="38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95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and Health Administration Safety Data</w:t>
      </w:r>
    </w:p>
    <w:p>
      <w:pPr>
        <w:spacing w:after="0" w:line="18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the recently enacted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September 30, 2017.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78" w:lineRule="exact"/>
        <w:rPr>
          <w:sz w:val="20"/>
          <w:szCs w:val="20"/>
          <w:color w:val="auto"/>
        </w:rPr>
      </w:pPr>
    </w:p>
    <w:p>
      <w:pPr>
        <w:ind w:left="660" w:right="14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Total number of orders issued under section 104(b) of the Mine Act;</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Total number of citations and orders for unwarrantable failure of the mine operator to comply with mandatory health and safety standards under section 104(d) of the Mine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Total number of imminent danger orders issued under section 107(a) of the Mine 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Total dollar value of proposed assessments from MSHA under the Mine Act.</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table below sets forth the total number of citations and/or orders issued by MSHA to WRDC under the indicated provisions of the Mine Act, together with the total dollar value of proposed MSHA assessments received during the three months ended September 30, 2017 and legal actions pending before the Federal Mine Safety and Health Review Commission, together with the Administrative Law Judges thereof, for WRDC, our only mining complex. All citations were abated within 24 hours of issue.</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Mine Act Section</w:t>
            </w: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9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 S&amp;S</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Mine Act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200" w:type="dxa"/>
            <w:vAlign w:val="bottom"/>
          </w:tcPr>
          <w:p>
            <w:pPr>
              <w:spacing w:after="0"/>
              <w:rPr>
                <w:sz w:val="12"/>
                <w:szCs w:val="12"/>
                <w:color w:val="auto"/>
              </w:rPr>
            </w:pPr>
          </w:p>
        </w:tc>
        <w:tc>
          <w:tcPr>
            <w:tcW w:w="10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Total Dollar</w:t>
            </w:r>
          </w:p>
        </w:tc>
        <w:tc>
          <w:tcPr>
            <w:tcW w:w="88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Received Notice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Citations issued</w:t>
            </w:r>
          </w:p>
        </w:tc>
        <w:tc>
          <w:tcPr>
            <w:tcW w:w="68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104(d)</w:t>
            </w:r>
          </w:p>
        </w:tc>
        <w:tc>
          <w:tcPr>
            <w:tcW w:w="98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107(a)</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4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Pending as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0" w:type="dxa"/>
            <w:vAlign w:val="bottom"/>
          </w:tcPr>
          <w:p>
            <w:pPr>
              <w:spacing w:after="0"/>
              <w:rPr>
                <w:sz w:val="1"/>
                <w:szCs w:val="1"/>
                <w:color w:val="auto"/>
              </w:rPr>
            </w:pPr>
          </w:p>
        </w:tc>
      </w:tr>
      <w:tr>
        <w:trPr>
          <w:trHeight w:val="149"/>
        </w:trPr>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MSHA</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during three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Citations</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Imminent</w:t>
            </w:r>
          </w:p>
        </w:tc>
        <w:tc>
          <w:tcPr>
            <w:tcW w:w="200" w:type="dxa"/>
            <w:vAlign w:val="bottom"/>
          </w:tcPr>
          <w:p>
            <w:pPr>
              <w:spacing w:after="0"/>
              <w:rPr>
                <w:sz w:val="12"/>
                <w:szCs w:val="12"/>
                <w:color w:val="auto"/>
              </w:rPr>
            </w:pPr>
          </w:p>
        </w:tc>
        <w:tc>
          <w:tcPr>
            <w:tcW w:w="10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Value of</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Mining</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Potential to Have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Last Day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Initiated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Resolved</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months ended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104(b)</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and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110(b)(2)</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Danger</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Proposed MSHA</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Related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Pattern Under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65"/>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Orders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Violations (#)</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200" w:type="dxa"/>
            <w:vAlign w:val="bottom"/>
          </w:tcPr>
          <w:p>
            <w:pPr>
              <w:spacing w:after="0"/>
              <w:rPr>
                <w:sz w:val="14"/>
                <w:szCs w:val="14"/>
                <w:color w:val="auto"/>
              </w:rPr>
            </w:pPr>
          </w:p>
        </w:tc>
        <w:tc>
          <w:tcPr>
            <w:tcW w:w="10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4"/>
              </w:rPr>
              <w:t>Assessments</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Fatalities (#)</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Section 104(e)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(yes/no)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7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ind w:left="20"/>
              <w:spacing w:after="0" w:line="157" w:lineRule="exact"/>
              <w:rPr>
                <w:sz w:val="20"/>
                <w:szCs w:val="20"/>
                <w:color w:val="auto"/>
              </w:rPr>
            </w:pPr>
            <w:r>
              <w:rPr>
                <w:rFonts w:ascii="Arial" w:cs="Arial" w:eastAsia="Arial" w:hAnsi="Arial"/>
                <w:sz w:val="14"/>
                <w:szCs w:val="14"/>
                <w:color w:val="auto"/>
              </w:rPr>
              <w:t>Wyodak Coal Mine</w:t>
            </w: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20"/>
              <w:spacing w:after="0"/>
              <w:rPr>
                <w:sz w:val="20"/>
                <w:szCs w:val="20"/>
                <w:color w:val="auto"/>
              </w:rPr>
            </w:pPr>
            <w:r>
              <w:rPr>
                <w:rFonts w:ascii="Arial" w:cs="Arial" w:eastAsia="Arial" w:hAnsi="Arial"/>
                <w:sz w:val="14"/>
                <w:szCs w:val="14"/>
                <w:color w:val="auto"/>
              </w:rPr>
              <w:t>- 4800083</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232</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Pr>
          <w:p>
            <w:pPr>
              <w:ind w:left="540"/>
              <w:spacing w:after="0"/>
              <w:rPr>
                <w:sz w:val="20"/>
                <w:szCs w:val="20"/>
                <w:color w:val="auto"/>
              </w:rPr>
            </w:pPr>
            <w:r>
              <w:rPr>
                <w:rFonts w:ascii="Arial" w:cs="Arial" w:eastAsia="Arial" w:hAnsi="Arial"/>
                <w:sz w:val="14"/>
                <w:szCs w:val="14"/>
                <w:color w:val="auto"/>
              </w:rPr>
              <w:t>—</w:t>
            </w:r>
          </w:p>
        </w:tc>
        <w:tc>
          <w:tcPr>
            <w:tcW w:w="760" w:type="dxa"/>
            <w:vAlign w:val="bottom"/>
          </w:tcPr>
          <w:p>
            <w:pPr>
              <w:ind w:left="500"/>
              <w:spacing w:after="0"/>
              <w:rPr>
                <w:sz w:val="20"/>
                <w:szCs w:val="20"/>
                <w:color w:val="auto"/>
              </w:rPr>
            </w:pPr>
            <w:r>
              <w:rPr>
                <w:rFonts w:ascii="Arial" w:cs="Arial" w:eastAsia="Arial" w:hAnsi="Arial"/>
                <w:sz w:val="14"/>
                <w:szCs w:val="14"/>
                <w:color w:val="auto"/>
              </w:rPr>
              <w:t>—</w:t>
            </w:r>
          </w:p>
        </w:tc>
        <w:tc>
          <w:tcPr>
            <w:tcW w:w="76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21" w:lineRule="exact"/>
        <w:rPr>
          <w:sz w:val="20"/>
          <w:szCs w:val="20"/>
          <w:color w:val="auto"/>
        </w:rPr>
      </w:pPr>
    </w:p>
    <w:p>
      <w:pPr>
        <w:ind w:left="340" w:right="180" w:hanging="332"/>
        <w:spacing w:after="0" w:line="254"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x"/>
      <w:numFmt w:val="bullet"/>
      <w:start w:val="1"/>
    </w:lvl>
  </w:abstractNum>
  <w:abstractNum w:abstractNumId="1">
    <w:nsid w:val="2901D82"/>
    <w:multiLevelType w:val="hybridMultilevel"/>
    <w:lvl w:ilvl="0">
      <w:lvlJc w:val="left"/>
      <w:lvlText w:val="o"/>
      <w:numFmt w:val="bullet"/>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1)"/>
      <w:numFmt w:val="lowerLetter"/>
      <w:start w:val="1"/>
    </w:lvl>
  </w:abstractNum>
  <w:abstractNum w:abstractNumId="4">
    <w:nsid w:val="1E7FF521"/>
    <w:multiLevelType w:val="hybridMultilevel"/>
    <w:lvl w:ilvl="0">
      <w:lvlJc w:val="left"/>
      <w:lvlText w:val="(%1)"/>
      <w:numFmt w:val="lowerLetter"/>
      <w:start w:val="1"/>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1)"/>
      <w:numFmt w:val="lowerLetter"/>
      <w:start w:val="1"/>
    </w:lvl>
  </w:abstractNum>
  <w:abstractNum w:abstractNumId="8">
    <w:nsid w:val="22221A70"/>
    <w:multiLevelType w:val="hybridMultilevel"/>
    <w:lvl w:ilvl="0">
      <w:lvlJc w:val="left"/>
      <w:lvlText w:val="(%1)"/>
      <w:numFmt w:val="decimal"/>
      <w:start w:val="1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emdash "/>
      <w:numFmt w:val="bullet"/>
      <w:start w:val="1"/>
    </w:lvl>
  </w:abstractNum>
  <w:abstractNum w:abstractNumId="13">
    <w:nsid w:val="5577F8E1"/>
    <w:multiLevelType w:val="hybridMultilevel"/>
    <w:lvl w:ilvl="0">
      <w:lvlJc w:val="left"/>
      <w:lvlText w:val="\emdash "/>
      <w:numFmt w:val="bullet"/>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decimal"/>
      <w:start w:val="13"/>
    </w:lvl>
  </w:abstractNum>
  <w:abstractNum w:abstractNumId="16">
    <w:nsid w:val="3804823E"/>
    <w:multiLevelType w:val="hybridMultilevel"/>
    <w:lvl w:ilvl="0">
      <w:lvlJc w:val="left"/>
      <w:lvlText w:val="(%1)"/>
      <w:numFmt w:val="decimal"/>
      <w:start w:val="15"/>
    </w:lvl>
  </w:abstractNum>
  <w:abstractNum w:abstractNumId="17">
    <w:nsid w:val="77465F01"/>
    <w:multiLevelType w:val="hybridMultilevel"/>
    <w:lvl w:ilvl="0">
      <w:lvlJc w:val="left"/>
      <w:lvlText w:val="(%1)"/>
      <w:numFmt w:val="decimal"/>
      <w:start w:val="17"/>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1)"/>
      <w:numFmt w:val="lowerLetter"/>
      <w:start w:val="1"/>
    </w:lvl>
  </w:abstractNum>
  <w:abstractNum w:abstractNumId="20">
    <w:nsid w:val="2463B9EA"/>
    <w:multiLevelType w:val="hybridMultilevel"/>
    <w:lvl w:ilvl="0">
      <w:lvlJc w:val="left"/>
      <w:lvlText w:val="(%1)"/>
      <w:numFmt w:val="decimal"/>
      <w:start w:val="20"/>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lowerLetter"/>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lowerLetter"/>
      <w:start w:val="1"/>
    </w:lvl>
    <w:lvl w:ilvl="1">
      <w:lvlJc w:val="left"/>
      <w:lvlText w:val="(%2)"/>
      <w:numFmt w:val="lowerLetter"/>
      <w:start w:val="3"/>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1)"/>
      <w:numFmt w:val="lowerLetter"/>
      <w:start w:val="1"/>
    </w:lvl>
  </w:abstractNum>
  <w:abstractNum w:abstractNumId="35">
    <w:nsid w:val="4B588F54"/>
    <w:multiLevelType w:val="hybridMultilevel"/>
    <w:lvl w:ilvl="0">
      <w:lvlJc w:val="left"/>
      <w:lvlText w:val="(%1)"/>
      <w:numFmt w:val="lowerLetter"/>
      <w:start w:val="1"/>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
      <w:numFmt w:val="bullet"/>
      <w:start w:val="1"/>
    </w:lvl>
    <w:lvl w:ilvl="1">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lowerRoman"/>
      <w:start w:val="2"/>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decimal"/>
      <w:start w:val="1"/>
    </w:lvl>
    <w:lvl w:ilvl="1">
      <w:lvlJc w:val="left"/>
      <w:lvlText w:val="%2)"/>
      <w:numFmt w:val="lowerLetter"/>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78" Type="http://schemas.openxmlformats.org/officeDocument/2006/relationships/hyperlink" Target="http://www.sec.gov/Archives/edgar/data/1130464/000113046416000176/bkhex-221stamdpurchasesale.htm" TargetMode="External"/><Relationship Id="rId79" Type="http://schemas.openxmlformats.org/officeDocument/2006/relationships/hyperlink" Target="http://www.sec.gov/Archives/edgar/data/1130464/000113046415000133/ex22optionagreement.htm" TargetMode="External"/><Relationship Id="rId80" Type="http://schemas.openxmlformats.org/officeDocument/2006/relationships/hyperlink" Target="http://www.sec.gov/Archives/edgar/data/1130464/000113046415000133/ex23guaranty.htm" TargetMode="External"/><Relationship Id="rId81" Type="http://schemas.openxmlformats.org/officeDocument/2006/relationships/hyperlink" Target="http://www.sec.gov/Archives/edgar/data/1130464/000113046405000116/form10k-ex3_1.htm" TargetMode="External"/><Relationship Id="rId82" Type="http://schemas.openxmlformats.org/officeDocument/2006/relationships/hyperlink" Target="http://www.sec.gov/Archives/edgar/data/1130464/000113046417000016/bkhexh3-amdrestatedbylawso.htm" TargetMode="External"/><Relationship Id="rId83" Type="http://schemas.openxmlformats.org/officeDocument/2006/relationships/hyperlink" Target="http://www.sec.gov/Archives/edgar/data/1130464/000110465916140657/a16-17027_1ex4d1.htm" TargetMode="External"/><Relationship Id="rId84" Type="http://schemas.openxmlformats.org/officeDocument/2006/relationships/hyperlink" Target="http://www.sec.gov/Archives/edgar/data/12400/000113046414000164/ex_10-1thirdsuppindentureb.htm" TargetMode="External"/><Relationship Id="rId85" Type="http://schemas.openxmlformats.org/officeDocument/2006/relationships/hyperlink" Target="http://www.sec.gov/Archives/edgar/data/12400/000113046414000164/ex_10-4clfpsupplementalind.htm" TargetMode="External"/><Relationship Id="rId86" Type="http://schemas.openxmlformats.org/officeDocument/2006/relationships/hyperlink" Target="http://www.sec.gov/Archives/edgar/data/1130464/000110465915080657/a15-22831_8ex4d2.htm" TargetMode="External"/><Relationship Id="rId87" Type="http://schemas.openxmlformats.org/officeDocument/2006/relationships/hyperlink" Target="http://www.sec.gov/Archives/edgar/data/1130464/000110465915080657/a15-22831_8ex4d4.htm" TargetMode="External"/><Relationship Id="rId88" Type="http://schemas.openxmlformats.org/officeDocument/2006/relationships/hyperlink" Target="http://www.sec.gov/Archives/edgar/data/1130464/000110465916106340/a16-6696_1ex10d1.htm" TargetMode="External"/><Relationship Id="rId89" Type="http://schemas.openxmlformats.org/officeDocument/2006/relationships/hyperlink" Target="http://www.sec.gov/Archives/edgar/data/1130464/000001240001000024/0000012400-01-000024-000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2020-01-18T17:40:03Z</dcterms:created>
  <dcterms:modified xsi:type="dcterms:W3CDTF">2020-01-18T17:40:03Z</dcterms:modified>
</cp:coreProperties>
</file>