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52" w:lineRule="exact"/>
        <w:rPr>
          <w:sz w:val="24"/>
          <w:szCs w:val="24"/>
          <w:color w:val="auto"/>
        </w:rPr>
      </w:pPr>
    </w:p>
    <w:p>
      <w:pPr>
        <w:jc w:val="center"/>
        <w:ind w:left="4000" w:right="1180" w:hanging="2819"/>
        <w:spacing w:after="0" w:line="258" w:lineRule="auto"/>
        <w:tabs>
          <w:tab w:leader="none" w:pos="1388"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2020</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jc w:val="center"/>
        <w:ind w:left="3500" w:right="1160" w:hanging="2326"/>
        <w:spacing w:after="0" w:line="260" w:lineRule="auto"/>
        <w:tabs>
          <w:tab w:leader="none" w:pos="13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 to __________.</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001-31303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South Dakota IRS Identification Number 46-0458824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7001 Mount Rushmore Road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Rapid City, South Dakota 57702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(605) 721-1700</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4" w:lineRule="exact"/>
        <w:rPr>
          <w:sz w:val="24"/>
          <w:szCs w:val="24"/>
          <w:color w:val="auto"/>
        </w:rPr>
      </w:pPr>
    </w:p>
    <w:p>
      <w:pPr>
        <w:ind w:right="240"/>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ind w:right="30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3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440" w:type="dxa"/>
        <w:tblCellMar>
          <w:top w:w="0" w:type="dxa"/>
          <w:left w:w="0" w:type="dxa"/>
          <w:bottom w:w="0" w:type="dxa"/>
          <w:right w:w="0" w:type="dxa"/>
        </w:tblCellMar>
      </w:tblPr>
      <w:tr>
        <w:trPr>
          <w:trHeight w:val="338"/>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ind w:left="500"/>
              <w:spacing w:after="0"/>
              <w:rPr>
                <w:sz w:val="20"/>
                <w:szCs w:val="20"/>
                <w:color w:val="auto"/>
              </w:rPr>
            </w:pPr>
            <w:r>
              <w:rPr>
                <w:rFonts w:ascii="Arial" w:cs="Arial" w:eastAsia="Arial" w:hAnsi="Arial"/>
                <w:sz w:val="18"/>
                <w:szCs w:val="18"/>
                <w:color w:val="auto"/>
              </w:rPr>
              <w:t>x</w:t>
            </w:r>
          </w:p>
        </w:tc>
        <w:tc>
          <w:tcPr>
            <w:tcW w:w="26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05"/>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260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05"/>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30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234" w:right="339" w:bottom="1440" w:gutter="0" w:footer="0" w:header="0"/>
        </w:sectPr>
      </w:pPr>
    </w:p>
    <w:p>
      <w:pPr>
        <w:spacing w:after="0" w:line="63" w:lineRule="exact"/>
        <w:rPr>
          <w:sz w:val="24"/>
          <w:szCs w:val="24"/>
          <w:color w:val="auto"/>
        </w:rPr>
      </w:pPr>
    </w:p>
    <w:p>
      <w:pPr>
        <w:ind w:left="24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320" w:space="720"/>
            <w:col w:w="1460" w:space="720"/>
            <w:col w:w="4020"/>
          </w:cols>
          <w:pgMar w:left="320" w:top="234"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22" w:lineRule="exact"/>
        <w:rPr>
          <w:sz w:val="24"/>
          <w:szCs w:val="24"/>
          <w:color w:val="auto"/>
        </w:rPr>
      </w:pPr>
    </w:p>
    <w:p>
      <w:pPr>
        <w:sectPr>
          <w:pgSz w:w="11900" w:h="16838" w:orient="portrait"/>
          <w:cols w:equalWidth="0" w:num="3">
            <w:col w:w="4800" w:space="720"/>
            <w:col w:w="1620" w:space="720"/>
            <w:col w:w="3380"/>
          </w:cols>
          <w:pgMar w:left="320" w:top="234" w:right="339" w:bottom="1440" w:gutter="0" w:footer="0" w:header="0"/>
          <w:type w:val="continuous"/>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jc w:val="center"/>
              <w:ind w:left="2410"/>
              <w:spacing w:after="0"/>
              <w:rPr>
                <w:sz w:val="20"/>
                <w:szCs w:val="20"/>
                <w:color w:val="auto"/>
              </w:rPr>
            </w:pPr>
            <w:r>
              <w:rPr>
                <w:rFonts w:ascii="Arial" w:cs="Arial" w:eastAsia="Arial" w:hAnsi="Arial"/>
                <w:sz w:val="18"/>
                <w:szCs w:val="18"/>
                <w:color w:val="auto"/>
                <w:w w:val="84"/>
              </w:rPr>
              <w:t>Class</w:t>
            </w:r>
          </w:p>
        </w:tc>
        <w:tc>
          <w:tcPr>
            <w:tcW w:w="5440" w:type="dxa"/>
            <w:vAlign w:val="bottom"/>
          </w:tcPr>
          <w:p>
            <w:pPr>
              <w:ind w:left="500"/>
              <w:spacing w:after="0"/>
              <w:rPr>
                <w:sz w:val="20"/>
                <w:szCs w:val="20"/>
                <w:color w:val="auto"/>
              </w:rPr>
            </w:pPr>
            <w:r>
              <w:rPr>
                <w:rFonts w:ascii="Arial" w:cs="Arial" w:eastAsia="Arial" w:hAnsi="Arial"/>
                <w:sz w:val="18"/>
                <w:szCs w:val="18"/>
                <w:color w:val="auto"/>
              </w:rPr>
              <w:t>Outstanding at July 31, 2020</w:t>
            </w:r>
          </w:p>
        </w:tc>
      </w:tr>
      <w:tr>
        <w:trPr>
          <w:trHeight w:val="270"/>
        </w:trPr>
        <w:tc>
          <w:tcPr>
            <w:tcW w:w="5800" w:type="dxa"/>
            <w:vAlign w:val="bottom"/>
          </w:tcPr>
          <w:p>
            <w:pPr>
              <w:jc w:val="center"/>
              <w:ind w:left="2410"/>
              <w:spacing w:after="0"/>
              <w:rPr>
                <w:sz w:val="20"/>
                <w:szCs w:val="20"/>
                <w:color w:val="auto"/>
              </w:rPr>
            </w:pPr>
            <w:r>
              <w:rPr>
                <w:rFonts w:ascii="Arial" w:cs="Arial" w:eastAsia="Arial" w:hAnsi="Arial"/>
                <w:sz w:val="18"/>
                <w:szCs w:val="18"/>
                <w:color w:val="auto"/>
                <w:w w:val="90"/>
              </w:rPr>
              <w:t>Common stock, $1.00 par value</w:t>
            </w:r>
          </w:p>
        </w:tc>
        <w:tc>
          <w:tcPr>
            <w:tcW w:w="5440" w:type="dxa"/>
            <w:vAlign w:val="bottom"/>
          </w:tcPr>
          <w:p>
            <w:pPr>
              <w:ind w:left="580"/>
              <w:spacing w:after="0"/>
              <w:rPr>
                <w:sz w:val="20"/>
                <w:szCs w:val="20"/>
                <w:color w:val="auto"/>
              </w:rPr>
            </w:pPr>
            <w:r>
              <w:rPr>
                <w:rFonts w:ascii="Arial" w:cs="Arial" w:eastAsia="Arial" w:hAnsi="Arial"/>
                <w:sz w:val="18"/>
                <w:szCs w:val="18"/>
                <w:color w:val="auto"/>
              </w:rPr>
              <w:t>62,745,335  shares</w:t>
            </w:r>
          </w:p>
        </w:tc>
      </w:tr>
      <w:tr>
        <w:trPr>
          <w:trHeight w:val="1047"/>
        </w:trPr>
        <w:tc>
          <w:tcPr>
            <w:tcW w:w="580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72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8720" w:type="dxa"/>
            <w:vAlign w:val="bottom"/>
          </w:tcPr>
          <w:p>
            <w:pPr>
              <w:spacing w:after="0"/>
              <w:rPr>
                <w:sz w:val="23"/>
                <w:szCs w:val="23"/>
                <w:color w:val="auto"/>
              </w:rPr>
            </w:pPr>
          </w:p>
        </w:tc>
        <w:tc>
          <w:tcPr>
            <w:tcW w:w="1500" w:type="dxa"/>
            <w:vAlign w:val="bottom"/>
          </w:tcPr>
          <w:p>
            <w:pPr>
              <w:ind w:left="5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9680" w:type="dxa"/>
            <w:vAlign w:val="bottom"/>
            <w:gridSpan w:val="2"/>
            <w:vMerge w:val="restart"/>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Glossary of Terms and Abbreviations</w:t>
              </w:r>
            </w:hyperlink>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9680" w:type="dxa"/>
            <w:vAlign w:val="bottom"/>
            <w:gridSpan w:val="2"/>
            <w:vMerge w:val="continue"/>
          </w:tcPr>
          <w:p>
            <w:pPr>
              <w:spacing w:after="0"/>
              <w:rPr>
                <w:sz w:val="19"/>
                <w:szCs w:val="19"/>
                <w:color w:val="auto"/>
              </w:rPr>
            </w:pPr>
          </w:p>
        </w:tc>
        <w:tc>
          <w:tcPr>
            <w:tcW w:w="150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c>
          <w:tcPr>
            <w:tcW w:w="0" w:type="dxa"/>
            <w:vAlign w:val="bottom"/>
          </w:tcPr>
          <w:p>
            <w:pPr>
              <w:spacing w:after="0"/>
              <w:rPr>
                <w:sz w:val="1"/>
                <w:szCs w:val="1"/>
                <w:color w:val="auto"/>
              </w:rPr>
            </w:pPr>
          </w:p>
        </w:tc>
      </w:tr>
      <w:tr>
        <w:trPr>
          <w:trHeight w:val="391"/>
        </w:trPr>
        <w:tc>
          <w:tcPr>
            <w:tcW w:w="9680" w:type="dxa"/>
            <w:vAlign w:val="bottom"/>
            <w:gridSpan w:val="2"/>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PART I. FINANCIAL INFORMATION</w:t>
              </w:r>
            </w:hyperlink>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8720" w:type="dxa"/>
            <w:vAlign w:val="bottom"/>
          </w:tcPr>
          <w:p>
            <w:pPr>
              <w:ind w:left="4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Financial Statements - unaudited</w:t>
              </w:r>
            </w:hyperlink>
          </w:p>
        </w:tc>
        <w:tc>
          <w:tcPr>
            <w:tcW w:w="150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7</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5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Income</w:t>
              </w:r>
            </w:hyperlink>
          </w:p>
        </w:tc>
        <w:tc>
          <w:tcPr>
            <w:tcW w:w="150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7</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5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Comprehensive Income</w:t>
              </w:r>
            </w:hyperlink>
          </w:p>
        </w:tc>
        <w:tc>
          <w:tcPr>
            <w:tcW w:w="150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5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Balance Sheets</w:t>
              </w:r>
            </w:hyperlink>
          </w:p>
        </w:tc>
        <w:tc>
          <w:tcPr>
            <w:tcW w:w="150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58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Condensed Consolidated Statements of Cash Flows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10">
              <w:r>
                <w:rPr>
                  <w:rFonts w:ascii="Arial" w:cs="Arial" w:eastAsia="Arial" w:hAnsi="Arial"/>
                  <w:sz w:val="18"/>
                  <w:szCs w:val="18"/>
                  <w:u w:val="single" w:color="auto"/>
                  <w:color w:val="0000FF"/>
                  <w:w w:val="89"/>
                </w:rPr>
                <w:t>11</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58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Condensed Consolidated Statements of Equity</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11">
              <w:r>
                <w:rPr>
                  <w:rFonts w:ascii="Arial" w:cs="Arial" w:eastAsia="Arial" w:hAnsi="Arial"/>
                  <w:sz w:val="18"/>
                  <w:szCs w:val="18"/>
                  <w:u w:val="single" w:color="auto"/>
                  <w:color w:val="0000FF"/>
                  <w:w w:val="89"/>
                </w:rPr>
                <w:t>12</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58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Notes to Condensed Consolidated Financial Statements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13">
              <w:r>
                <w:rPr>
                  <w:rFonts w:ascii="Arial" w:cs="Arial" w:eastAsia="Arial" w:hAnsi="Arial"/>
                  <w:sz w:val="18"/>
                  <w:szCs w:val="18"/>
                  <w:u w:val="single" w:color="auto"/>
                  <w:color w:val="0000FF"/>
                  <w:w w:val="89"/>
                </w:rPr>
                <w:t>13</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Note 1. Management’s Statement</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13">
              <w:r>
                <w:rPr>
                  <w:rFonts w:ascii="Arial" w:cs="Arial" w:eastAsia="Arial" w:hAnsi="Arial"/>
                  <w:sz w:val="18"/>
                  <w:szCs w:val="18"/>
                  <w:u w:val="single" w:color="auto"/>
                  <w:color w:val="0000FF"/>
                  <w:w w:val="89"/>
                </w:rPr>
                <w:t>13</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Note 2. Revenue</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15">
              <w:r>
                <w:rPr>
                  <w:rFonts w:ascii="Arial" w:cs="Arial" w:eastAsia="Arial" w:hAnsi="Arial"/>
                  <w:sz w:val="18"/>
                  <w:szCs w:val="18"/>
                  <w:u w:val="single" w:color="auto"/>
                  <w:color w:val="0000FF"/>
                  <w:w w:val="89"/>
                </w:rPr>
                <w:t>15</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Note 3. Business Segment Information</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17</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Note 4. Selected Balance Sheet Information</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19</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Note 5. Regulatory Matters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21</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Note 6. Earnings Per Share</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23</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Note 7. Notes Payable, Current Maturities and Debt</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23</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Note 8. Equity</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24</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Note 9. Risk Management and Derivatives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25</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Note 10. Fair Value Measurements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28</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Note 11. Other Comprehensive Income (Loss)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31</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Note 12. Employee Benefit Plans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32</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Note 13. Commitments and Contingencies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34</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Note 14. Income Taxes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34</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Note 15. Investments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35</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8720" w:type="dxa"/>
            <w:vAlign w:val="bottom"/>
          </w:tcPr>
          <w:p>
            <w:pPr>
              <w:ind w:left="6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Note 16. Subsequent Events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860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8600" w:type="dxa"/>
            <w:vAlign w:val="bottom"/>
          </w:tcPr>
          <w:p>
            <w:pPr>
              <w:spacing w:after="0"/>
              <w:rPr>
                <w:sz w:val="23"/>
                <w:szCs w:val="23"/>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7"/>
        </w:trPr>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Item 2.</w:t>
            </w:r>
          </w:p>
        </w:tc>
        <w:tc>
          <w:tcPr>
            <w:tcW w:w="86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120" w:type="dxa"/>
            <w:vAlign w:val="bottom"/>
            <w:vMerge w:val="continue"/>
          </w:tcPr>
          <w:p>
            <w:pPr>
              <w:spacing w:after="0"/>
              <w:rPr>
                <w:sz w:val="21"/>
                <w:szCs w:val="21"/>
                <w:color w:val="auto"/>
              </w:rPr>
            </w:pPr>
          </w:p>
        </w:tc>
        <w:tc>
          <w:tcPr>
            <w:tcW w:w="8600" w:type="dxa"/>
            <w:vAlign w:val="bottom"/>
          </w:tcPr>
          <w:p>
            <w:pPr>
              <w:ind w:left="34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Management’s Discussion and Analysis of Financial Condition and Results of Operations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46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Executive Summary</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4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Results of Operations - Consolidated Summary and Overview</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40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8600" w:type="dxa"/>
            <w:vAlign w:val="bottom"/>
          </w:tcPr>
          <w:p>
            <w:pPr>
              <w:ind w:left="6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Non-GAAP Financial Measure</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Electric Utilities Segment</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Gas Utilities Segment</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Regulatory Matters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Power Generation Segment</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50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Mining Segment</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Corporate and Other</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600" w:type="dxa"/>
            <w:vAlign w:val="bottom"/>
          </w:tcPr>
          <w:p>
            <w:pPr>
              <w:ind w:left="660"/>
              <w:spacing w:after="0" w:line="176" w:lineRule="exact"/>
              <w:rPr>
                <w:rFonts w:ascii="Arial" w:cs="Arial" w:eastAsia="Arial" w:hAnsi="Arial"/>
                <w:sz w:val="18"/>
                <w:szCs w:val="18"/>
                <w:u w:val="single" w:color="auto"/>
                <w:color w:val="0000FF"/>
                <w:w w:val="99"/>
              </w:rPr>
            </w:pPr>
            <w:hyperlink w:anchor="page52">
              <w:r>
                <w:rPr>
                  <w:rFonts w:ascii="Arial" w:cs="Arial" w:eastAsia="Arial" w:hAnsi="Arial"/>
                  <w:sz w:val="18"/>
                  <w:szCs w:val="18"/>
                  <w:u w:val="single" w:color="auto"/>
                  <w:color w:val="0000FF"/>
                  <w:w w:val="99"/>
                </w:rPr>
                <w:t>Consolidated Interest Expense, Impairment of Investment, Other Income (Expense) and Income Tax</w:t>
              </w:r>
            </w:hyperlink>
          </w:p>
        </w:tc>
        <w:tc>
          <w:tcPr>
            <w:tcW w:w="1500" w:type="dxa"/>
            <w:vAlign w:val="bottom"/>
            <w:vMerge w:val="restart"/>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(Expense)</w:t>
              </w:r>
            </w:hyperlink>
          </w:p>
        </w:tc>
        <w:tc>
          <w:tcPr>
            <w:tcW w:w="15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4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Critical Accounting Policies Involving Significant Accounting Estimates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8600" w:type="dxa"/>
            <w:vAlign w:val="bottom"/>
          </w:tcPr>
          <w:p>
            <w:pPr>
              <w:ind w:left="46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Liquidity and Capital Resources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Cash Flow Activities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Dividends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Financing Transactions and Short-Term Liquidity</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Capital Requirements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58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Contractual Obligations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66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Off-Balance Sheet Commitments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tcPr>
          <w:p>
            <w:pPr>
              <w:ind w:left="46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New Accounting Pronouncements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0" w:type="dxa"/>
            <w:vAlign w:val="bottom"/>
          </w:tcPr>
          <w:p>
            <w:pPr>
              <w:ind w:left="46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Forward-Looking Information</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59</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Arial" w:cs="Arial" w:eastAsia="Arial" w:hAnsi="Arial"/>
                <w:sz w:val="18"/>
                <w:szCs w:val="18"/>
                <w:color w:val="auto"/>
              </w:rPr>
              <w:t>Item 3.</w:t>
            </w:r>
          </w:p>
        </w:tc>
        <w:tc>
          <w:tcPr>
            <w:tcW w:w="8600" w:type="dxa"/>
            <w:vAlign w:val="bottom"/>
          </w:tcPr>
          <w:p>
            <w:pPr>
              <w:ind w:left="34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Quantitative and Qualitative Disclosures About Market Risk</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59</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Arial" w:cs="Arial" w:eastAsia="Arial" w:hAnsi="Arial"/>
                <w:sz w:val="18"/>
                <w:szCs w:val="18"/>
                <w:color w:val="auto"/>
              </w:rPr>
              <w:t>Item 4.</w:t>
            </w:r>
          </w:p>
        </w:tc>
        <w:tc>
          <w:tcPr>
            <w:tcW w:w="8600" w:type="dxa"/>
            <w:vAlign w:val="bottom"/>
          </w:tcPr>
          <w:p>
            <w:pPr>
              <w:ind w:left="34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Controls and Procedures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60</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9720" w:type="dxa"/>
            <w:vAlign w:val="bottom"/>
            <w:gridSpan w:val="2"/>
          </w:tcPr>
          <w:p>
            <w:pPr>
              <w:ind w:left="4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PART II. OTHER INFORMATION</w:t>
              </w:r>
            </w:hyperlink>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Arial" w:cs="Arial" w:eastAsia="Arial" w:hAnsi="Arial"/>
                <w:sz w:val="18"/>
                <w:szCs w:val="18"/>
                <w:color w:val="auto"/>
              </w:rPr>
              <w:t>Item 1.</w:t>
            </w:r>
          </w:p>
        </w:tc>
        <w:tc>
          <w:tcPr>
            <w:tcW w:w="8600" w:type="dxa"/>
            <w:vAlign w:val="bottom"/>
          </w:tcPr>
          <w:p>
            <w:pPr>
              <w:ind w:left="3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Legal Proceedings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60</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Arial" w:cs="Arial" w:eastAsia="Arial" w:hAnsi="Arial"/>
                <w:sz w:val="18"/>
                <w:szCs w:val="18"/>
                <w:color w:val="auto"/>
              </w:rPr>
              <w:t>Item 1A.</w:t>
            </w:r>
          </w:p>
        </w:tc>
        <w:tc>
          <w:tcPr>
            <w:tcW w:w="8600" w:type="dxa"/>
            <w:vAlign w:val="bottom"/>
          </w:tcPr>
          <w:p>
            <w:pPr>
              <w:ind w:left="3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Risk Factors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60</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Arial" w:cs="Arial" w:eastAsia="Arial" w:hAnsi="Arial"/>
                <w:sz w:val="18"/>
                <w:szCs w:val="18"/>
                <w:color w:val="auto"/>
              </w:rPr>
              <w:t>Item 4.</w:t>
            </w:r>
          </w:p>
        </w:tc>
        <w:tc>
          <w:tcPr>
            <w:tcW w:w="8600" w:type="dxa"/>
            <w:vAlign w:val="bottom"/>
          </w:tcPr>
          <w:p>
            <w:pPr>
              <w:ind w:left="34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Mine Safety Disclosures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61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Arial" w:cs="Arial" w:eastAsia="Arial" w:hAnsi="Arial"/>
                <w:sz w:val="18"/>
                <w:szCs w:val="18"/>
                <w:color w:val="auto"/>
              </w:rPr>
              <w:t>Item 6.</w:t>
            </w:r>
          </w:p>
        </w:tc>
        <w:tc>
          <w:tcPr>
            <w:tcW w:w="8600" w:type="dxa"/>
            <w:vAlign w:val="bottom"/>
          </w:tcPr>
          <w:p>
            <w:pPr>
              <w:ind w:left="34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Exhibits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61</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1120" w:type="dxa"/>
            <w:vAlign w:val="bottom"/>
          </w:tcPr>
          <w:p>
            <w:pPr>
              <w:ind w:left="4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Signatures</w:t>
              </w:r>
            </w:hyperlink>
          </w:p>
        </w:tc>
        <w:tc>
          <w:tcPr>
            <w:tcW w:w="8600" w:type="dxa"/>
            <w:vAlign w:val="bottom"/>
          </w:tcPr>
          <w:p>
            <w:pPr>
              <w:spacing w:after="0"/>
              <w:rPr>
                <w:sz w:val="24"/>
                <w:szCs w:val="24"/>
                <w:color w:val="auto"/>
              </w:rPr>
            </w:pPr>
          </w:p>
        </w:tc>
        <w:tc>
          <w:tcPr>
            <w:tcW w:w="1500" w:type="dxa"/>
            <w:vAlign w:val="bottom"/>
          </w:tcPr>
          <w:p>
            <w:pPr>
              <w:jc w:val="center"/>
              <w:spacing w:after="0"/>
              <w:rPr>
                <w:rFonts w:ascii="Arial" w:cs="Arial" w:eastAsia="Arial" w:hAnsi="Arial"/>
                <w:sz w:val="18"/>
                <w:szCs w:val="18"/>
                <w:u w:val="single" w:color="auto"/>
                <w:color w:val="0000FF"/>
                <w:w w:val="89"/>
              </w:rPr>
            </w:pPr>
            <w:hyperlink w:anchor="page62">
              <w:r>
                <w:rPr>
                  <w:rFonts w:ascii="Arial" w:cs="Arial" w:eastAsia="Arial" w:hAnsi="Arial"/>
                  <w:sz w:val="18"/>
                  <w:szCs w:val="18"/>
                  <w:u w:val="single" w:color="auto"/>
                  <w:color w:val="0000FF"/>
                  <w:w w:val="89"/>
                </w:rPr>
                <w:t>63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1120" w:type="dxa"/>
            <w:vAlign w:val="bottom"/>
          </w:tcPr>
          <w:p>
            <w:pPr>
              <w:spacing w:after="0"/>
              <w:rPr>
                <w:sz w:val="24"/>
                <w:szCs w:val="24"/>
                <w:color w:val="auto"/>
              </w:rPr>
            </w:pPr>
          </w:p>
        </w:tc>
        <w:tc>
          <w:tcPr>
            <w:tcW w:w="8600" w:type="dxa"/>
            <w:vAlign w:val="bottom"/>
          </w:tcPr>
          <w:p>
            <w:pPr>
              <w:ind w:left="4460"/>
              <w:spacing w:after="0"/>
              <w:rPr>
                <w:sz w:val="20"/>
                <w:szCs w:val="20"/>
                <w:color w:val="auto"/>
              </w:rPr>
            </w:pPr>
            <w:r>
              <w:rPr>
                <w:rFonts w:ascii="Arial" w:cs="Arial" w:eastAsia="Arial" w:hAnsi="Arial"/>
                <w:sz w:val="18"/>
                <w:szCs w:val="18"/>
                <w:color w:val="auto"/>
              </w:rPr>
              <w:t>3</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2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 AND ABBREVIATIONS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abbreviations appear in the text of this report and have the definitions described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60" w:type="dxa"/>
            <w:vAlign w:val="bottom"/>
            <w:shd w:val="clear" w:color="auto" w:fill="CEFFE7"/>
          </w:tcPr>
          <w:p>
            <w:pPr>
              <w:ind w:left="20"/>
              <w:spacing w:after="0"/>
              <w:rPr>
                <w:sz w:val="20"/>
                <w:szCs w:val="20"/>
                <w:color w:val="auto"/>
              </w:rPr>
            </w:pPr>
            <w:r>
              <w:rPr>
                <w:rFonts w:ascii="Arial" w:cs="Arial" w:eastAsia="Arial" w:hAnsi="Arial"/>
                <w:sz w:val="18"/>
                <w:szCs w:val="18"/>
                <w:color w:val="auto"/>
              </w:rPr>
              <w:t>AFUDC</w:t>
            </w: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rPr>
              <w:t>Allowance for Funds Used During Construction</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AOCI</w:t>
            </w:r>
          </w:p>
        </w:tc>
        <w:tc>
          <w:tcPr>
            <w:tcW w:w="848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(Loss)</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2760" w:type="dxa"/>
            <w:vAlign w:val="bottom"/>
            <w:shd w:val="clear" w:color="auto" w:fill="CEFFE7"/>
          </w:tcPr>
          <w:p>
            <w:pPr>
              <w:ind w:left="20"/>
              <w:spacing w:after="0"/>
              <w:rPr>
                <w:sz w:val="20"/>
                <w:szCs w:val="20"/>
                <w:color w:val="auto"/>
              </w:rPr>
            </w:pPr>
            <w:r>
              <w:rPr>
                <w:rFonts w:ascii="Arial" w:cs="Arial" w:eastAsia="Arial" w:hAnsi="Arial"/>
                <w:sz w:val="18"/>
                <w:szCs w:val="18"/>
                <w:color w:val="auto"/>
              </w:rPr>
              <w:t>Arkansas Gas</w:t>
            </w: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w w:val="97"/>
              </w:rPr>
              <w:t>Black Hills Energy Arkansas, Inc., a direct, wholly-owned subsidiary of Black Hills Utility Holdings, providing</w:t>
            </w:r>
          </w:p>
        </w:tc>
      </w:tr>
      <w:tr>
        <w:trPr>
          <w:trHeight w:val="237"/>
        </w:trPr>
        <w:tc>
          <w:tcPr>
            <w:tcW w:w="2760" w:type="dxa"/>
            <w:vAlign w:val="bottom"/>
            <w:tcBorders>
              <w:bottom w:val="single" w:sz="8" w:color="CEFFE7"/>
            </w:tcBorders>
            <w:shd w:val="clear" w:color="auto" w:fill="CEFFE7"/>
          </w:tcPr>
          <w:p>
            <w:pPr>
              <w:spacing w:after="0"/>
              <w:rPr>
                <w:sz w:val="20"/>
                <w:szCs w:val="20"/>
                <w:color w:val="auto"/>
              </w:rPr>
            </w:pP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natural gas services to customers in Arkansas (doing business as Black Hills Energy).</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ASC</w:t>
            </w:r>
          </w:p>
        </w:tc>
        <w:tc>
          <w:tcPr>
            <w:tcW w:w="8480" w:type="dxa"/>
            <w:vAlign w:val="bottom"/>
          </w:tcPr>
          <w:p>
            <w:pPr>
              <w:ind w:left="120"/>
              <w:spacing w:after="0"/>
              <w:rPr>
                <w:sz w:val="20"/>
                <w:szCs w:val="20"/>
                <w:color w:val="auto"/>
              </w:rPr>
            </w:pPr>
            <w:r>
              <w:rPr>
                <w:rFonts w:ascii="Arial" w:cs="Arial" w:eastAsia="Arial" w:hAnsi="Arial"/>
                <w:sz w:val="18"/>
                <w:szCs w:val="18"/>
                <w:color w:val="auto"/>
              </w:rPr>
              <w:t>Accounting Standards Codification</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ASU</w:t>
            </w: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Accounting Standards Update issued by the FASB</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ATM</w:t>
            </w:r>
          </w:p>
        </w:tc>
        <w:tc>
          <w:tcPr>
            <w:tcW w:w="8480" w:type="dxa"/>
            <w:vAlign w:val="bottom"/>
          </w:tcPr>
          <w:p>
            <w:pPr>
              <w:ind w:left="120"/>
              <w:spacing w:after="0"/>
              <w:rPr>
                <w:sz w:val="20"/>
                <w:szCs w:val="20"/>
                <w:color w:val="auto"/>
              </w:rPr>
            </w:pPr>
            <w:r>
              <w:rPr>
                <w:rFonts w:ascii="Arial" w:cs="Arial" w:eastAsia="Arial" w:hAnsi="Arial"/>
                <w:sz w:val="18"/>
                <w:szCs w:val="18"/>
                <w:color w:val="auto"/>
              </w:rPr>
              <w:t>At-the-market equity offering program</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Availability</w:t>
            </w: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The availability factor of a power plant is the percentage of the time that it is available to provide energy.</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BHC</w:t>
            </w:r>
          </w:p>
        </w:tc>
        <w:tc>
          <w:tcPr>
            <w:tcW w:w="8480" w:type="dxa"/>
            <w:vAlign w:val="bottom"/>
          </w:tcPr>
          <w:p>
            <w:pPr>
              <w:ind w:left="120"/>
              <w:spacing w:after="0"/>
              <w:rPr>
                <w:sz w:val="20"/>
                <w:szCs w:val="20"/>
                <w:color w:val="auto"/>
              </w:rPr>
            </w:pPr>
            <w:r>
              <w:rPr>
                <w:rFonts w:ascii="Arial" w:cs="Arial" w:eastAsia="Arial" w:hAnsi="Arial"/>
                <w:sz w:val="18"/>
                <w:szCs w:val="18"/>
                <w:color w:val="auto"/>
              </w:rPr>
              <w:t>Black Hills Corporation; the Company</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Colorado IPP</w:t>
            </w: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Black Hills Colorado IPP, LLC a 50.1% owned subsidiary of Black Hills Electric Generation</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Black Hills Electric Generation</w:t>
            </w:r>
          </w:p>
        </w:tc>
        <w:tc>
          <w:tcPr>
            <w:tcW w:w="8480" w:type="dxa"/>
            <w:vAlign w:val="bottom"/>
          </w:tcPr>
          <w:p>
            <w:pPr>
              <w:ind w:left="120"/>
              <w:spacing w:after="0"/>
              <w:rPr>
                <w:sz w:val="20"/>
                <w:szCs w:val="20"/>
                <w:color w:val="auto"/>
              </w:rPr>
            </w:pPr>
            <w:r>
              <w:rPr>
                <w:rFonts w:ascii="Arial" w:cs="Arial" w:eastAsia="Arial" w:hAnsi="Arial"/>
                <w:sz w:val="18"/>
                <w:szCs w:val="18"/>
                <w:color w:val="auto"/>
                <w:w w:val="96"/>
              </w:rPr>
              <w:t>Black Hills Electric Generation, LLC, a direct, wholly-owned subsidiary of Black Hills Non-regulated Holdings,</w:t>
            </w:r>
          </w:p>
        </w:tc>
      </w:tr>
      <w:tr>
        <w:trPr>
          <w:trHeight w:val="230"/>
        </w:trPr>
        <w:tc>
          <w:tcPr>
            <w:tcW w:w="276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providing wholesale electric capacity and energy primarily to our affiliate utilities.</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w:t>
            </w: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The name used to conduct the business of our utility companies</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Black Hills Energy Services</w:t>
            </w:r>
          </w:p>
        </w:tc>
        <w:tc>
          <w:tcPr>
            <w:tcW w:w="8480" w:type="dxa"/>
            <w:vAlign w:val="bottom"/>
          </w:tcPr>
          <w:p>
            <w:pPr>
              <w:ind w:left="120"/>
              <w:spacing w:after="0"/>
              <w:rPr>
                <w:sz w:val="20"/>
                <w:szCs w:val="20"/>
                <w:color w:val="auto"/>
              </w:rPr>
            </w:pPr>
            <w:r>
              <w:rPr>
                <w:rFonts w:ascii="Arial" w:cs="Arial" w:eastAsia="Arial" w:hAnsi="Arial"/>
                <w:sz w:val="18"/>
                <w:szCs w:val="18"/>
                <w:color w:val="auto"/>
                <w:w w:val="99"/>
              </w:rPr>
              <w:t>Black Hills Energy Services Company, an indirect, wholly-owned subsidiary of Black Hills Utility Holdings,</w:t>
            </w:r>
          </w:p>
        </w:tc>
      </w:tr>
      <w:tr>
        <w:trPr>
          <w:trHeight w:val="230"/>
        </w:trPr>
        <w:tc>
          <w:tcPr>
            <w:tcW w:w="276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5"/>
              </w:rPr>
              <w:t>providing natural gas commodity supply for the Choice Gas Programs (doing business as Black Hills Energy).</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w w:val="98"/>
              </w:rPr>
              <w:t>Black Hills Non-regulated Holdings</w:t>
            </w: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Black Hills Non-regulated Holdings, LLC, a direct, wholly-owned subsidiary of Black Hills Corporation</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Black Hills Power</w:t>
            </w:r>
          </w:p>
        </w:tc>
        <w:tc>
          <w:tcPr>
            <w:tcW w:w="8480" w:type="dxa"/>
            <w:vAlign w:val="bottom"/>
          </w:tcPr>
          <w:p>
            <w:pPr>
              <w:ind w:left="120"/>
              <w:spacing w:after="0"/>
              <w:rPr>
                <w:sz w:val="20"/>
                <w:szCs w:val="20"/>
                <w:color w:val="auto"/>
              </w:rPr>
            </w:pPr>
            <w:r>
              <w:rPr>
                <w:rFonts w:ascii="Arial" w:cs="Arial" w:eastAsia="Arial" w:hAnsi="Arial"/>
                <w:sz w:val="18"/>
                <w:szCs w:val="18"/>
                <w:color w:val="auto"/>
                <w:w w:val="96"/>
              </w:rPr>
              <w:t>Black Hills Power, Inc., a direct, wholly-owned subsidiary of Black Hills Corporation (doing business as Black</w:t>
            </w:r>
          </w:p>
        </w:tc>
      </w:tr>
      <w:tr>
        <w:trPr>
          <w:trHeight w:val="230"/>
        </w:trPr>
        <w:tc>
          <w:tcPr>
            <w:tcW w:w="276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Hills Energy). Also known as South Dakota Electric.</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2760" w:type="dxa"/>
            <w:vAlign w:val="bottom"/>
            <w:shd w:val="clear" w:color="auto" w:fill="CEFFE7"/>
          </w:tcPr>
          <w:p>
            <w:pPr>
              <w:ind w:left="20"/>
              <w:spacing w:after="0"/>
              <w:rPr>
                <w:sz w:val="20"/>
                <w:szCs w:val="20"/>
                <w:color w:val="auto"/>
              </w:rPr>
            </w:pPr>
            <w:r>
              <w:rPr>
                <w:rFonts w:ascii="Arial" w:cs="Arial" w:eastAsia="Arial" w:hAnsi="Arial"/>
                <w:sz w:val="18"/>
                <w:szCs w:val="18"/>
                <w:color w:val="auto"/>
              </w:rPr>
              <w:t>Black Hills Utility Holdings</w:t>
            </w: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w w:val="94"/>
              </w:rPr>
              <w:t>Black Hills Utility Holdings, Inc., a direct, wholly-owned subsidiary of Black Hills Corporation (doing business as</w:t>
            </w:r>
          </w:p>
        </w:tc>
      </w:tr>
      <w:tr>
        <w:trPr>
          <w:trHeight w:val="237"/>
        </w:trPr>
        <w:tc>
          <w:tcPr>
            <w:tcW w:w="2760" w:type="dxa"/>
            <w:vAlign w:val="bottom"/>
            <w:tcBorders>
              <w:bottom w:val="single" w:sz="8" w:color="CEFFE7"/>
            </w:tcBorders>
            <w:shd w:val="clear" w:color="auto" w:fill="CEFFE7"/>
          </w:tcPr>
          <w:p>
            <w:pPr>
              <w:spacing w:after="0"/>
              <w:rPr>
                <w:sz w:val="20"/>
                <w:szCs w:val="20"/>
                <w:color w:val="auto"/>
              </w:rPr>
            </w:pP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Black Hills Energy)</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Black Hills Wyoming</w:t>
            </w:r>
          </w:p>
        </w:tc>
        <w:tc>
          <w:tcPr>
            <w:tcW w:w="8480" w:type="dxa"/>
            <w:vAlign w:val="bottom"/>
          </w:tcPr>
          <w:p>
            <w:pPr>
              <w:ind w:left="120"/>
              <w:spacing w:after="0"/>
              <w:rPr>
                <w:sz w:val="20"/>
                <w:szCs w:val="20"/>
                <w:color w:val="auto"/>
              </w:rPr>
            </w:pPr>
            <w:r>
              <w:rPr>
                <w:rFonts w:ascii="Arial" w:cs="Arial" w:eastAsia="Arial" w:hAnsi="Arial"/>
                <w:sz w:val="18"/>
                <w:szCs w:val="18"/>
                <w:color w:val="auto"/>
              </w:rPr>
              <w:t>Black Hills Wyoming, LLC, a direct, wholly-owned subsidiary of Black Hills Electric Generation</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2760" w:type="dxa"/>
            <w:vAlign w:val="bottom"/>
            <w:shd w:val="clear" w:color="auto" w:fill="CEFFE7"/>
          </w:tcPr>
          <w:p>
            <w:pPr>
              <w:ind w:left="20"/>
              <w:spacing w:after="0"/>
              <w:rPr>
                <w:sz w:val="20"/>
                <w:szCs w:val="20"/>
                <w:color w:val="auto"/>
              </w:rPr>
            </w:pPr>
            <w:r>
              <w:rPr>
                <w:rFonts w:ascii="Arial" w:cs="Arial" w:eastAsia="Arial" w:hAnsi="Arial"/>
                <w:sz w:val="18"/>
                <w:szCs w:val="18"/>
                <w:color w:val="auto"/>
              </w:rPr>
              <w:t>CARES Act</w:t>
            </w: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w w:val="97"/>
              </w:rPr>
              <w:t>Coronavirus Aid, Relief, and Economic Security Act, signed on March 27, 2020, which is a tax and spending</w:t>
            </w:r>
          </w:p>
        </w:tc>
      </w:tr>
      <w:tr>
        <w:trPr>
          <w:trHeight w:val="237"/>
        </w:trPr>
        <w:tc>
          <w:tcPr>
            <w:tcW w:w="2760" w:type="dxa"/>
            <w:vAlign w:val="bottom"/>
            <w:tcBorders>
              <w:bottom w:val="single" w:sz="8" w:color="CEFFE7"/>
            </w:tcBorders>
            <w:shd w:val="clear" w:color="auto" w:fill="CEFFE7"/>
          </w:tcPr>
          <w:p>
            <w:pPr>
              <w:spacing w:after="0"/>
              <w:rPr>
                <w:sz w:val="20"/>
                <w:szCs w:val="20"/>
                <w:color w:val="auto"/>
              </w:rPr>
            </w:pP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w w:val="97"/>
              </w:rPr>
              <w:t>package intended to provide additional economic relief and address the impact of the COVID-19 pandemic.</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Cheyenne Light</w:t>
            </w:r>
          </w:p>
        </w:tc>
        <w:tc>
          <w:tcPr>
            <w:tcW w:w="8480" w:type="dxa"/>
            <w:vAlign w:val="bottom"/>
          </w:tcPr>
          <w:p>
            <w:pPr>
              <w:ind w:left="120"/>
              <w:spacing w:after="0"/>
              <w:rPr>
                <w:sz w:val="20"/>
                <w:szCs w:val="20"/>
                <w:color w:val="auto"/>
              </w:rPr>
            </w:pPr>
            <w:r>
              <w:rPr>
                <w:rFonts w:ascii="Arial" w:cs="Arial" w:eastAsia="Arial" w:hAnsi="Arial"/>
                <w:sz w:val="18"/>
                <w:szCs w:val="18"/>
                <w:color w:val="auto"/>
              </w:rPr>
              <w:t>Cheyenne Light, Fuel and Power Company, a direct, wholly-owned subsidiary of Black Hills Corporation,</w:t>
            </w:r>
          </w:p>
        </w:tc>
      </w:tr>
      <w:tr>
        <w:trPr>
          <w:trHeight w:val="216"/>
        </w:trPr>
        <w:tc>
          <w:tcPr>
            <w:tcW w:w="276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providing electric service in the Cheyenne, Wyoming area (doing business as Black Hills Energy). Also known as</w:t>
            </w:r>
          </w:p>
        </w:tc>
      </w:tr>
      <w:tr>
        <w:trPr>
          <w:trHeight w:val="230"/>
        </w:trPr>
        <w:tc>
          <w:tcPr>
            <w:tcW w:w="276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Wyoming Electric.</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2760" w:type="dxa"/>
            <w:vAlign w:val="bottom"/>
            <w:shd w:val="clear" w:color="auto" w:fill="CEFFE7"/>
          </w:tcPr>
          <w:p>
            <w:pPr>
              <w:ind w:left="20"/>
              <w:spacing w:after="0"/>
              <w:rPr>
                <w:sz w:val="20"/>
                <w:szCs w:val="20"/>
                <w:color w:val="auto"/>
              </w:rPr>
            </w:pPr>
            <w:r>
              <w:rPr>
                <w:rFonts w:ascii="Arial" w:cs="Arial" w:eastAsia="Arial" w:hAnsi="Arial"/>
                <w:sz w:val="18"/>
                <w:szCs w:val="18"/>
                <w:color w:val="auto"/>
              </w:rPr>
              <w:t>Choice Gas Program</w:t>
            </w: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w w:val="92"/>
              </w:rPr>
              <w:t>Regulator-approved programs in Wyoming and Nebraska that allow certain utility customers to select their natural</w:t>
            </w:r>
          </w:p>
        </w:tc>
      </w:tr>
      <w:tr>
        <w:trPr>
          <w:trHeight w:val="216"/>
        </w:trPr>
        <w:tc>
          <w:tcPr>
            <w:tcW w:w="2760" w:type="dxa"/>
            <w:vAlign w:val="bottom"/>
            <w:shd w:val="clear" w:color="auto" w:fill="CEFFE7"/>
          </w:tcPr>
          <w:p>
            <w:pPr>
              <w:spacing w:after="0"/>
              <w:rPr>
                <w:sz w:val="18"/>
                <w:szCs w:val="18"/>
                <w:color w:val="auto"/>
              </w:rPr>
            </w:pP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w w:val="97"/>
              </w:rPr>
              <w:t>gas commodity supplier, providing for the unbundling of the commodity service from the distribution delivery</w:t>
            </w:r>
          </w:p>
        </w:tc>
      </w:tr>
      <w:tr>
        <w:trPr>
          <w:trHeight w:val="237"/>
        </w:trPr>
        <w:tc>
          <w:tcPr>
            <w:tcW w:w="2760" w:type="dxa"/>
            <w:vAlign w:val="bottom"/>
            <w:tcBorders>
              <w:bottom w:val="single" w:sz="8" w:color="CEFFE7"/>
            </w:tcBorders>
            <w:shd w:val="clear" w:color="auto" w:fill="CEFFE7"/>
          </w:tcPr>
          <w:p>
            <w:pPr>
              <w:spacing w:after="0"/>
              <w:rPr>
                <w:sz w:val="20"/>
                <w:szCs w:val="20"/>
                <w:color w:val="auto"/>
              </w:rPr>
            </w:pP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service.</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City of Colorado Springs</w:t>
            </w:r>
          </w:p>
        </w:tc>
        <w:tc>
          <w:tcPr>
            <w:tcW w:w="8480" w:type="dxa"/>
            <w:vAlign w:val="bottom"/>
          </w:tcPr>
          <w:p>
            <w:pPr>
              <w:ind w:left="120"/>
              <w:spacing w:after="0"/>
              <w:rPr>
                <w:sz w:val="20"/>
                <w:szCs w:val="20"/>
                <w:color w:val="auto"/>
              </w:rPr>
            </w:pPr>
            <w:r>
              <w:rPr>
                <w:rFonts w:ascii="Arial" w:cs="Arial" w:eastAsia="Arial" w:hAnsi="Arial"/>
                <w:sz w:val="18"/>
                <w:szCs w:val="18"/>
                <w:color w:val="auto"/>
              </w:rPr>
              <w:t>Colorado Springs, Colorado</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2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City of Gillette</w:t>
            </w: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Gillette, Wyoming</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Colorado Electric</w:t>
            </w:r>
          </w:p>
        </w:tc>
        <w:tc>
          <w:tcPr>
            <w:tcW w:w="8480" w:type="dxa"/>
            <w:vAlign w:val="bottom"/>
          </w:tcPr>
          <w:p>
            <w:pPr>
              <w:ind w:left="120"/>
              <w:spacing w:after="0"/>
              <w:rPr>
                <w:sz w:val="20"/>
                <w:szCs w:val="20"/>
                <w:color w:val="auto"/>
              </w:rPr>
            </w:pPr>
            <w:r>
              <w:rPr>
                <w:rFonts w:ascii="Arial" w:cs="Arial" w:eastAsia="Arial" w:hAnsi="Arial"/>
                <w:sz w:val="18"/>
                <w:szCs w:val="18"/>
                <w:color w:val="auto"/>
              </w:rPr>
              <w:t>Black Hills Colorado Electric, LLC, a direct, wholly-owned subsidiary of Black Hills</w:t>
            </w:r>
          </w:p>
        </w:tc>
      </w:tr>
      <w:tr>
        <w:trPr>
          <w:trHeight w:val="230"/>
        </w:trPr>
        <w:tc>
          <w:tcPr>
            <w:tcW w:w="276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8"/>
              </w:rPr>
              <w:t>Utility Holdings, providing electric service to customers in Colorado (doing business as Black Hills Energy).</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2760" w:type="dxa"/>
            <w:vAlign w:val="bottom"/>
            <w:shd w:val="clear" w:color="auto" w:fill="CEFFE7"/>
          </w:tcPr>
          <w:p>
            <w:pPr>
              <w:ind w:left="20"/>
              <w:spacing w:after="0"/>
              <w:rPr>
                <w:sz w:val="20"/>
                <w:szCs w:val="20"/>
                <w:color w:val="auto"/>
              </w:rPr>
            </w:pPr>
            <w:r>
              <w:rPr>
                <w:rFonts w:ascii="Arial" w:cs="Arial" w:eastAsia="Arial" w:hAnsi="Arial"/>
                <w:sz w:val="18"/>
                <w:szCs w:val="18"/>
                <w:color w:val="auto"/>
              </w:rPr>
              <w:t>Colorado Gas</w:t>
            </w: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w w:val="97"/>
              </w:rPr>
              <w:t>Black Hills Colorado Gas, Inc., an indirect, wholly-owned subsidiary of Black Hills Utility Holdings, providing</w:t>
            </w:r>
          </w:p>
        </w:tc>
      </w:tr>
      <w:tr>
        <w:trPr>
          <w:trHeight w:val="237"/>
        </w:trPr>
        <w:tc>
          <w:tcPr>
            <w:tcW w:w="2760" w:type="dxa"/>
            <w:vAlign w:val="bottom"/>
            <w:tcBorders>
              <w:bottom w:val="single" w:sz="8" w:color="CEFFE7"/>
            </w:tcBorders>
            <w:shd w:val="clear" w:color="auto" w:fill="CEFFE7"/>
          </w:tcPr>
          <w:p>
            <w:pPr>
              <w:spacing w:after="0"/>
              <w:rPr>
                <w:sz w:val="20"/>
                <w:szCs w:val="20"/>
                <w:color w:val="auto"/>
              </w:rPr>
            </w:pP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natural gas services to customers in Colorado (doing business as Black Hills Energy).</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Consolidated Indebtedness to</w:t>
            </w: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Any indebtedness outstanding at such time, divided by capital at such time. Capital being consolidated net worth</w:t>
            </w: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Capitalization Ratio</w:t>
            </w:r>
          </w:p>
        </w:tc>
        <w:tc>
          <w:tcPr>
            <w:tcW w:w="8480" w:type="dxa"/>
            <w:vAlign w:val="bottom"/>
          </w:tcPr>
          <w:p>
            <w:pPr>
              <w:ind w:left="120"/>
              <w:spacing w:after="0"/>
              <w:rPr>
                <w:sz w:val="20"/>
                <w:szCs w:val="20"/>
                <w:color w:val="auto"/>
              </w:rPr>
            </w:pPr>
            <w:r>
              <w:rPr>
                <w:rFonts w:ascii="Arial" w:cs="Arial" w:eastAsia="Arial" w:hAnsi="Arial"/>
                <w:sz w:val="18"/>
                <w:szCs w:val="18"/>
                <w:color w:val="auto"/>
              </w:rPr>
              <w:t>(excluding noncontrolling interest) plus consolidated indebtedness (including letters of credit and certain</w:t>
            </w:r>
          </w:p>
        </w:tc>
      </w:tr>
      <w:tr>
        <w:trPr>
          <w:trHeight w:val="230"/>
        </w:trPr>
        <w:tc>
          <w:tcPr>
            <w:tcW w:w="276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guarantees issued) as defined within the current Revolving Credit Facility.</w:t>
            </w: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2760" w:type="dxa"/>
            <w:vAlign w:val="bottom"/>
            <w:shd w:val="clear" w:color="auto" w:fill="CEFFE7"/>
          </w:tcPr>
          <w:p>
            <w:pPr>
              <w:ind w:left="20"/>
              <w:spacing w:after="0"/>
              <w:rPr>
                <w:sz w:val="20"/>
                <w:szCs w:val="20"/>
                <w:color w:val="auto"/>
              </w:rPr>
            </w:pPr>
            <w:r>
              <w:rPr>
                <w:rFonts w:ascii="Arial" w:cs="Arial" w:eastAsia="Arial" w:hAnsi="Arial"/>
                <w:sz w:val="18"/>
                <w:szCs w:val="18"/>
                <w:color w:val="auto"/>
              </w:rPr>
              <w:t>Cooling Degree Day (CDD)</w:t>
            </w: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w w:val="93"/>
              </w:rPr>
              <w:t>A cooling degree day is equivalent to each degree that the average of the high and low temperatures for a day is</w:t>
            </w:r>
          </w:p>
        </w:tc>
      </w:tr>
      <w:tr>
        <w:trPr>
          <w:trHeight w:val="216"/>
        </w:trPr>
        <w:tc>
          <w:tcPr>
            <w:tcW w:w="2760" w:type="dxa"/>
            <w:vAlign w:val="bottom"/>
            <w:shd w:val="clear" w:color="auto" w:fill="CEFFE7"/>
          </w:tcPr>
          <w:p>
            <w:pPr>
              <w:spacing w:after="0"/>
              <w:rPr>
                <w:sz w:val="18"/>
                <w:szCs w:val="18"/>
                <w:color w:val="auto"/>
              </w:rPr>
            </w:pP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w w:val="89"/>
              </w:rPr>
              <w:t>above 65 degrees. The warmer the climate, the greater the number of cooling degree days. Cooling degree days are</w:t>
            </w:r>
          </w:p>
        </w:tc>
      </w:tr>
      <w:tr>
        <w:trPr>
          <w:trHeight w:val="216"/>
        </w:trPr>
        <w:tc>
          <w:tcPr>
            <w:tcW w:w="2760" w:type="dxa"/>
            <w:vAlign w:val="bottom"/>
            <w:shd w:val="clear" w:color="auto" w:fill="CEFFE7"/>
          </w:tcPr>
          <w:p>
            <w:pPr>
              <w:spacing w:after="0"/>
              <w:rPr>
                <w:sz w:val="18"/>
                <w:szCs w:val="18"/>
                <w:color w:val="auto"/>
              </w:rPr>
            </w:pP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w w:val="96"/>
              </w:rPr>
              <w:t>used in the utility industry to measure the relative warmth and to compare relative temperatures between one</w:t>
            </w:r>
          </w:p>
        </w:tc>
      </w:tr>
      <w:tr>
        <w:trPr>
          <w:trHeight w:val="216"/>
        </w:trPr>
        <w:tc>
          <w:tcPr>
            <w:tcW w:w="2760" w:type="dxa"/>
            <w:vAlign w:val="bottom"/>
            <w:shd w:val="clear" w:color="auto" w:fill="CEFFE7"/>
          </w:tcPr>
          <w:p>
            <w:pPr>
              <w:spacing w:after="0"/>
              <w:rPr>
                <w:sz w:val="18"/>
                <w:szCs w:val="18"/>
                <w:color w:val="auto"/>
              </w:rPr>
            </w:pPr>
          </w:p>
        </w:tc>
        <w:tc>
          <w:tcPr>
            <w:tcW w:w="8480" w:type="dxa"/>
            <w:vAlign w:val="bottom"/>
            <w:shd w:val="clear" w:color="auto" w:fill="CEFFE7"/>
          </w:tcPr>
          <w:p>
            <w:pPr>
              <w:ind w:left="120"/>
              <w:spacing w:after="0"/>
              <w:rPr>
                <w:sz w:val="20"/>
                <w:szCs w:val="20"/>
                <w:color w:val="auto"/>
              </w:rPr>
            </w:pPr>
            <w:r>
              <w:rPr>
                <w:rFonts w:ascii="Arial" w:cs="Arial" w:eastAsia="Arial" w:hAnsi="Arial"/>
                <w:sz w:val="18"/>
                <w:szCs w:val="18"/>
                <w:color w:val="auto"/>
                <w:w w:val="93"/>
              </w:rPr>
              <w:t>geographic area and another. Normal degree days are based on the National Weather Service data for selected</w:t>
            </w:r>
          </w:p>
        </w:tc>
      </w:tr>
      <w:tr>
        <w:trPr>
          <w:trHeight w:val="237"/>
        </w:trPr>
        <w:tc>
          <w:tcPr>
            <w:tcW w:w="2760" w:type="dxa"/>
            <w:vAlign w:val="bottom"/>
            <w:tcBorders>
              <w:bottom w:val="single" w:sz="8" w:color="CEFFE7"/>
            </w:tcBorders>
            <w:shd w:val="clear" w:color="auto" w:fill="CEFFE7"/>
          </w:tcPr>
          <w:p>
            <w:pPr>
              <w:spacing w:after="0"/>
              <w:rPr>
                <w:sz w:val="20"/>
                <w:szCs w:val="20"/>
                <w:color w:val="auto"/>
              </w:rPr>
            </w:pPr>
          </w:p>
        </w:tc>
        <w:tc>
          <w:tcPr>
            <w:tcW w:w="8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locations.</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Corriedale</w:t>
            </w: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Wind project near Cheyenne, Wyoming, that will be a 52.5 MW wind farm jointly owned by South Dakota Electric</w:t>
            </w:r>
          </w:p>
        </w:tc>
      </w:tr>
      <w:tr>
        <w:trPr>
          <w:trHeight w:val="230"/>
        </w:trPr>
        <w:tc>
          <w:tcPr>
            <w:tcW w:w="276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6"/>
              </w:rPr>
              <w:t>and Wyoming Electric and will serve as the dedicated wind energy supply to the Renewable Ready program.</w:t>
            </w:r>
          </w:p>
        </w:tc>
      </w:tr>
      <w:tr>
        <w:trPr>
          <w:trHeight w:val="513"/>
        </w:trPr>
        <w:tc>
          <w:tcPr>
            <w:tcW w:w="2760" w:type="dxa"/>
            <w:vAlign w:val="bottom"/>
          </w:tcPr>
          <w:p>
            <w:pPr>
              <w:spacing w:after="0"/>
              <w:rPr>
                <w:sz w:val="24"/>
                <w:szCs w:val="24"/>
                <w:color w:val="auto"/>
              </w:rPr>
            </w:pPr>
          </w:p>
        </w:tc>
        <w:tc>
          <w:tcPr>
            <w:tcW w:w="8480" w:type="dxa"/>
            <w:vAlign w:val="bottom"/>
          </w:tcPr>
          <w:p>
            <w:pPr>
              <w:ind w:left="2820"/>
              <w:spacing w:after="0"/>
              <w:rPr>
                <w:sz w:val="20"/>
                <w:szCs w:val="20"/>
                <w:color w:val="auto"/>
              </w:rPr>
            </w:pPr>
            <w:r>
              <w:rPr>
                <w:rFonts w:ascii="Arial" w:cs="Arial" w:eastAsia="Arial" w:hAnsi="Arial"/>
                <w:sz w:val="18"/>
                <w:szCs w:val="18"/>
                <w:color w:val="auto"/>
              </w:rPr>
              <w:t>4</w:t>
            </w:r>
          </w:p>
        </w:tc>
      </w:tr>
      <w:tr>
        <w:trPr>
          <w:trHeight w:val="358"/>
        </w:trPr>
        <w:tc>
          <w:tcPr>
            <w:tcW w:w="276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COVID-19</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3"/>
              </w:rPr>
              <w:t>The official name for the 2019 novel coronavirus disease announced on February 11, 2020, by the World Health</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Organization, that is causing a global pandemic</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CP Program</w:t>
            </w:r>
          </w:p>
        </w:tc>
        <w:tc>
          <w:tcPr>
            <w:tcW w:w="8760" w:type="dxa"/>
            <w:vAlign w:val="bottom"/>
          </w:tcPr>
          <w:p>
            <w:pPr>
              <w:ind w:left="400"/>
              <w:spacing w:after="0"/>
              <w:rPr>
                <w:sz w:val="20"/>
                <w:szCs w:val="20"/>
                <w:color w:val="auto"/>
              </w:rPr>
            </w:pPr>
            <w:r>
              <w:rPr>
                <w:rFonts w:ascii="Arial" w:cs="Arial" w:eastAsia="Arial" w:hAnsi="Arial"/>
                <w:sz w:val="18"/>
                <w:szCs w:val="18"/>
                <w:color w:val="auto"/>
              </w:rPr>
              <w:t>Commercial Paper Program</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CPUC</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Colorado Public Utilities Commission</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CVA</w:t>
            </w:r>
          </w:p>
        </w:tc>
        <w:tc>
          <w:tcPr>
            <w:tcW w:w="8760" w:type="dxa"/>
            <w:vAlign w:val="bottom"/>
          </w:tcPr>
          <w:p>
            <w:pPr>
              <w:ind w:left="400"/>
              <w:spacing w:after="0"/>
              <w:rPr>
                <w:sz w:val="20"/>
                <w:szCs w:val="20"/>
                <w:color w:val="auto"/>
              </w:rPr>
            </w:pPr>
            <w:r>
              <w:rPr>
                <w:rFonts w:ascii="Arial" w:cs="Arial" w:eastAsia="Arial" w:hAnsi="Arial"/>
                <w:sz w:val="18"/>
                <w:szCs w:val="18"/>
                <w:color w:val="auto"/>
              </w:rPr>
              <w:t>Credit Valuation Adjustment</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Dodd-Frank</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Dodd-Frank Wall Street Reform and Consumer Protection Act</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DRSPP</w:t>
            </w:r>
          </w:p>
        </w:tc>
        <w:tc>
          <w:tcPr>
            <w:tcW w:w="8760" w:type="dxa"/>
            <w:vAlign w:val="bottom"/>
          </w:tcPr>
          <w:p>
            <w:pPr>
              <w:ind w:left="400"/>
              <w:spacing w:after="0"/>
              <w:rPr>
                <w:sz w:val="20"/>
                <w:szCs w:val="20"/>
                <w:color w:val="auto"/>
              </w:rPr>
            </w:pPr>
            <w:r>
              <w:rPr>
                <w:rFonts w:ascii="Arial" w:cs="Arial" w:eastAsia="Arial" w:hAnsi="Arial"/>
                <w:sz w:val="18"/>
                <w:szCs w:val="18"/>
                <w:color w:val="auto"/>
              </w:rPr>
              <w:t>Dividend Reinvestment and Stock Purchase Plan</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Dth</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w w:val="98"/>
              </w:rPr>
              <w:t>Dekatherm. A unit of energy equal to 10 therms or approximately one million British thermal units (MMBtu)</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FASB</w:t>
            </w:r>
          </w:p>
        </w:tc>
        <w:tc>
          <w:tcPr>
            <w:tcW w:w="8760" w:type="dxa"/>
            <w:vAlign w:val="bottom"/>
          </w:tcPr>
          <w:p>
            <w:pPr>
              <w:ind w:left="400"/>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FERC</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United States Federal Energy Regulatory Commission</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Fitch</w:t>
            </w:r>
          </w:p>
        </w:tc>
        <w:tc>
          <w:tcPr>
            <w:tcW w:w="8760" w:type="dxa"/>
            <w:vAlign w:val="bottom"/>
          </w:tcPr>
          <w:p>
            <w:pPr>
              <w:ind w:left="400"/>
              <w:spacing w:after="0"/>
              <w:rPr>
                <w:sz w:val="20"/>
                <w:szCs w:val="20"/>
                <w:color w:val="auto"/>
              </w:rPr>
            </w:pPr>
            <w:r>
              <w:rPr>
                <w:rFonts w:ascii="Arial" w:cs="Arial" w:eastAsia="Arial" w:hAnsi="Arial"/>
                <w:sz w:val="18"/>
                <w:szCs w:val="18"/>
                <w:color w:val="auto"/>
              </w:rPr>
              <w:t>Fitch Ratings Inc.</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GAAP</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Heating Degree Day (HDD)</w:t>
            </w:r>
          </w:p>
        </w:tc>
        <w:tc>
          <w:tcPr>
            <w:tcW w:w="8760" w:type="dxa"/>
            <w:vAlign w:val="bottom"/>
          </w:tcPr>
          <w:p>
            <w:pPr>
              <w:ind w:left="400"/>
              <w:spacing w:after="0"/>
              <w:rPr>
                <w:sz w:val="20"/>
                <w:szCs w:val="20"/>
                <w:color w:val="auto"/>
              </w:rPr>
            </w:pPr>
            <w:r>
              <w:rPr>
                <w:rFonts w:ascii="Arial" w:cs="Arial" w:eastAsia="Arial" w:hAnsi="Arial"/>
                <w:sz w:val="18"/>
                <w:szCs w:val="18"/>
                <w:color w:val="auto"/>
                <w:w w:val="90"/>
              </w:rPr>
              <w:t>A heating degree day is equivalent to each degree that the average of the high and the low temperatures for a day is</w:t>
            </w:r>
          </w:p>
        </w:tc>
      </w:tr>
      <w:tr>
        <w:trPr>
          <w:trHeight w:val="216"/>
        </w:trPr>
        <w:tc>
          <w:tcPr>
            <w:tcW w:w="248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w w:val="90"/>
              </w:rPr>
              <w:t>below 65 degrees. The colder the climate, the greater the number of heating degree days. Heating degree days are</w:t>
            </w:r>
          </w:p>
        </w:tc>
      </w:tr>
      <w:tr>
        <w:trPr>
          <w:trHeight w:val="216"/>
        </w:trPr>
        <w:tc>
          <w:tcPr>
            <w:tcW w:w="248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w w:val="94"/>
              </w:rPr>
              <w:t>used in the utility industry to measure the relative coldness and to compare relative temperatures between one</w:t>
            </w:r>
          </w:p>
        </w:tc>
      </w:tr>
      <w:tr>
        <w:trPr>
          <w:trHeight w:val="216"/>
        </w:trPr>
        <w:tc>
          <w:tcPr>
            <w:tcW w:w="248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w w:val="93"/>
              </w:rPr>
              <w:t>geographic area and another. Normal degree days are based on the National Weather Service data for selected</w:t>
            </w:r>
          </w:p>
        </w:tc>
      </w:tr>
      <w:tr>
        <w:trPr>
          <w:trHeight w:val="230"/>
        </w:trPr>
        <w:tc>
          <w:tcPr>
            <w:tcW w:w="2480" w:type="dxa"/>
            <w:vAlign w:val="bottom"/>
          </w:tcPr>
          <w:p>
            <w:pPr>
              <w:spacing w:after="0"/>
              <w:rPr>
                <w:sz w:val="20"/>
                <w:szCs w:val="20"/>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locations.</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HomeServe</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3"/>
              </w:rPr>
              <w:t>Repair service plans offered to electric and natural gas residential customers that cover parts and labor to repair</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electrical, gas, heating, cooling, and water systems.</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ICFR</w:t>
            </w:r>
          </w:p>
        </w:tc>
        <w:tc>
          <w:tcPr>
            <w:tcW w:w="8760" w:type="dxa"/>
            <w:vAlign w:val="bottom"/>
          </w:tcPr>
          <w:p>
            <w:pPr>
              <w:ind w:left="400"/>
              <w:spacing w:after="0"/>
              <w:rPr>
                <w:sz w:val="20"/>
                <w:szCs w:val="20"/>
                <w:color w:val="auto"/>
              </w:rPr>
            </w:pPr>
            <w:r>
              <w:rPr>
                <w:rFonts w:ascii="Arial" w:cs="Arial" w:eastAsia="Arial" w:hAnsi="Arial"/>
                <w:sz w:val="18"/>
                <w:szCs w:val="18"/>
                <w:color w:val="auto"/>
              </w:rPr>
              <w:t>Internal Controls over Financial Reporting</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Iowa Gas</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8"/>
              </w:rPr>
              <w:t>Black Hills Iowa Gas Utility Company, LLC, a direct, wholly-owned subsidiary of Black Hills Utility Holdings,</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providing natural gas services to customers in Iowa (doing business as Black Hills Energy).</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IPP</w:t>
            </w:r>
          </w:p>
        </w:tc>
        <w:tc>
          <w:tcPr>
            <w:tcW w:w="8760" w:type="dxa"/>
            <w:vAlign w:val="bottom"/>
          </w:tcPr>
          <w:p>
            <w:pPr>
              <w:ind w:left="400"/>
              <w:spacing w:after="0"/>
              <w:rPr>
                <w:sz w:val="20"/>
                <w:szCs w:val="20"/>
                <w:color w:val="auto"/>
              </w:rPr>
            </w:pPr>
            <w:r>
              <w:rPr>
                <w:rFonts w:ascii="Arial" w:cs="Arial" w:eastAsia="Arial" w:hAnsi="Arial"/>
                <w:sz w:val="18"/>
                <w:szCs w:val="18"/>
                <w:color w:val="auto"/>
              </w:rPr>
              <w:t>Independent power producer</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IRS</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United States Internal Revenue Service</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Kansas Gas</w:t>
            </w:r>
          </w:p>
        </w:tc>
        <w:tc>
          <w:tcPr>
            <w:tcW w:w="8760" w:type="dxa"/>
            <w:vAlign w:val="bottom"/>
          </w:tcPr>
          <w:p>
            <w:pPr>
              <w:ind w:left="400"/>
              <w:spacing w:after="0"/>
              <w:rPr>
                <w:sz w:val="20"/>
                <w:szCs w:val="20"/>
                <w:color w:val="auto"/>
              </w:rPr>
            </w:pPr>
            <w:r>
              <w:rPr>
                <w:rFonts w:ascii="Arial" w:cs="Arial" w:eastAsia="Arial" w:hAnsi="Arial"/>
                <w:sz w:val="18"/>
                <w:szCs w:val="18"/>
                <w:color w:val="auto"/>
                <w:w w:val="95"/>
              </w:rPr>
              <w:t>Black Hills Kansas Gas Utility Company, LLC, a direct, wholly-owned subsidiary of Black Hills Utility Holdings,</w:t>
            </w:r>
          </w:p>
        </w:tc>
      </w:tr>
      <w:tr>
        <w:trPr>
          <w:trHeight w:val="230"/>
        </w:trPr>
        <w:tc>
          <w:tcPr>
            <w:tcW w:w="2480" w:type="dxa"/>
            <w:vAlign w:val="bottom"/>
          </w:tcPr>
          <w:p>
            <w:pPr>
              <w:spacing w:after="0"/>
              <w:rPr>
                <w:sz w:val="20"/>
                <w:szCs w:val="20"/>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providing natural gas services to customers in Kansas (doing business as Black Hills Energy)</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MMBtu</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Million British thermal units</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Moody’s</w:t>
            </w:r>
          </w:p>
        </w:tc>
        <w:tc>
          <w:tcPr>
            <w:tcW w:w="8760" w:type="dxa"/>
            <w:vAlign w:val="bottom"/>
          </w:tcPr>
          <w:p>
            <w:pPr>
              <w:ind w:left="400"/>
              <w:spacing w:after="0"/>
              <w:rPr>
                <w:sz w:val="20"/>
                <w:szCs w:val="20"/>
                <w:color w:val="auto"/>
              </w:rPr>
            </w:pPr>
            <w:r>
              <w:rPr>
                <w:rFonts w:ascii="Arial" w:cs="Arial" w:eastAsia="Arial" w:hAnsi="Arial"/>
                <w:sz w:val="18"/>
                <w:szCs w:val="18"/>
                <w:color w:val="auto"/>
              </w:rPr>
              <w:t>Moody’s Investors Service, Inc.</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MW</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Megawatts</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MWh</w:t>
            </w:r>
          </w:p>
        </w:tc>
        <w:tc>
          <w:tcPr>
            <w:tcW w:w="8760" w:type="dxa"/>
            <w:vAlign w:val="bottom"/>
          </w:tcPr>
          <w:p>
            <w:pPr>
              <w:ind w:left="400"/>
              <w:spacing w:after="0"/>
              <w:rPr>
                <w:sz w:val="20"/>
                <w:szCs w:val="20"/>
                <w:color w:val="auto"/>
              </w:rPr>
            </w:pPr>
            <w:r>
              <w:rPr>
                <w:rFonts w:ascii="Arial" w:cs="Arial" w:eastAsia="Arial" w:hAnsi="Arial"/>
                <w:sz w:val="18"/>
                <w:szCs w:val="18"/>
                <w:color w:val="auto"/>
              </w:rPr>
              <w:t>Megawatt-hours</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Nebraska Gas</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7"/>
              </w:rPr>
              <w:t>Black Hills Nebraska Gas, LLC, an indirect, wholly-owned subsidiary of Black Hills Utility Holdings, providing</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natural gas services to customers in Nebraska (doing business as Black Hills Energy)</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NPSC</w:t>
            </w:r>
          </w:p>
        </w:tc>
        <w:tc>
          <w:tcPr>
            <w:tcW w:w="8760" w:type="dxa"/>
            <w:vAlign w:val="bottom"/>
          </w:tcPr>
          <w:p>
            <w:pPr>
              <w:ind w:left="400"/>
              <w:spacing w:after="0"/>
              <w:rPr>
                <w:sz w:val="20"/>
                <w:szCs w:val="20"/>
                <w:color w:val="auto"/>
              </w:rPr>
            </w:pPr>
            <w:r>
              <w:rPr>
                <w:rFonts w:ascii="Arial" w:cs="Arial" w:eastAsia="Arial" w:hAnsi="Arial"/>
                <w:sz w:val="18"/>
                <w:szCs w:val="18"/>
                <w:color w:val="auto"/>
              </w:rPr>
              <w:t>Nebraska Public Service Commission</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OCA</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Office of Consumer Advocate</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OCI</w:t>
            </w:r>
          </w:p>
        </w:tc>
        <w:tc>
          <w:tcPr>
            <w:tcW w:w="8760" w:type="dxa"/>
            <w:vAlign w:val="bottom"/>
          </w:tcPr>
          <w:p>
            <w:pPr>
              <w:ind w:left="400"/>
              <w:spacing w:after="0"/>
              <w:rPr>
                <w:sz w:val="20"/>
                <w:szCs w:val="20"/>
                <w:color w:val="auto"/>
              </w:rPr>
            </w:pPr>
            <w:r>
              <w:rPr>
                <w:rFonts w:ascii="Arial" w:cs="Arial" w:eastAsia="Arial" w:hAnsi="Arial"/>
                <w:sz w:val="18"/>
                <w:szCs w:val="18"/>
                <w:color w:val="auto"/>
              </w:rPr>
              <w:t>Other Comprehensive Income</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PPA</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Power Purchase Agreement</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PRPA</w:t>
            </w:r>
          </w:p>
        </w:tc>
        <w:tc>
          <w:tcPr>
            <w:tcW w:w="8760" w:type="dxa"/>
            <w:vAlign w:val="bottom"/>
          </w:tcPr>
          <w:p>
            <w:pPr>
              <w:ind w:left="400"/>
              <w:spacing w:after="0"/>
              <w:rPr>
                <w:sz w:val="20"/>
                <w:szCs w:val="20"/>
                <w:color w:val="auto"/>
              </w:rPr>
            </w:pPr>
            <w:r>
              <w:rPr>
                <w:rFonts w:ascii="Arial" w:cs="Arial" w:eastAsia="Arial" w:hAnsi="Arial"/>
                <w:sz w:val="18"/>
                <w:szCs w:val="18"/>
                <w:color w:val="auto"/>
              </w:rPr>
              <w:t>Platte River Power Authority</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PSA</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Power Sales Agreement</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Pueblo Airport Generation</w:t>
            </w:r>
          </w:p>
        </w:tc>
        <w:tc>
          <w:tcPr>
            <w:tcW w:w="8760" w:type="dxa"/>
            <w:vAlign w:val="bottom"/>
          </w:tcPr>
          <w:p>
            <w:pPr>
              <w:ind w:left="400"/>
              <w:spacing w:after="0"/>
              <w:rPr>
                <w:sz w:val="20"/>
                <w:szCs w:val="20"/>
                <w:color w:val="auto"/>
              </w:rPr>
            </w:pPr>
            <w:r>
              <w:rPr>
                <w:rFonts w:ascii="Arial" w:cs="Arial" w:eastAsia="Arial" w:hAnsi="Arial"/>
                <w:sz w:val="18"/>
                <w:szCs w:val="18"/>
                <w:color w:val="auto"/>
                <w:w w:val="96"/>
              </w:rPr>
              <w:t>420 MW combined cycle gas-fired power generation plants jointly owned by Colorado Electric (220 MW) and</w:t>
            </w:r>
          </w:p>
        </w:tc>
      </w:tr>
      <w:tr>
        <w:trPr>
          <w:trHeight w:val="216"/>
        </w:trPr>
        <w:tc>
          <w:tcPr>
            <w:tcW w:w="248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Black Hills Colorado IPP (200 MW). Black Hills Colorado IPP owns and operates this facility. The plants</w:t>
            </w:r>
          </w:p>
        </w:tc>
      </w:tr>
      <w:tr>
        <w:trPr>
          <w:trHeight w:val="230"/>
        </w:trPr>
        <w:tc>
          <w:tcPr>
            <w:tcW w:w="2480" w:type="dxa"/>
            <w:vAlign w:val="bottom"/>
          </w:tcPr>
          <w:p>
            <w:pPr>
              <w:spacing w:after="0"/>
              <w:rPr>
                <w:sz w:val="20"/>
                <w:szCs w:val="20"/>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commenced operation on January 1, 2012.</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Renewable Advantage</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2"/>
              </w:rPr>
              <w:t>A 200 MW solar facility project to be constructed in Pueblo County, Colorado. The project aims to lower customer</w:t>
            </w:r>
          </w:p>
        </w:tc>
      </w:tr>
      <w:tr>
        <w:trPr>
          <w:trHeight w:val="216"/>
        </w:trPr>
        <w:tc>
          <w:tcPr>
            <w:tcW w:w="2480" w:type="dxa"/>
            <w:vAlign w:val="bottom"/>
            <w:shd w:val="clear" w:color="auto" w:fill="CEFFE7"/>
          </w:tcPr>
          <w:p>
            <w:pPr>
              <w:spacing w:after="0"/>
              <w:rPr>
                <w:sz w:val="18"/>
                <w:szCs w:val="18"/>
                <w:color w:val="auto"/>
              </w:rPr>
            </w:pP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1"/>
              </w:rPr>
              <w:t>energy costs and provide economic and environmental benefits to Colorado Electric’s customers and communities.</w:t>
            </w:r>
          </w:p>
        </w:tc>
      </w:tr>
      <w:tr>
        <w:trPr>
          <w:trHeight w:val="216"/>
        </w:trPr>
        <w:tc>
          <w:tcPr>
            <w:tcW w:w="2480" w:type="dxa"/>
            <w:vAlign w:val="bottom"/>
            <w:shd w:val="clear" w:color="auto" w:fill="CEFFE7"/>
          </w:tcPr>
          <w:p>
            <w:pPr>
              <w:spacing w:after="0"/>
              <w:rPr>
                <w:sz w:val="18"/>
                <w:szCs w:val="18"/>
                <w:color w:val="auto"/>
              </w:rPr>
            </w:pP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2"/>
              </w:rPr>
              <w:t>If approved by the CPUC, the project would be owned by a third-party renewable energy developer with Colorado</w:t>
            </w:r>
          </w:p>
        </w:tc>
      </w:tr>
      <w:tr>
        <w:trPr>
          <w:trHeight w:val="216"/>
        </w:trPr>
        <w:tc>
          <w:tcPr>
            <w:tcW w:w="2480" w:type="dxa"/>
            <w:vAlign w:val="bottom"/>
            <w:shd w:val="clear" w:color="auto" w:fill="CEFFE7"/>
          </w:tcPr>
          <w:p>
            <w:pPr>
              <w:spacing w:after="0"/>
              <w:rPr>
                <w:sz w:val="18"/>
                <w:szCs w:val="18"/>
                <w:color w:val="auto"/>
              </w:rPr>
            </w:pP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2"/>
              </w:rPr>
              <w:t>Electric purchasing all of the energy generated at the facility under the terms of a 15-year PPA. The project would</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be placed in service in 2023.</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Renewable Ready</w:t>
            </w:r>
          </w:p>
        </w:tc>
        <w:tc>
          <w:tcPr>
            <w:tcW w:w="8760" w:type="dxa"/>
            <w:vAlign w:val="bottom"/>
          </w:tcPr>
          <w:p>
            <w:pPr>
              <w:ind w:left="400"/>
              <w:spacing w:after="0"/>
              <w:rPr>
                <w:sz w:val="20"/>
                <w:szCs w:val="20"/>
                <w:color w:val="auto"/>
              </w:rPr>
            </w:pPr>
            <w:r>
              <w:rPr>
                <w:rFonts w:ascii="Arial" w:cs="Arial" w:eastAsia="Arial" w:hAnsi="Arial"/>
                <w:sz w:val="18"/>
                <w:szCs w:val="18"/>
                <w:color w:val="auto"/>
                <w:w w:val="97"/>
              </w:rPr>
              <w:t>Voluntary renewable energy subscription program for large commercial, industrial and governmental agency</w:t>
            </w:r>
          </w:p>
        </w:tc>
      </w:tr>
      <w:tr>
        <w:trPr>
          <w:trHeight w:val="230"/>
        </w:trPr>
        <w:tc>
          <w:tcPr>
            <w:tcW w:w="2480" w:type="dxa"/>
            <w:vAlign w:val="bottom"/>
          </w:tcPr>
          <w:p>
            <w:pPr>
              <w:spacing w:after="0"/>
              <w:rPr>
                <w:sz w:val="20"/>
                <w:szCs w:val="20"/>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customers in South Dakota and Wyoming.</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Revolving Credit Facility</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3"/>
              </w:rPr>
              <w:t>Our $750 million credit facility used to fund working capital needs, letters of credit and other corporate purposes,</w:t>
            </w:r>
          </w:p>
        </w:tc>
      </w:tr>
      <w:tr>
        <w:trPr>
          <w:trHeight w:val="230"/>
        </w:trPr>
        <w:tc>
          <w:tcPr>
            <w:tcW w:w="2480" w:type="dxa"/>
            <w:vAlign w:val="bottom"/>
            <w:shd w:val="clear" w:color="auto" w:fill="CEFFE7"/>
          </w:tcPr>
          <w:p>
            <w:pPr>
              <w:spacing w:after="0"/>
              <w:rPr>
                <w:sz w:val="20"/>
                <w:szCs w:val="20"/>
                <w:color w:val="auto"/>
              </w:rPr>
            </w:pP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rPr>
              <w:t>which was amended and restated on July 30, 2018, and now terminates on July 30, 2023.</w:t>
            </w:r>
          </w:p>
        </w:tc>
      </w:tr>
      <w:tr>
        <w:trPr>
          <w:trHeight w:val="27"/>
        </w:trPr>
        <w:tc>
          <w:tcPr>
            <w:tcW w:w="2480" w:type="dxa"/>
            <w:vAlign w:val="bottom"/>
            <w:shd w:val="clear" w:color="auto" w:fill="CEFFE7"/>
          </w:tcPr>
          <w:p>
            <w:pPr>
              <w:spacing w:after="0"/>
              <w:rPr>
                <w:sz w:val="2"/>
                <w:szCs w:val="2"/>
                <w:color w:val="auto"/>
              </w:rPr>
            </w:pPr>
          </w:p>
        </w:tc>
        <w:tc>
          <w:tcPr>
            <w:tcW w:w="876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SDPUC</w:t>
            </w:r>
          </w:p>
        </w:tc>
        <w:tc>
          <w:tcPr>
            <w:tcW w:w="8760" w:type="dxa"/>
            <w:vAlign w:val="bottom"/>
          </w:tcPr>
          <w:p>
            <w:pPr>
              <w:ind w:left="400"/>
              <w:spacing w:after="0"/>
              <w:rPr>
                <w:sz w:val="20"/>
                <w:szCs w:val="20"/>
                <w:color w:val="auto"/>
              </w:rPr>
            </w:pPr>
            <w:r>
              <w:rPr>
                <w:rFonts w:ascii="Arial" w:cs="Arial" w:eastAsia="Arial" w:hAnsi="Arial"/>
                <w:sz w:val="18"/>
                <w:szCs w:val="18"/>
                <w:color w:val="auto"/>
              </w:rPr>
              <w:t>South Dakota Public Utilities Commission</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SEC</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Service Guard Comfort Plan</w:t>
            </w:r>
          </w:p>
        </w:tc>
        <w:tc>
          <w:tcPr>
            <w:tcW w:w="8760" w:type="dxa"/>
            <w:vAlign w:val="bottom"/>
          </w:tcPr>
          <w:p>
            <w:pPr>
              <w:ind w:left="400"/>
              <w:spacing w:after="0"/>
              <w:rPr>
                <w:sz w:val="20"/>
                <w:szCs w:val="20"/>
                <w:color w:val="auto"/>
              </w:rPr>
            </w:pPr>
            <w:r>
              <w:rPr>
                <w:rFonts w:ascii="Arial" w:cs="Arial" w:eastAsia="Arial" w:hAnsi="Arial"/>
                <w:sz w:val="18"/>
                <w:szCs w:val="18"/>
                <w:color w:val="auto"/>
                <w:w w:val="91"/>
              </w:rPr>
              <w:t>New plan that will consolidate Service Guard and Customer Appliance Protection Plan (CAPP) and provide similar</w:t>
            </w:r>
          </w:p>
        </w:tc>
      </w:tr>
      <w:tr>
        <w:trPr>
          <w:trHeight w:val="230"/>
        </w:trPr>
        <w:tc>
          <w:tcPr>
            <w:tcW w:w="2480" w:type="dxa"/>
            <w:vAlign w:val="bottom"/>
          </w:tcPr>
          <w:p>
            <w:pPr>
              <w:spacing w:after="0"/>
              <w:rPr>
                <w:sz w:val="20"/>
                <w:szCs w:val="20"/>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w w:val="96"/>
              </w:rPr>
              <w:t>home appliance repair services through on-going monthly service agreements to residential utility customers.</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S&amp;P</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Standard and Poor’s, a division of The McGraw-Hill Companies, Inc.</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South Dakota Electric</w:t>
            </w:r>
          </w:p>
        </w:tc>
        <w:tc>
          <w:tcPr>
            <w:tcW w:w="8760" w:type="dxa"/>
            <w:vAlign w:val="bottom"/>
          </w:tcPr>
          <w:p>
            <w:pPr>
              <w:ind w:left="400"/>
              <w:spacing w:after="0"/>
              <w:rPr>
                <w:sz w:val="20"/>
                <w:szCs w:val="20"/>
                <w:color w:val="auto"/>
              </w:rPr>
            </w:pPr>
            <w:r>
              <w:rPr>
                <w:rFonts w:ascii="Arial" w:cs="Arial" w:eastAsia="Arial" w:hAnsi="Arial"/>
                <w:sz w:val="18"/>
                <w:szCs w:val="18"/>
                <w:color w:val="auto"/>
                <w:w w:val="94"/>
              </w:rPr>
              <w:t>Black Hills Power, Inc., a direct, wholly-owned subsidiary of Black Hills Corporation, providing electric service to</w:t>
            </w:r>
          </w:p>
        </w:tc>
      </w:tr>
      <w:tr>
        <w:trPr>
          <w:trHeight w:val="230"/>
        </w:trPr>
        <w:tc>
          <w:tcPr>
            <w:tcW w:w="2480" w:type="dxa"/>
            <w:vAlign w:val="bottom"/>
          </w:tcPr>
          <w:p>
            <w:pPr>
              <w:spacing w:after="0"/>
              <w:rPr>
                <w:sz w:val="20"/>
                <w:szCs w:val="20"/>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customers in Montana, South Dakota and Wyoming (doing business as Black Hills Energy).</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SSIR</w:t>
            </w: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System Safety and Integrity Rider</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TCJA</w:t>
            </w:r>
          </w:p>
        </w:tc>
        <w:tc>
          <w:tcPr>
            <w:tcW w:w="8760" w:type="dxa"/>
            <w:vAlign w:val="bottom"/>
          </w:tcPr>
          <w:p>
            <w:pPr>
              <w:ind w:left="400"/>
              <w:spacing w:after="0"/>
              <w:rPr>
                <w:sz w:val="20"/>
                <w:szCs w:val="20"/>
                <w:color w:val="auto"/>
              </w:rPr>
            </w:pPr>
            <w:r>
              <w:rPr>
                <w:rFonts w:ascii="Arial" w:cs="Arial" w:eastAsia="Arial" w:hAnsi="Arial"/>
                <w:sz w:val="18"/>
                <w:szCs w:val="18"/>
                <w:color w:val="auto"/>
              </w:rPr>
              <w:t>Tax Cuts and Jobs Act</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Tech Services</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3"/>
              </w:rPr>
              <w:t>Non-regulated product lines within Black Hills Corporation that 1) provide electrical system construction services</w:t>
            </w:r>
          </w:p>
        </w:tc>
      </w:tr>
      <w:tr>
        <w:trPr>
          <w:trHeight w:val="216"/>
        </w:trPr>
        <w:tc>
          <w:tcPr>
            <w:tcW w:w="2480" w:type="dxa"/>
            <w:vAlign w:val="bottom"/>
            <w:shd w:val="clear" w:color="auto" w:fill="CEFFE7"/>
          </w:tcPr>
          <w:p>
            <w:pPr>
              <w:spacing w:after="0"/>
              <w:rPr>
                <w:sz w:val="18"/>
                <w:szCs w:val="18"/>
                <w:color w:val="auto"/>
              </w:rPr>
            </w:pP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1"/>
              </w:rPr>
              <w:t>to large industrial customers of our electric utilities and 2) serve gas transportation customers throughout its service</w:t>
            </w:r>
          </w:p>
        </w:tc>
      </w:tr>
      <w:tr>
        <w:trPr>
          <w:trHeight w:val="216"/>
        </w:trPr>
        <w:tc>
          <w:tcPr>
            <w:tcW w:w="2480" w:type="dxa"/>
            <w:vAlign w:val="bottom"/>
            <w:shd w:val="clear" w:color="auto" w:fill="CEFFE7"/>
          </w:tcPr>
          <w:p>
            <w:pPr>
              <w:spacing w:after="0"/>
              <w:rPr>
                <w:sz w:val="18"/>
                <w:szCs w:val="18"/>
                <w:color w:val="auto"/>
              </w:rPr>
            </w:pP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4"/>
              </w:rPr>
              <w:t>territory by constructing and maintaining customer-owner gas infrastructure facilities, typically through one-time</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contracts.</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Utilities</w:t>
            </w:r>
          </w:p>
        </w:tc>
        <w:tc>
          <w:tcPr>
            <w:tcW w:w="8760" w:type="dxa"/>
            <w:vAlign w:val="bottom"/>
          </w:tcPr>
          <w:p>
            <w:pPr>
              <w:ind w:left="400"/>
              <w:spacing w:after="0"/>
              <w:rPr>
                <w:sz w:val="20"/>
                <w:szCs w:val="20"/>
                <w:color w:val="auto"/>
              </w:rPr>
            </w:pPr>
            <w:r>
              <w:rPr>
                <w:rFonts w:ascii="Arial" w:cs="Arial" w:eastAsia="Arial" w:hAnsi="Arial"/>
                <w:sz w:val="18"/>
                <w:szCs w:val="18"/>
                <w:color w:val="auto"/>
              </w:rPr>
              <w:t>Black Hills’ Electric and Gas Utilities</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Wind Capacity Factor</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9"/>
              </w:rPr>
              <w:t>Measures the amount of electricity a wind turbine produces in a given time period relative to its maximum</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potential</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WPSC</w:t>
            </w:r>
          </w:p>
        </w:tc>
        <w:tc>
          <w:tcPr>
            <w:tcW w:w="8760" w:type="dxa"/>
            <w:vAlign w:val="bottom"/>
          </w:tcPr>
          <w:p>
            <w:pPr>
              <w:ind w:left="400"/>
              <w:spacing w:after="0"/>
              <w:rPr>
                <w:sz w:val="20"/>
                <w:szCs w:val="20"/>
                <w:color w:val="auto"/>
              </w:rPr>
            </w:pPr>
            <w:r>
              <w:rPr>
                <w:rFonts w:ascii="Arial" w:cs="Arial" w:eastAsia="Arial" w:hAnsi="Arial"/>
                <w:sz w:val="18"/>
                <w:szCs w:val="18"/>
                <w:color w:val="auto"/>
              </w:rPr>
              <w:t>Wyoming Public Service Commission</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WRDC</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6"/>
              </w:rPr>
              <w:t>Wyodak Resources Development Corporation, a direct, wholly-owned subsidiary of Black Hills Non-regulated</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Holdings (doing business as Black Hills Energy)</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Wygen I</w:t>
            </w:r>
          </w:p>
        </w:tc>
        <w:tc>
          <w:tcPr>
            <w:tcW w:w="8760" w:type="dxa"/>
            <w:vAlign w:val="bottom"/>
          </w:tcPr>
          <w:p>
            <w:pPr>
              <w:ind w:left="400"/>
              <w:spacing w:after="0"/>
              <w:rPr>
                <w:sz w:val="20"/>
                <w:szCs w:val="20"/>
                <w:color w:val="auto"/>
              </w:rPr>
            </w:pPr>
            <w:r>
              <w:rPr>
                <w:rFonts w:ascii="Arial" w:cs="Arial" w:eastAsia="Arial" w:hAnsi="Arial"/>
                <w:sz w:val="18"/>
                <w:szCs w:val="18"/>
                <w:color w:val="auto"/>
                <w:w w:val="97"/>
              </w:rPr>
              <w:t>A mine-mouth, coal-fired power plant with a total capacity of 90 MW located at our Gillette, Wyoming energy</w:t>
            </w:r>
          </w:p>
        </w:tc>
      </w:tr>
      <w:tr>
        <w:trPr>
          <w:trHeight w:val="216"/>
        </w:trPr>
        <w:tc>
          <w:tcPr>
            <w:tcW w:w="248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w w:val="96"/>
              </w:rPr>
              <w:t>complex. We own 76.5% of the plant and Municipal Energy Agency of Nebraska (MEAN) owns the remaining</w:t>
            </w:r>
          </w:p>
        </w:tc>
      </w:tr>
      <w:tr>
        <w:trPr>
          <w:trHeight w:val="230"/>
        </w:trPr>
        <w:tc>
          <w:tcPr>
            <w:tcW w:w="2480" w:type="dxa"/>
            <w:vAlign w:val="bottom"/>
          </w:tcPr>
          <w:p>
            <w:pPr>
              <w:spacing w:after="0"/>
              <w:rPr>
                <w:sz w:val="20"/>
                <w:szCs w:val="20"/>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23.5%.</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Wyodak Plant</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w w:val="96"/>
              </w:rPr>
              <w:t>Wyodak, a 362 MW mine-mouth coal-fired plant in Gillette, Wyoming, owned 80% by PacifiCorp and 20% by</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South Dakota Electric. Our WRDC mine supplies all of the fuel for the plant.</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Wyoming Electric</w:t>
            </w:r>
          </w:p>
        </w:tc>
        <w:tc>
          <w:tcPr>
            <w:tcW w:w="8760" w:type="dxa"/>
            <w:vAlign w:val="bottom"/>
          </w:tcPr>
          <w:p>
            <w:pPr>
              <w:ind w:left="400"/>
              <w:spacing w:after="0"/>
              <w:rPr>
                <w:sz w:val="20"/>
                <w:szCs w:val="20"/>
                <w:color w:val="auto"/>
              </w:rPr>
            </w:pPr>
            <w:r>
              <w:rPr>
                <w:rFonts w:ascii="Arial" w:cs="Arial" w:eastAsia="Arial" w:hAnsi="Arial"/>
                <w:sz w:val="18"/>
                <w:szCs w:val="18"/>
                <w:color w:val="auto"/>
              </w:rPr>
              <w:t>Cheyenne Light, Fuel and Power Company, a direct, wholly-owned subsidiary of Black Hills Corporation,</w:t>
            </w:r>
          </w:p>
        </w:tc>
      </w:tr>
      <w:tr>
        <w:trPr>
          <w:trHeight w:val="230"/>
        </w:trPr>
        <w:tc>
          <w:tcPr>
            <w:tcW w:w="2480" w:type="dxa"/>
            <w:vAlign w:val="bottom"/>
          </w:tcPr>
          <w:p>
            <w:pPr>
              <w:spacing w:after="0"/>
              <w:rPr>
                <w:sz w:val="20"/>
                <w:szCs w:val="20"/>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w w:val="94"/>
              </w:rPr>
              <w:t>providing electric service to customers in the Cheyenne, Wyoming area (doing business as Black Hills Energy).</w:t>
            </w:r>
          </w:p>
        </w:tc>
      </w:tr>
      <w:tr>
        <w:trPr>
          <w:trHeight w:val="27"/>
        </w:trPr>
        <w:tc>
          <w:tcPr>
            <w:tcW w:w="248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Wyoming Gas</w:t>
            </w:r>
          </w:p>
        </w:tc>
        <w:tc>
          <w:tcPr>
            <w:tcW w:w="8760" w:type="dxa"/>
            <w:vAlign w:val="bottom"/>
            <w:shd w:val="clear" w:color="auto" w:fill="CEFFE7"/>
          </w:tcPr>
          <w:p>
            <w:pPr>
              <w:ind w:left="400"/>
              <w:spacing w:after="0"/>
              <w:rPr>
                <w:sz w:val="20"/>
                <w:szCs w:val="20"/>
                <w:color w:val="auto"/>
              </w:rPr>
            </w:pPr>
            <w:r>
              <w:rPr>
                <w:rFonts w:ascii="Arial" w:cs="Arial" w:eastAsia="Arial" w:hAnsi="Arial"/>
                <w:sz w:val="18"/>
                <w:szCs w:val="18"/>
                <w:color w:val="auto"/>
              </w:rPr>
              <w:t>Black Hills Wyoming Gas, LLC, an indirect and wholly-owned subsidiary of Black Hills Utility Holdings,</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760" w:type="dxa"/>
            <w:vAlign w:val="bottom"/>
            <w:tcBorders>
              <w:bottom w:val="single" w:sz="8" w:color="CEFFE7"/>
            </w:tcBorders>
            <w:shd w:val="clear" w:color="auto" w:fill="CEFFE7"/>
          </w:tcPr>
          <w:p>
            <w:pPr>
              <w:ind w:left="400"/>
              <w:spacing w:after="0"/>
              <w:rPr>
                <w:sz w:val="20"/>
                <w:szCs w:val="20"/>
                <w:color w:val="auto"/>
              </w:rPr>
            </w:pPr>
            <w:r>
              <w:rPr>
                <w:rFonts w:ascii="Arial" w:cs="Arial" w:eastAsia="Arial" w:hAnsi="Arial"/>
                <w:sz w:val="18"/>
                <w:szCs w:val="18"/>
                <w:color w:val="auto"/>
              </w:rPr>
              <w:t>providing natural gas services to customers in Wyoming (doing business as Black Hills Energy).</w:t>
            </w:r>
          </w:p>
        </w:tc>
      </w:tr>
      <w:tr>
        <w:trPr>
          <w:trHeight w:val="486"/>
        </w:trPr>
        <w:tc>
          <w:tcPr>
            <w:tcW w:w="2480" w:type="dxa"/>
            <w:vAlign w:val="bottom"/>
          </w:tcPr>
          <w:p>
            <w:pPr>
              <w:spacing w:after="0"/>
              <w:rPr>
                <w:sz w:val="24"/>
                <w:szCs w:val="24"/>
                <w:color w:val="auto"/>
              </w:rPr>
            </w:pPr>
          </w:p>
        </w:tc>
        <w:tc>
          <w:tcPr>
            <w:tcW w:w="8760" w:type="dxa"/>
            <w:vAlign w:val="bottom"/>
          </w:tcPr>
          <w:p>
            <w:pPr>
              <w:ind w:left="3100"/>
              <w:spacing w:after="0"/>
              <w:rPr>
                <w:sz w:val="20"/>
                <w:szCs w:val="20"/>
                <w:color w:val="auto"/>
              </w:rPr>
            </w:pPr>
            <w:r>
              <w:rPr>
                <w:rFonts w:ascii="Arial" w:cs="Arial" w:eastAsia="Arial" w:hAnsi="Arial"/>
                <w:sz w:val="18"/>
                <w:szCs w:val="18"/>
                <w:color w:val="auto"/>
              </w:rPr>
              <w:t>6</w:t>
            </w:r>
          </w:p>
        </w:tc>
      </w:tr>
      <w:tr>
        <w:trPr>
          <w:trHeight w:val="358"/>
        </w:trPr>
        <w:tc>
          <w:tcPr>
            <w:tcW w:w="248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80" w:type="dxa"/>
            <w:vAlign w:val="bottom"/>
          </w:tcPr>
          <w:p>
            <w:pPr>
              <w:ind w:left="20"/>
              <w:spacing w:after="0"/>
              <w:rPr>
                <w:sz w:val="20"/>
                <w:szCs w:val="20"/>
                <w:color w:val="auto"/>
              </w:rPr>
            </w:pPr>
            <w:r>
              <w:rPr>
                <w:rFonts w:ascii="Arial" w:cs="Arial" w:eastAsia="Arial" w:hAnsi="Arial"/>
                <w:sz w:val="16"/>
                <w:szCs w:val="16"/>
                <w:color w:val="auto"/>
              </w:rPr>
              <w:t>(unaudited)</w:t>
            </w:r>
          </w:p>
        </w:tc>
        <w:tc>
          <w:tcPr>
            <w:tcW w:w="220" w:type="dxa"/>
            <w:vAlign w:val="bottom"/>
          </w:tcPr>
          <w:p>
            <w:pPr>
              <w:spacing w:after="0"/>
              <w:rPr>
                <w:sz w:val="17"/>
                <w:szCs w:val="17"/>
                <w:color w:val="auto"/>
              </w:rPr>
            </w:pPr>
          </w:p>
        </w:tc>
        <w:tc>
          <w:tcPr>
            <w:tcW w:w="2360" w:type="dxa"/>
            <w:vAlign w:val="bottom"/>
            <w:gridSpan w:val="3"/>
          </w:tcPr>
          <w:p>
            <w:pPr>
              <w:jc w:val="right"/>
              <w:ind w:right="199"/>
              <w:spacing w:after="0"/>
              <w:rPr>
                <w:sz w:val="20"/>
                <w:szCs w:val="20"/>
                <w:color w:val="auto"/>
              </w:rPr>
            </w:pPr>
            <w:r>
              <w:rPr>
                <w:rFonts w:ascii="Arial" w:cs="Arial" w:eastAsia="Arial" w:hAnsi="Arial"/>
                <w:sz w:val="16"/>
                <w:szCs w:val="16"/>
                <w:color w:val="auto"/>
                <w:w w:val="95"/>
              </w:rPr>
              <w:t>Three Months Ended June 30,</w:t>
            </w:r>
          </w:p>
        </w:tc>
        <w:tc>
          <w:tcPr>
            <w:tcW w:w="300" w:type="dxa"/>
            <w:vAlign w:val="bottom"/>
          </w:tcPr>
          <w:p>
            <w:pPr>
              <w:spacing w:after="0"/>
              <w:rPr>
                <w:sz w:val="17"/>
                <w:szCs w:val="17"/>
                <w:color w:val="auto"/>
              </w:rPr>
            </w:pPr>
          </w:p>
        </w:tc>
        <w:tc>
          <w:tcPr>
            <w:tcW w:w="2380" w:type="dxa"/>
            <w:vAlign w:val="bottom"/>
            <w:gridSpan w:val="3"/>
          </w:tcPr>
          <w:p>
            <w:pPr>
              <w:jc w:val="right"/>
              <w:ind w:right="339"/>
              <w:spacing w:after="0"/>
              <w:rPr>
                <w:sz w:val="20"/>
                <w:szCs w:val="20"/>
                <w:color w:val="auto"/>
              </w:rPr>
            </w:pPr>
            <w:r>
              <w:rPr>
                <w:rFonts w:ascii="Arial" w:cs="Arial" w:eastAsia="Arial" w:hAnsi="Arial"/>
                <w:sz w:val="16"/>
                <w:szCs w:val="16"/>
                <w:color w:val="auto"/>
                <w:w w:val="99"/>
              </w:rPr>
              <w:t>Six Months Ended June 30,</w:t>
            </w:r>
          </w:p>
        </w:tc>
      </w:tr>
      <w:tr>
        <w:trPr>
          <w:trHeight w:val="257"/>
        </w:trPr>
        <w:tc>
          <w:tcPr>
            <w:tcW w:w="5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22"/>
                <w:szCs w:val="22"/>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22"/>
                <w:szCs w:val="22"/>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22"/>
                <w:szCs w:val="22"/>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color w:val="auto"/>
              </w:rPr>
              <w:t>2019</w:t>
            </w:r>
          </w:p>
        </w:tc>
      </w:tr>
      <w:tr>
        <w:trPr>
          <w:trHeight w:val="33"/>
        </w:trPr>
        <w:tc>
          <w:tcPr>
            <w:tcW w:w="5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80" w:type="dxa"/>
            <w:vAlign w:val="bottom"/>
            <w:gridSpan w:val="5"/>
          </w:tcPr>
          <w:p>
            <w:pPr>
              <w:jc w:val="right"/>
              <w:ind w:right="199"/>
              <w:spacing w:after="0"/>
              <w:rPr>
                <w:sz w:val="20"/>
                <w:szCs w:val="20"/>
                <w:color w:val="auto"/>
              </w:rPr>
            </w:pPr>
            <w:r>
              <w:rPr>
                <w:rFonts w:ascii="Arial" w:cs="Arial" w:eastAsia="Arial" w:hAnsi="Arial"/>
                <w:sz w:val="16"/>
                <w:szCs w:val="16"/>
                <w:color w:val="auto"/>
                <w:w w:val="90"/>
              </w:rPr>
              <w:t>(in thousands, except per share amounts)</w:t>
            </w:r>
          </w:p>
        </w:tc>
        <w:tc>
          <w:tcPr>
            <w:tcW w:w="1020" w:type="dxa"/>
            <w:vAlign w:val="bottom"/>
          </w:tcPr>
          <w:p>
            <w:pPr>
              <w:spacing w:after="0"/>
              <w:rPr>
                <w:sz w:val="18"/>
                <w:szCs w:val="18"/>
                <w:color w:val="auto"/>
              </w:rPr>
            </w:pPr>
          </w:p>
        </w:tc>
      </w:tr>
      <w:tr>
        <w:trPr>
          <w:trHeight w:val="181"/>
        </w:trPr>
        <w:tc>
          <w:tcPr>
            <w:tcW w:w="5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7"/>
        </w:trPr>
        <w:tc>
          <w:tcPr>
            <w:tcW w:w="5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326,914</w:t>
            </w:r>
          </w:p>
        </w:tc>
        <w:tc>
          <w:tcPr>
            <w:tcW w:w="36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333,888</w:t>
            </w:r>
          </w:p>
        </w:tc>
        <w:tc>
          <w:tcPr>
            <w:tcW w:w="3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863,964</w:t>
            </w:r>
          </w:p>
        </w:tc>
        <w:tc>
          <w:tcPr>
            <w:tcW w:w="34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931,698</w:t>
            </w:r>
          </w:p>
        </w:tc>
      </w:tr>
      <w:tr>
        <w:trPr>
          <w:trHeight w:val="128"/>
        </w:trPr>
        <w:tc>
          <w:tcPr>
            <w:tcW w:w="5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r>
      <w:tr>
        <w:trPr>
          <w:trHeight w:val="237"/>
        </w:trPr>
        <w:tc>
          <w:tcPr>
            <w:tcW w:w="5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spacing w:after="0"/>
              <w:rPr>
                <w:sz w:val="20"/>
                <w:szCs w:val="20"/>
                <w:color w:val="auto"/>
              </w:rPr>
            </w:pPr>
          </w:p>
        </w:tc>
        <w:tc>
          <w:tcPr>
            <w:tcW w:w="3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spacing w:after="0"/>
              <w:rPr>
                <w:sz w:val="20"/>
                <w:szCs w:val="20"/>
                <w:color w:val="auto"/>
              </w:rPr>
            </w:pPr>
          </w:p>
        </w:tc>
        <w:tc>
          <w:tcPr>
            <w:tcW w:w="30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spacing w:after="0"/>
              <w:rPr>
                <w:sz w:val="20"/>
                <w:szCs w:val="20"/>
                <w:color w:val="auto"/>
              </w:rPr>
            </w:pPr>
          </w:p>
        </w:tc>
        <w:tc>
          <w:tcPr>
            <w:tcW w:w="34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spacing w:after="0"/>
              <w:rPr>
                <w:sz w:val="20"/>
                <w:szCs w:val="20"/>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2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71,629</w:t>
            </w:r>
          </w:p>
        </w:tc>
        <w:tc>
          <w:tcPr>
            <w:tcW w:w="3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90,200</w:t>
            </w: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259,508</w:t>
            </w:r>
          </w:p>
        </w:tc>
        <w:tc>
          <w:tcPr>
            <w:tcW w:w="3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339,942</w:t>
            </w: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5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22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117,308</w:t>
            </w:r>
          </w:p>
        </w:tc>
        <w:tc>
          <w:tcPr>
            <w:tcW w:w="3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124,950</w:t>
            </w:r>
          </w:p>
        </w:tc>
        <w:tc>
          <w:tcPr>
            <w:tcW w:w="30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242,774</w:t>
            </w:r>
          </w:p>
        </w:tc>
        <w:tc>
          <w:tcPr>
            <w:tcW w:w="34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248,534</w:t>
            </w:r>
          </w:p>
        </w:tc>
      </w:tr>
      <w:tr>
        <w:trPr>
          <w:trHeight w:val="247"/>
        </w:trPr>
        <w:tc>
          <w:tcPr>
            <w:tcW w:w="598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2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56,663</w:t>
            </w:r>
          </w:p>
        </w:tc>
        <w:tc>
          <w:tcPr>
            <w:tcW w:w="3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51,595</w:t>
            </w:r>
          </w:p>
        </w:tc>
        <w:tc>
          <w:tcPr>
            <w:tcW w:w="30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113,065</w:t>
            </w:r>
          </w:p>
        </w:tc>
        <w:tc>
          <w:tcPr>
            <w:tcW w:w="34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102,623</w:t>
            </w:r>
          </w:p>
        </w:tc>
      </w:tr>
      <w:tr>
        <w:trPr>
          <w:trHeight w:val="266"/>
        </w:trPr>
        <w:tc>
          <w:tcPr>
            <w:tcW w:w="5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Taxes - property and production</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14,381</w:t>
            </w:r>
          </w:p>
        </w:tc>
        <w:tc>
          <w:tcPr>
            <w:tcW w:w="36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13,142</w:t>
            </w:r>
          </w:p>
        </w:tc>
        <w:tc>
          <w:tcPr>
            <w:tcW w:w="30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28,499</w:t>
            </w:r>
          </w:p>
        </w:tc>
        <w:tc>
          <w:tcPr>
            <w:tcW w:w="3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26,467</w:t>
            </w:r>
          </w:p>
        </w:tc>
      </w:tr>
      <w:tr>
        <w:trPr>
          <w:trHeight w:val="217"/>
        </w:trPr>
        <w:tc>
          <w:tcPr>
            <w:tcW w:w="598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259,981</w:t>
            </w: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279,887</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643,846</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717,566</w:t>
            </w:r>
          </w:p>
        </w:tc>
      </w:tr>
      <w:tr>
        <w:trPr>
          <w:trHeight w:val="33"/>
        </w:trPr>
        <w:tc>
          <w:tcPr>
            <w:tcW w:w="598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980" w:type="dxa"/>
            <w:vAlign w:val="bottom"/>
            <w:shd w:val="clear" w:color="auto" w:fill="CEFFE7"/>
          </w:tcPr>
          <w:p>
            <w:pPr>
              <w:spacing w:after="0"/>
              <w:rPr>
                <w:sz w:val="11"/>
                <w:szCs w:val="11"/>
                <w:color w:val="auto"/>
              </w:rPr>
            </w:pPr>
          </w:p>
        </w:tc>
        <w:tc>
          <w:tcPr>
            <w:tcW w:w="220" w:type="dxa"/>
            <w:vAlign w:val="bottom"/>
            <w:shd w:val="clear" w:color="auto" w:fill="CEFFE7"/>
          </w:tcPr>
          <w:p>
            <w:pPr>
              <w:spacing w:after="0"/>
              <w:rPr>
                <w:sz w:val="11"/>
                <w:szCs w:val="11"/>
                <w:color w:val="auto"/>
              </w:rPr>
            </w:pPr>
          </w:p>
        </w:tc>
        <w:tc>
          <w:tcPr>
            <w:tcW w:w="1040" w:type="dxa"/>
            <w:vAlign w:val="bottom"/>
            <w:shd w:val="clear" w:color="auto" w:fill="CEFFE7"/>
          </w:tcPr>
          <w:p>
            <w:pPr>
              <w:spacing w:after="0"/>
              <w:rPr>
                <w:sz w:val="11"/>
                <w:szCs w:val="11"/>
                <w:color w:val="auto"/>
              </w:rPr>
            </w:pPr>
          </w:p>
        </w:tc>
        <w:tc>
          <w:tcPr>
            <w:tcW w:w="360" w:type="dxa"/>
            <w:vAlign w:val="bottom"/>
            <w:shd w:val="clear" w:color="auto" w:fill="CEFFE7"/>
          </w:tcPr>
          <w:p>
            <w:pPr>
              <w:spacing w:after="0"/>
              <w:rPr>
                <w:sz w:val="11"/>
                <w:szCs w:val="11"/>
                <w:color w:val="auto"/>
              </w:rPr>
            </w:pPr>
          </w:p>
        </w:tc>
        <w:tc>
          <w:tcPr>
            <w:tcW w:w="960" w:type="dxa"/>
            <w:vAlign w:val="bottom"/>
            <w:shd w:val="clear" w:color="auto" w:fill="CEFFE7"/>
          </w:tcPr>
          <w:p>
            <w:pPr>
              <w:spacing w:after="0"/>
              <w:rPr>
                <w:sz w:val="11"/>
                <w:szCs w:val="11"/>
                <w:color w:val="auto"/>
              </w:rPr>
            </w:pPr>
          </w:p>
        </w:tc>
        <w:tc>
          <w:tcPr>
            <w:tcW w:w="300" w:type="dxa"/>
            <w:vAlign w:val="bottom"/>
            <w:shd w:val="clear" w:color="auto" w:fill="CEFFE7"/>
          </w:tcPr>
          <w:p>
            <w:pPr>
              <w:spacing w:after="0"/>
              <w:rPr>
                <w:sz w:val="11"/>
                <w:szCs w:val="11"/>
                <w:color w:val="auto"/>
              </w:rPr>
            </w:pPr>
          </w:p>
        </w:tc>
        <w:tc>
          <w:tcPr>
            <w:tcW w:w="1020" w:type="dxa"/>
            <w:vAlign w:val="bottom"/>
            <w:shd w:val="clear" w:color="auto" w:fill="CEFFE7"/>
          </w:tcPr>
          <w:p>
            <w:pPr>
              <w:spacing w:after="0"/>
              <w:rPr>
                <w:sz w:val="11"/>
                <w:szCs w:val="11"/>
                <w:color w:val="auto"/>
              </w:rPr>
            </w:pPr>
          </w:p>
        </w:tc>
        <w:tc>
          <w:tcPr>
            <w:tcW w:w="340" w:type="dxa"/>
            <w:vAlign w:val="bottom"/>
            <w:shd w:val="clear" w:color="auto" w:fill="CEFFE7"/>
          </w:tcPr>
          <w:p>
            <w:pPr>
              <w:spacing w:after="0"/>
              <w:rPr>
                <w:sz w:val="11"/>
                <w:szCs w:val="11"/>
                <w:color w:val="auto"/>
              </w:rPr>
            </w:pPr>
          </w:p>
        </w:tc>
        <w:tc>
          <w:tcPr>
            <w:tcW w:w="1020" w:type="dxa"/>
            <w:vAlign w:val="bottom"/>
            <w:shd w:val="clear" w:color="auto" w:fill="CEFFE7"/>
          </w:tcPr>
          <w:p>
            <w:pPr>
              <w:spacing w:after="0"/>
              <w:rPr>
                <w:sz w:val="11"/>
                <w:szCs w:val="11"/>
                <w:color w:val="auto"/>
              </w:rPr>
            </w:pPr>
          </w:p>
        </w:tc>
      </w:tr>
      <w:tr>
        <w:trPr>
          <w:trHeight w:val="224"/>
        </w:trPr>
        <w:tc>
          <w:tcPr>
            <w:tcW w:w="59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66,933</w:t>
            </w:r>
          </w:p>
        </w:tc>
        <w:tc>
          <w:tcPr>
            <w:tcW w:w="3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54,001</w:t>
            </w: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220,118</w:t>
            </w:r>
          </w:p>
        </w:tc>
        <w:tc>
          <w:tcPr>
            <w:tcW w:w="3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214,132</w:t>
            </w:r>
          </w:p>
        </w:tc>
      </w:tr>
      <w:tr>
        <w:trPr>
          <w:trHeight w:val="33"/>
        </w:trPr>
        <w:tc>
          <w:tcPr>
            <w:tcW w:w="598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980" w:type="dxa"/>
            <w:vAlign w:val="bottom"/>
            <w:shd w:val="clear" w:color="auto" w:fill="CEFFE7"/>
          </w:tcPr>
          <w:p>
            <w:pPr>
              <w:spacing w:after="0"/>
              <w:rPr>
                <w:sz w:val="11"/>
                <w:szCs w:val="11"/>
                <w:color w:val="auto"/>
              </w:rPr>
            </w:pPr>
          </w:p>
        </w:tc>
        <w:tc>
          <w:tcPr>
            <w:tcW w:w="220" w:type="dxa"/>
            <w:vAlign w:val="bottom"/>
            <w:shd w:val="clear" w:color="auto" w:fill="CEFFE7"/>
          </w:tcPr>
          <w:p>
            <w:pPr>
              <w:spacing w:after="0"/>
              <w:rPr>
                <w:sz w:val="11"/>
                <w:szCs w:val="11"/>
                <w:color w:val="auto"/>
              </w:rPr>
            </w:pPr>
          </w:p>
        </w:tc>
        <w:tc>
          <w:tcPr>
            <w:tcW w:w="1040" w:type="dxa"/>
            <w:vAlign w:val="bottom"/>
            <w:shd w:val="clear" w:color="auto" w:fill="CEFFE7"/>
          </w:tcPr>
          <w:p>
            <w:pPr>
              <w:spacing w:after="0"/>
              <w:rPr>
                <w:sz w:val="11"/>
                <w:szCs w:val="11"/>
                <w:color w:val="auto"/>
              </w:rPr>
            </w:pPr>
          </w:p>
        </w:tc>
        <w:tc>
          <w:tcPr>
            <w:tcW w:w="360" w:type="dxa"/>
            <w:vAlign w:val="bottom"/>
            <w:shd w:val="clear" w:color="auto" w:fill="CEFFE7"/>
          </w:tcPr>
          <w:p>
            <w:pPr>
              <w:spacing w:after="0"/>
              <w:rPr>
                <w:sz w:val="11"/>
                <w:szCs w:val="11"/>
                <w:color w:val="auto"/>
              </w:rPr>
            </w:pPr>
          </w:p>
        </w:tc>
        <w:tc>
          <w:tcPr>
            <w:tcW w:w="960" w:type="dxa"/>
            <w:vAlign w:val="bottom"/>
            <w:shd w:val="clear" w:color="auto" w:fill="CEFFE7"/>
          </w:tcPr>
          <w:p>
            <w:pPr>
              <w:spacing w:after="0"/>
              <w:rPr>
                <w:sz w:val="11"/>
                <w:szCs w:val="11"/>
                <w:color w:val="auto"/>
              </w:rPr>
            </w:pPr>
          </w:p>
        </w:tc>
        <w:tc>
          <w:tcPr>
            <w:tcW w:w="300" w:type="dxa"/>
            <w:vAlign w:val="bottom"/>
            <w:shd w:val="clear" w:color="auto" w:fill="CEFFE7"/>
          </w:tcPr>
          <w:p>
            <w:pPr>
              <w:spacing w:after="0"/>
              <w:rPr>
                <w:sz w:val="11"/>
                <w:szCs w:val="11"/>
                <w:color w:val="auto"/>
              </w:rPr>
            </w:pPr>
          </w:p>
        </w:tc>
        <w:tc>
          <w:tcPr>
            <w:tcW w:w="1020" w:type="dxa"/>
            <w:vAlign w:val="bottom"/>
            <w:shd w:val="clear" w:color="auto" w:fill="CEFFE7"/>
          </w:tcPr>
          <w:p>
            <w:pPr>
              <w:spacing w:after="0"/>
              <w:rPr>
                <w:sz w:val="11"/>
                <w:szCs w:val="11"/>
                <w:color w:val="auto"/>
              </w:rPr>
            </w:pPr>
          </w:p>
        </w:tc>
        <w:tc>
          <w:tcPr>
            <w:tcW w:w="340" w:type="dxa"/>
            <w:vAlign w:val="bottom"/>
            <w:shd w:val="clear" w:color="auto" w:fill="CEFFE7"/>
          </w:tcPr>
          <w:p>
            <w:pPr>
              <w:spacing w:after="0"/>
              <w:rPr>
                <w:sz w:val="11"/>
                <w:szCs w:val="11"/>
                <w:color w:val="auto"/>
              </w:rPr>
            </w:pPr>
          </w:p>
        </w:tc>
        <w:tc>
          <w:tcPr>
            <w:tcW w:w="1020" w:type="dxa"/>
            <w:vAlign w:val="bottom"/>
            <w:shd w:val="clear" w:color="auto" w:fill="CEFFE7"/>
          </w:tcPr>
          <w:p>
            <w:pPr>
              <w:spacing w:after="0"/>
              <w:rPr>
                <w:sz w:val="11"/>
                <w:szCs w:val="11"/>
                <w:color w:val="auto"/>
              </w:rPr>
            </w:pPr>
          </w:p>
        </w:tc>
      </w:tr>
      <w:tr>
        <w:trPr>
          <w:trHeight w:val="224"/>
        </w:trPr>
        <w:tc>
          <w:tcPr>
            <w:tcW w:w="59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59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 incurred net of amounts capitalized (including amortization of debt</w:t>
            </w:r>
          </w:p>
        </w:tc>
        <w:tc>
          <w:tcPr>
            <w:tcW w:w="220" w:type="dxa"/>
            <w:vAlign w:val="bottom"/>
            <w:shd w:val="clear" w:color="auto" w:fill="CEFFE7"/>
          </w:tcPr>
          <w:p>
            <w:pPr>
              <w:spacing w:after="0"/>
              <w:rPr>
                <w:sz w:val="19"/>
                <w:szCs w:val="19"/>
                <w:color w:val="auto"/>
              </w:rPr>
            </w:pPr>
          </w:p>
        </w:tc>
        <w:tc>
          <w:tcPr>
            <w:tcW w:w="104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r>
      <w:tr>
        <w:trPr>
          <w:trHeight w:val="219"/>
        </w:trPr>
        <w:tc>
          <w:tcPr>
            <w:tcW w:w="5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issuance costs, premiums and discounts)</w:t>
            </w:r>
          </w:p>
        </w:tc>
        <w:tc>
          <w:tcPr>
            <w:tcW w:w="220" w:type="dxa"/>
            <w:vAlign w:val="bottom"/>
            <w:tcBorders>
              <w:bottom w:val="single" w:sz="8" w:color="CEFFE7"/>
            </w:tcBorders>
            <w:shd w:val="clear" w:color="auto" w:fill="CEFFE7"/>
          </w:tcPr>
          <w:p>
            <w:pPr>
              <w:spacing w:after="0"/>
              <w:rPr>
                <w:sz w:val="19"/>
                <w:szCs w:val="19"/>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(35,765)</w:t>
            </w:r>
          </w:p>
        </w:tc>
        <w:tc>
          <w:tcPr>
            <w:tcW w:w="360" w:type="dxa"/>
            <w:vAlign w:val="bottom"/>
            <w:tcBorders>
              <w:bottom w:val="single" w:sz="8" w:color="CEFFE7"/>
            </w:tcBorders>
            <w:shd w:val="clear" w:color="auto" w:fill="CEFFE7"/>
          </w:tcPr>
          <w:p>
            <w:pPr>
              <w:spacing w:after="0"/>
              <w:rPr>
                <w:sz w:val="19"/>
                <w:szCs w:val="19"/>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(34,660)</w:t>
            </w:r>
          </w:p>
        </w:tc>
        <w:tc>
          <w:tcPr>
            <w:tcW w:w="300" w:type="dxa"/>
            <w:vAlign w:val="bottom"/>
            <w:tcBorders>
              <w:bottom w:val="single" w:sz="8" w:color="CEFFE7"/>
            </w:tcBorders>
            <w:shd w:val="clear" w:color="auto" w:fill="CEFFE7"/>
          </w:tcPr>
          <w:p>
            <w:pPr>
              <w:spacing w:after="0"/>
              <w:rPr>
                <w:sz w:val="19"/>
                <w:szCs w:val="19"/>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(71,546)</w:t>
            </w:r>
          </w:p>
        </w:tc>
        <w:tc>
          <w:tcPr>
            <w:tcW w:w="340" w:type="dxa"/>
            <w:vAlign w:val="bottom"/>
            <w:tcBorders>
              <w:bottom w:val="single" w:sz="8" w:color="CEFFE7"/>
            </w:tcBorders>
            <w:shd w:val="clear" w:color="auto" w:fill="CEFFE7"/>
          </w:tcPr>
          <w:p>
            <w:pPr>
              <w:spacing w:after="0"/>
              <w:rPr>
                <w:sz w:val="19"/>
                <w:szCs w:val="19"/>
                <w:color w:val="auto"/>
              </w:rPr>
            </w:pPr>
          </w:p>
        </w:tc>
        <w:tc>
          <w:tcPr>
            <w:tcW w:w="10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(69,676)</w:t>
            </w: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3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396</w:t>
            </w: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3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695</w:t>
            </w: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5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Impairment of investment</w:t>
            </w:r>
          </w:p>
        </w:tc>
        <w:tc>
          <w:tcPr>
            <w:tcW w:w="22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(6,859)</w:t>
            </w:r>
          </w:p>
        </w:tc>
        <w:tc>
          <w:tcPr>
            <w:tcW w:w="34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(1,863)</w:t>
            </w:r>
          </w:p>
        </w:tc>
        <w:tc>
          <w:tcPr>
            <w:tcW w:w="3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(526)</w:t>
            </w:r>
          </w:p>
        </w:tc>
      </w:tr>
      <w:tr>
        <w:trPr>
          <w:trHeight w:val="33"/>
        </w:trPr>
        <w:tc>
          <w:tcPr>
            <w:tcW w:w="598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980" w:type="dxa"/>
            <w:vAlign w:val="bottom"/>
            <w:tcBorders>
              <w:bottom w:val="single" w:sz="8" w:color="CEFFE7"/>
            </w:tcBorders>
            <w:shd w:val="clear" w:color="auto" w:fill="CEFFE7"/>
          </w:tcPr>
          <w:p>
            <w:pPr>
              <w:ind w:left="46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(37,408)</w:t>
            </w:r>
          </w:p>
        </w:tc>
        <w:tc>
          <w:tcPr>
            <w:tcW w:w="3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(34,001)</w:t>
            </w:r>
          </w:p>
        </w:tc>
        <w:tc>
          <w:tcPr>
            <w:tcW w:w="30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(77,367)</w:t>
            </w:r>
          </w:p>
        </w:tc>
        <w:tc>
          <w:tcPr>
            <w:tcW w:w="3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(69,507)</w:t>
            </w:r>
          </w:p>
        </w:tc>
      </w:tr>
      <w:tr>
        <w:trPr>
          <w:trHeight w:val="128"/>
        </w:trPr>
        <w:tc>
          <w:tcPr>
            <w:tcW w:w="5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r>
      <w:tr>
        <w:trPr>
          <w:trHeight w:val="237"/>
        </w:trPr>
        <w:tc>
          <w:tcPr>
            <w:tcW w:w="5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29,525</w:t>
            </w:r>
          </w:p>
        </w:tc>
        <w:tc>
          <w:tcPr>
            <w:tcW w:w="3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20,000</w:t>
            </w:r>
          </w:p>
        </w:tc>
        <w:tc>
          <w:tcPr>
            <w:tcW w:w="30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142,751</w:t>
            </w:r>
          </w:p>
        </w:tc>
        <w:tc>
          <w:tcPr>
            <w:tcW w:w="34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144,625</w:t>
            </w: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(4,831)</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(20,833)</w:t>
            </w: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(19,570)</w:t>
            </w:r>
          </w:p>
        </w:tc>
      </w:tr>
      <w:tr>
        <w:trPr>
          <w:trHeight w:val="33"/>
        </w:trPr>
        <w:tc>
          <w:tcPr>
            <w:tcW w:w="598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24,694</w:t>
            </w:r>
          </w:p>
        </w:tc>
        <w:tc>
          <w:tcPr>
            <w:tcW w:w="3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17,693</w:t>
            </w:r>
          </w:p>
        </w:tc>
        <w:tc>
          <w:tcPr>
            <w:tcW w:w="30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121,918</w:t>
            </w:r>
          </w:p>
        </w:tc>
        <w:tc>
          <w:tcPr>
            <w:tcW w:w="34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125,055</w:t>
            </w: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(3,728)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(3,110)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(7,778)</w:t>
            </w: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(6,664)</w:t>
            </w:r>
          </w:p>
        </w:tc>
      </w:tr>
      <w:tr>
        <w:trPr>
          <w:trHeight w:val="33"/>
        </w:trPr>
        <w:tc>
          <w:tcPr>
            <w:tcW w:w="598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2"/>
        </w:trPr>
        <w:tc>
          <w:tcPr>
            <w:tcW w:w="5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20,966</w:t>
            </w:r>
          </w:p>
        </w:tc>
        <w:tc>
          <w:tcPr>
            <w:tcW w:w="36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14,583</w:t>
            </w:r>
          </w:p>
        </w:tc>
        <w:tc>
          <w:tcPr>
            <w:tcW w:w="3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114,140</w:t>
            </w:r>
          </w:p>
        </w:tc>
        <w:tc>
          <w:tcPr>
            <w:tcW w:w="34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118,391</w:t>
            </w:r>
          </w:p>
        </w:tc>
      </w:tr>
      <w:tr>
        <w:trPr>
          <w:trHeight w:val="20"/>
        </w:trPr>
        <w:tc>
          <w:tcPr>
            <w:tcW w:w="598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r>
      <w:tr>
        <w:trPr>
          <w:trHeight w:val="98"/>
        </w:trPr>
        <w:tc>
          <w:tcPr>
            <w:tcW w:w="5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48"/>
        </w:trPr>
        <w:tc>
          <w:tcPr>
            <w:tcW w:w="5980" w:type="dxa"/>
            <w:vAlign w:val="bottom"/>
            <w:shd w:val="clear" w:color="auto" w:fill="CEFFE7"/>
          </w:tcPr>
          <w:p>
            <w:pPr>
              <w:spacing w:after="0"/>
              <w:rPr>
                <w:sz w:val="12"/>
                <w:szCs w:val="12"/>
                <w:color w:val="auto"/>
              </w:rPr>
            </w:pPr>
          </w:p>
        </w:tc>
        <w:tc>
          <w:tcPr>
            <w:tcW w:w="220" w:type="dxa"/>
            <w:vAlign w:val="bottom"/>
            <w:shd w:val="clear" w:color="auto" w:fill="CEFFE7"/>
          </w:tcPr>
          <w:p>
            <w:pPr>
              <w:spacing w:after="0"/>
              <w:rPr>
                <w:sz w:val="12"/>
                <w:szCs w:val="12"/>
                <w:color w:val="auto"/>
              </w:rPr>
            </w:pPr>
          </w:p>
        </w:tc>
        <w:tc>
          <w:tcPr>
            <w:tcW w:w="1040" w:type="dxa"/>
            <w:vAlign w:val="bottom"/>
            <w:shd w:val="clear" w:color="auto" w:fill="CEFFE7"/>
          </w:tcPr>
          <w:p>
            <w:pPr>
              <w:spacing w:after="0"/>
              <w:rPr>
                <w:sz w:val="12"/>
                <w:szCs w:val="12"/>
                <w:color w:val="auto"/>
              </w:rPr>
            </w:pPr>
          </w:p>
        </w:tc>
        <w:tc>
          <w:tcPr>
            <w:tcW w:w="360" w:type="dxa"/>
            <w:vAlign w:val="bottom"/>
            <w:shd w:val="clear" w:color="auto" w:fill="CEFFE7"/>
          </w:tcPr>
          <w:p>
            <w:pPr>
              <w:spacing w:after="0"/>
              <w:rPr>
                <w:sz w:val="12"/>
                <w:szCs w:val="12"/>
                <w:color w:val="auto"/>
              </w:rPr>
            </w:pPr>
          </w:p>
        </w:tc>
        <w:tc>
          <w:tcPr>
            <w:tcW w:w="960" w:type="dxa"/>
            <w:vAlign w:val="bottom"/>
            <w:shd w:val="clear" w:color="auto" w:fill="CEFFE7"/>
          </w:tcPr>
          <w:p>
            <w:pPr>
              <w:spacing w:after="0"/>
              <w:rPr>
                <w:sz w:val="12"/>
                <w:szCs w:val="12"/>
                <w:color w:val="auto"/>
              </w:rPr>
            </w:pPr>
          </w:p>
        </w:tc>
        <w:tc>
          <w:tcPr>
            <w:tcW w:w="300" w:type="dxa"/>
            <w:vAlign w:val="bottom"/>
            <w:shd w:val="clear" w:color="auto" w:fill="CEFFE7"/>
          </w:tcPr>
          <w:p>
            <w:pPr>
              <w:spacing w:after="0"/>
              <w:rPr>
                <w:sz w:val="12"/>
                <w:szCs w:val="12"/>
                <w:color w:val="auto"/>
              </w:rPr>
            </w:pPr>
          </w:p>
        </w:tc>
        <w:tc>
          <w:tcPr>
            <w:tcW w:w="1020" w:type="dxa"/>
            <w:vAlign w:val="bottom"/>
            <w:shd w:val="clear" w:color="auto" w:fill="CEFFE7"/>
          </w:tcPr>
          <w:p>
            <w:pPr>
              <w:spacing w:after="0"/>
              <w:rPr>
                <w:sz w:val="12"/>
                <w:szCs w:val="12"/>
                <w:color w:val="auto"/>
              </w:rPr>
            </w:pPr>
          </w:p>
        </w:tc>
        <w:tc>
          <w:tcPr>
            <w:tcW w:w="340" w:type="dxa"/>
            <w:vAlign w:val="bottom"/>
            <w:shd w:val="clear" w:color="auto" w:fill="CEFFE7"/>
          </w:tcPr>
          <w:p>
            <w:pPr>
              <w:spacing w:after="0"/>
              <w:rPr>
                <w:sz w:val="12"/>
                <w:szCs w:val="12"/>
                <w:color w:val="auto"/>
              </w:rPr>
            </w:pPr>
          </w:p>
        </w:tc>
        <w:tc>
          <w:tcPr>
            <w:tcW w:w="1020" w:type="dxa"/>
            <w:vAlign w:val="bottom"/>
            <w:shd w:val="clear" w:color="auto" w:fill="CEFFE7"/>
          </w:tcPr>
          <w:p>
            <w:pPr>
              <w:spacing w:after="0"/>
              <w:rPr>
                <w:sz w:val="12"/>
                <w:szCs w:val="12"/>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598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9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Earnings per share, Basic</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0.34</w:t>
            </w:r>
          </w:p>
        </w:tc>
        <w:tc>
          <w:tcPr>
            <w:tcW w:w="36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0.24</w:t>
            </w:r>
          </w:p>
        </w:tc>
        <w:tc>
          <w:tcPr>
            <w:tcW w:w="3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1.84</w:t>
            </w:r>
          </w:p>
        </w:tc>
        <w:tc>
          <w:tcPr>
            <w:tcW w:w="34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1.97</w:t>
            </w:r>
          </w:p>
        </w:tc>
      </w:tr>
      <w:tr>
        <w:trPr>
          <w:trHeight w:val="247"/>
        </w:trPr>
        <w:tc>
          <w:tcPr>
            <w:tcW w:w="5980" w:type="dxa"/>
            <w:vAlign w:val="bottom"/>
          </w:tcPr>
          <w:p>
            <w:pPr>
              <w:ind w:left="180"/>
              <w:spacing w:after="0"/>
              <w:rPr>
                <w:sz w:val="20"/>
                <w:szCs w:val="20"/>
                <w:color w:val="auto"/>
              </w:rPr>
            </w:pPr>
            <w:r>
              <w:rPr>
                <w:rFonts w:ascii="Arial" w:cs="Arial" w:eastAsia="Arial" w:hAnsi="Arial"/>
                <w:sz w:val="16"/>
                <w:szCs w:val="16"/>
                <w:color w:val="auto"/>
              </w:rPr>
              <w:t>Earnings per share, Diluted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0.33</w:t>
            </w:r>
          </w:p>
        </w:tc>
        <w:tc>
          <w:tcPr>
            <w:tcW w:w="3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1.83</w:t>
            </w:r>
          </w:p>
        </w:tc>
        <w:tc>
          <w:tcPr>
            <w:tcW w:w="3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1.96</w:t>
            </w:r>
          </w:p>
        </w:tc>
      </w:tr>
      <w:tr>
        <w:trPr>
          <w:trHeight w:val="20"/>
        </w:trPr>
        <w:tc>
          <w:tcPr>
            <w:tcW w:w="598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9"/>
        </w:trPr>
        <w:tc>
          <w:tcPr>
            <w:tcW w:w="598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1040" w:type="dxa"/>
            <w:vAlign w:val="bottom"/>
            <w:shd w:val="clear" w:color="auto" w:fill="CEFFE7"/>
          </w:tcPr>
          <w:p>
            <w:pPr>
              <w:spacing w:after="0"/>
              <w:rPr>
                <w:sz w:val="10"/>
                <w:szCs w:val="10"/>
                <w:color w:val="auto"/>
              </w:rPr>
            </w:pPr>
          </w:p>
        </w:tc>
        <w:tc>
          <w:tcPr>
            <w:tcW w:w="360" w:type="dxa"/>
            <w:vAlign w:val="bottom"/>
            <w:shd w:val="clear" w:color="auto" w:fill="CEFFE7"/>
          </w:tcPr>
          <w:p>
            <w:pPr>
              <w:spacing w:after="0"/>
              <w:rPr>
                <w:sz w:val="10"/>
                <w:szCs w:val="10"/>
                <w:color w:val="auto"/>
              </w:rPr>
            </w:pPr>
          </w:p>
        </w:tc>
        <w:tc>
          <w:tcPr>
            <w:tcW w:w="960" w:type="dxa"/>
            <w:vAlign w:val="bottom"/>
            <w:shd w:val="clear" w:color="auto" w:fill="CEFFE7"/>
          </w:tcPr>
          <w:p>
            <w:pPr>
              <w:spacing w:after="0"/>
              <w:rPr>
                <w:sz w:val="10"/>
                <w:szCs w:val="10"/>
                <w:color w:val="auto"/>
              </w:rPr>
            </w:pPr>
          </w:p>
        </w:tc>
        <w:tc>
          <w:tcPr>
            <w:tcW w:w="300" w:type="dxa"/>
            <w:vAlign w:val="bottom"/>
            <w:shd w:val="clear" w:color="auto" w:fill="CEFFE7"/>
          </w:tcPr>
          <w:p>
            <w:pPr>
              <w:spacing w:after="0"/>
              <w:rPr>
                <w:sz w:val="10"/>
                <w:szCs w:val="10"/>
                <w:color w:val="auto"/>
              </w:rPr>
            </w:pPr>
          </w:p>
        </w:tc>
        <w:tc>
          <w:tcPr>
            <w:tcW w:w="1020" w:type="dxa"/>
            <w:vAlign w:val="bottom"/>
            <w:shd w:val="clear" w:color="auto" w:fill="CEFFE7"/>
          </w:tcPr>
          <w:p>
            <w:pPr>
              <w:spacing w:after="0"/>
              <w:rPr>
                <w:sz w:val="10"/>
                <w:szCs w:val="10"/>
                <w:color w:val="auto"/>
              </w:rPr>
            </w:pPr>
          </w:p>
        </w:tc>
        <w:tc>
          <w:tcPr>
            <w:tcW w:w="340" w:type="dxa"/>
            <w:vAlign w:val="bottom"/>
            <w:shd w:val="clear" w:color="auto" w:fill="CEFFE7"/>
          </w:tcPr>
          <w:p>
            <w:pPr>
              <w:spacing w:after="0"/>
              <w:rPr>
                <w:sz w:val="10"/>
                <w:szCs w:val="10"/>
                <w:color w:val="auto"/>
              </w:rPr>
            </w:pPr>
          </w:p>
        </w:tc>
        <w:tc>
          <w:tcPr>
            <w:tcW w:w="1020" w:type="dxa"/>
            <w:vAlign w:val="bottom"/>
            <w:shd w:val="clear" w:color="auto" w:fill="CEFFE7"/>
          </w:tcPr>
          <w:p>
            <w:pPr>
              <w:spacing w:after="0"/>
              <w:rPr>
                <w:sz w:val="10"/>
                <w:szCs w:val="10"/>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8"/>
        </w:trPr>
        <w:tc>
          <w:tcPr>
            <w:tcW w:w="59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CEFFE7"/>
          </w:tcPr>
          <w:p>
            <w:pPr>
              <w:spacing w:after="0"/>
              <w:rPr>
                <w:sz w:val="23"/>
                <w:szCs w:val="23"/>
                <w:color w:val="auto"/>
              </w:rPr>
            </w:pPr>
          </w:p>
        </w:tc>
        <w:tc>
          <w:tcPr>
            <w:tcW w:w="10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62,573</w:t>
            </w:r>
          </w:p>
        </w:tc>
        <w:tc>
          <w:tcPr>
            <w:tcW w:w="36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60,467</w:t>
            </w:r>
          </w:p>
        </w:tc>
        <w:tc>
          <w:tcPr>
            <w:tcW w:w="30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62,175</w:t>
            </w:r>
          </w:p>
        </w:tc>
        <w:tc>
          <w:tcPr>
            <w:tcW w:w="34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60,195</w:t>
            </w:r>
          </w:p>
        </w:tc>
      </w:tr>
      <w:tr>
        <w:trPr>
          <w:trHeight w:val="20"/>
        </w:trPr>
        <w:tc>
          <w:tcPr>
            <w:tcW w:w="598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r>
      <w:tr>
        <w:trPr>
          <w:trHeight w:val="231"/>
        </w:trPr>
        <w:tc>
          <w:tcPr>
            <w:tcW w:w="5980" w:type="dxa"/>
            <w:vAlign w:val="bottom"/>
          </w:tcPr>
          <w:p>
            <w:pPr>
              <w:ind w:left="1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62,617</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60,606</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62,230</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60,333</w:t>
            </w:r>
          </w:p>
        </w:tc>
      </w:tr>
      <w:tr>
        <w:trPr>
          <w:trHeight w:val="23"/>
        </w:trPr>
        <w:tc>
          <w:tcPr>
            <w:tcW w:w="5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2">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3"/>
          </w:tcPr>
          <w:p>
            <w:pPr>
              <w:jc w:val="right"/>
              <w:ind w:right="39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8"/>
                <w:szCs w:val="18"/>
                <w:color w:val="auto"/>
              </w:rPr>
            </w:pPr>
          </w:p>
        </w:tc>
        <w:tc>
          <w:tcPr>
            <w:tcW w:w="2300" w:type="dxa"/>
            <w:vAlign w:val="bottom"/>
            <w:gridSpan w:val="3"/>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3"/>
                <w:szCs w:val="23"/>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60" w:type="dxa"/>
            <w:vAlign w:val="bottom"/>
            <w:gridSpan w:val="3"/>
          </w:tcPr>
          <w:p>
            <w:pPr>
              <w:jc w:val="right"/>
              <w:ind w:right="650"/>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24,694</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17,693</w:t>
            </w:r>
          </w:p>
        </w:tc>
        <w:tc>
          <w:tcPr>
            <w:tcW w:w="3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121,918</w:t>
            </w:r>
          </w:p>
        </w:tc>
        <w:tc>
          <w:tcPr>
            <w:tcW w:w="42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125,055</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060" w:type="dxa"/>
            <w:vAlign w:val="bottom"/>
          </w:tcPr>
          <w:p>
            <w:pPr>
              <w:ind w:left="360"/>
              <w:spacing w:after="0" w:line="176" w:lineRule="exact"/>
              <w:rPr>
                <w:sz w:val="20"/>
                <w:szCs w:val="20"/>
                <w:color w:val="auto"/>
              </w:rPr>
            </w:pPr>
            <w:r>
              <w:rPr>
                <w:rFonts w:ascii="Arial" w:cs="Arial" w:eastAsia="Arial" w:hAnsi="Arial"/>
                <w:sz w:val="18"/>
                <w:szCs w:val="18"/>
                <w:color w:val="auto"/>
                <w:w w:val="93"/>
              </w:rPr>
              <w:t>Benefit plan liability adjustments - net gain (net of tax of $0,$0, $(17) and $0,</w:t>
            </w:r>
          </w:p>
        </w:tc>
        <w:tc>
          <w:tcPr>
            <w:tcW w:w="28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60" w:type="dxa"/>
            <w:vAlign w:val="bottom"/>
            <w:shd w:val="clear" w:color="auto" w:fill="CEFFE7"/>
          </w:tcPr>
          <w:p>
            <w:pPr>
              <w:ind w:left="360"/>
              <w:spacing w:after="0" w:line="176" w:lineRule="exact"/>
              <w:rPr>
                <w:sz w:val="20"/>
                <w:szCs w:val="20"/>
                <w:color w:val="auto"/>
              </w:rPr>
            </w:pPr>
            <w:r>
              <w:rPr>
                <w:rFonts w:ascii="Arial" w:cs="Arial" w:eastAsia="Arial" w:hAnsi="Arial"/>
                <w:sz w:val="18"/>
                <w:szCs w:val="18"/>
                <w:color w:val="auto"/>
                <w:w w:val="92"/>
              </w:rPr>
              <w:t>Reclassification adjustments of benefit plan liability - prior service cost (net of</w:t>
            </w:r>
          </w:p>
        </w:tc>
        <w:tc>
          <w:tcPr>
            <w:tcW w:w="280" w:type="dxa"/>
            <w:vAlign w:val="bottom"/>
            <w:shd w:val="clear" w:color="auto" w:fill="CEFFE7"/>
          </w:tcPr>
          <w:p>
            <w:pPr>
              <w:spacing w:after="0"/>
              <w:rPr>
                <w:sz w:val="15"/>
                <w:szCs w:val="15"/>
                <w:color w:val="auto"/>
              </w:rPr>
            </w:pP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EFFE7"/>
          </w:tcPr>
          <w:p>
            <w:pPr>
              <w:spacing w:after="0"/>
              <w:rPr>
                <w:sz w:val="15"/>
                <w:szCs w:val="15"/>
                <w:color w:val="auto"/>
              </w:rPr>
            </w:pPr>
          </w:p>
        </w:tc>
        <w:tc>
          <w:tcPr>
            <w:tcW w:w="8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EFFE7"/>
          </w:tcPr>
          <w:p>
            <w:pPr>
              <w:spacing w:after="0"/>
              <w:rPr>
                <w:sz w:val="15"/>
                <w:szCs w:val="15"/>
                <w:color w:val="auto"/>
              </w:rPr>
            </w:pP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(42)</w:t>
            </w:r>
          </w:p>
        </w:tc>
        <w:tc>
          <w:tcPr>
            <w:tcW w:w="420" w:type="dxa"/>
            <w:vAlign w:val="bottom"/>
            <w:shd w:val="clear" w:color="auto" w:fill="CEFFE7"/>
          </w:tcPr>
          <w:p>
            <w:pPr>
              <w:spacing w:after="0"/>
              <w:rPr>
                <w:sz w:val="15"/>
                <w:szCs w:val="15"/>
                <w:color w:val="auto"/>
              </w:rPr>
            </w:pPr>
          </w:p>
        </w:tc>
        <w:tc>
          <w:tcPr>
            <w:tcW w:w="92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060" w:type="dxa"/>
            <w:vAlign w:val="bottom"/>
            <w:shd w:val="clear" w:color="auto" w:fill="CEFFE7"/>
          </w:tcPr>
          <w:p>
            <w:pPr>
              <w:ind w:left="360"/>
              <w:spacing w:after="0"/>
              <w:rPr>
                <w:sz w:val="20"/>
                <w:szCs w:val="20"/>
                <w:color w:val="auto"/>
              </w:rPr>
            </w:pPr>
            <w:r>
              <w:rPr>
                <w:rFonts w:ascii="Arial" w:cs="Arial" w:eastAsia="Arial" w:hAnsi="Arial"/>
                <w:sz w:val="18"/>
                <w:szCs w:val="18"/>
                <w:color w:val="auto"/>
              </w:rPr>
              <w:t>tax of $6, $5, $13 and $10, respectively)</w:t>
            </w:r>
          </w:p>
        </w:tc>
        <w:tc>
          <w:tcPr>
            <w:tcW w:w="280" w:type="dxa"/>
            <w:vAlign w:val="bottom"/>
            <w:shd w:val="clear" w:color="auto" w:fill="CEFFE7"/>
          </w:tcPr>
          <w:p>
            <w:pPr>
              <w:spacing w:after="0"/>
              <w:rPr>
                <w:sz w:val="19"/>
                <w:szCs w:val="19"/>
                <w:color w:val="auto"/>
              </w:rPr>
            </w:pPr>
          </w:p>
        </w:tc>
        <w:tc>
          <w:tcPr>
            <w:tcW w:w="960" w:type="dxa"/>
            <w:vAlign w:val="bottom"/>
            <w:vMerge w:val="continue"/>
            <w:shd w:val="clear" w:color="auto" w:fill="CEFFE7"/>
          </w:tcPr>
          <w:p>
            <w:pPr>
              <w:spacing w:after="0"/>
              <w:rPr>
                <w:sz w:val="19"/>
                <w:szCs w:val="19"/>
                <w:color w:val="auto"/>
              </w:rPr>
            </w:pPr>
          </w:p>
        </w:tc>
        <w:tc>
          <w:tcPr>
            <w:tcW w:w="440" w:type="dxa"/>
            <w:vAlign w:val="bottom"/>
            <w:shd w:val="clear" w:color="auto" w:fill="CEFFE7"/>
          </w:tcPr>
          <w:p>
            <w:pPr>
              <w:spacing w:after="0"/>
              <w:rPr>
                <w:sz w:val="19"/>
                <w:szCs w:val="19"/>
                <w:color w:val="auto"/>
              </w:rPr>
            </w:pPr>
          </w:p>
        </w:tc>
        <w:tc>
          <w:tcPr>
            <w:tcW w:w="860" w:type="dxa"/>
            <w:vAlign w:val="bottom"/>
            <w:vMerge w:val="continue"/>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960" w:type="dxa"/>
            <w:vAlign w:val="bottom"/>
            <w:vMerge w:val="continue"/>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920" w:type="dxa"/>
            <w:vAlign w:val="bottom"/>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60" w:type="dxa"/>
            <w:vAlign w:val="bottom"/>
          </w:tcPr>
          <w:p>
            <w:pPr>
              <w:ind w:left="360"/>
              <w:spacing w:after="0" w:line="176" w:lineRule="exact"/>
              <w:rPr>
                <w:sz w:val="20"/>
                <w:szCs w:val="20"/>
                <w:color w:val="auto"/>
              </w:rPr>
            </w:pPr>
            <w:r>
              <w:rPr>
                <w:rFonts w:ascii="Arial" w:cs="Arial" w:eastAsia="Arial" w:hAnsi="Arial"/>
                <w:sz w:val="18"/>
                <w:szCs w:val="18"/>
                <w:color w:val="auto"/>
                <w:w w:val="96"/>
              </w:rPr>
              <w:t>Reclassification adjustments of benefit plan liability - net gain (net of tax of</w:t>
            </w:r>
          </w:p>
        </w:tc>
        <w:tc>
          <w:tcPr>
            <w:tcW w:w="28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415</w:t>
            </w:r>
          </w:p>
        </w:tc>
        <w:tc>
          <w:tcPr>
            <w:tcW w:w="440" w:type="dxa"/>
            <w:vAlign w:val="bottom"/>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917</w:t>
            </w:r>
          </w:p>
        </w:tc>
        <w:tc>
          <w:tcPr>
            <w:tcW w:w="4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$(182), $(52), $(277) and $(105), respectively)</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Derivative instruments designated as cash flow hedges:</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060" w:type="dxa"/>
            <w:vAlign w:val="bottom"/>
          </w:tcPr>
          <w:p>
            <w:pPr>
              <w:ind w:left="360"/>
              <w:spacing w:after="0" w:line="176" w:lineRule="exact"/>
              <w:rPr>
                <w:sz w:val="20"/>
                <w:szCs w:val="20"/>
                <w:color w:val="auto"/>
              </w:rPr>
            </w:pPr>
            <w:r>
              <w:rPr>
                <w:rFonts w:ascii="Arial" w:cs="Arial" w:eastAsia="Arial" w:hAnsi="Arial"/>
                <w:sz w:val="18"/>
                <w:szCs w:val="18"/>
                <w:color w:val="auto"/>
                <w:w w:val="91"/>
              </w:rPr>
              <w:t>Reclassification of net realized losses on settled/amortized interest rate swaps</w:t>
            </w:r>
          </w:p>
        </w:tc>
        <w:tc>
          <w:tcPr>
            <w:tcW w:w="28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543</w:t>
            </w:r>
          </w:p>
        </w:tc>
        <w:tc>
          <w:tcPr>
            <w:tcW w:w="440" w:type="dxa"/>
            <w:vAlign w:val="bottom"/>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541</w:t>
            </w:r>
          </w:p>
        </w:tc>
        <w:tc>
          <w:tcPr>
            <w:tcW w:w="34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1,086</w:t>
            </w:r>
          </w:p>
        </w:tc>
        <w:tc>
          <w:tcPr>
            <w:tcW w:w="42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(net of tax of $(170), $(172), $(340) and $(335), respectively)</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60" w:type="dxa"/>
            <w:vAlign w:val="bottom"/>
            <w:shd w:val="clear" w:color="auto" w:fill="CEFFE7"/>
          </w:tcPr>
          <w:p>
            <w:pPr>
              <w:ind w:left="360"/>
              <w:spacing w:after="0" w:line="176" w:lineRule="exact"/>
              <w:rPr>
                <w:sz w:val="20"/>
                <w:szCs w:val="20"/>
                <w:color w:val="auto"/>
              </w:rPr>
            </w:pPr>
            <w:r>
              <w:rPr>
                <w:rFonts w:ascii="Arial" w:cs="Arial" w:eastAsia="Arial" w:hAnsi="Arial"/>
                <w:sz w:val="18"/>
                <w:szCs w:val="18"/>
                <w:color w:val="auto"/>
                <w:w w:val="97"/>
              </w:rPr>
              <w:t>Net unrealized gains (losses) on commodity derivatives (net of tax of $14,</w:t>
            </w:r>
          </w:p>
        </w:tc>
        <w:tc>
          <w:tcPr>
            <w:tcW w:w="280" w:type="dxa"/>
            <w:vAlign w:val="bottom"/>
            <w:shd w:val="clear" w:color="auto" w:fill="CEFFE7"/>
          </w:tcPr>
          <w:p>
            <w:pPr>
              <w:spacing w:after="0"/>
              <w:rPr>
                <w:sz w:val="15"/>
                <w:szCs w:val="15"/>
                <w:color w:val="auto"/>
              </w:rPr>
            </w:pP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(45)</w:t>
            </w:r>
          </w:p>
        </w:tc>
        <w:tc>
          <w:tcPr>
            <w:tcW w:w="440" w:type="dxa"/>
            <w:vAlign w:val="bottom"/>
            <w:shd w:val="clear" w:color="auto" w:fill="CEFFE7"/>
          </w:tcPr>
          <w:p>
            <w:pPr>
              <w:spacing w:after="0"/>
              <w:rPr>
                <w:sz w:val="15"/>
                <w:szCs w:val="15"/>
                <w:color w:val="auto"/>
              </w:rPr>
            </w:pPr>
          </w:p>
        </w:tc>
        <w:tc>
          <w:tcPr>
            <w:tcW w:w="8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(399)</w:t>
            </w:r>
          </w:p>
        </w:tc>
        <w:tc>
          <w:tcPr>
            <w:tcW w:w="340" w:type="dxa"/>
            <w:vAlign w:val="bottom"/>
            <w:shd w:val="clear" w:color="auto" w:fill="CEFFE7"/>
          </w:tcPr>
          <w:p>
            <w:pPr>
              <w:spacing w:after="0"/>
              <w:rPr>
                <w:sz w:val="15"/>
                <w:szCs w:val="15"/>
                <w:color w:val="auto"/>
              </w:rPr>
            </w:pP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(220)</w:t>
            </w:r>
          </w:p>
        </w:tc>
        <w:tc>
          <w:tcPr>
            <w:tcW w:w="420" w:type="dxa"/>
            <w:vAlign w:val="bottom"/>
            <w:shd w:val="clear" w:color="auto" w:fill="CEFFE7"/>
          </w:tcPr>
          <w:p>
            <w:pPr>
              <w:spacing w:after="0"/>
              <w:rPr>
                <w:sz w:val="15"/>
                <w:szCs w:val="15"/>
                <w:color w:val="auto"/>
              </w:rPr>
            </w:pPr>
          </w:p>
        </w:tc>
        <w:tc>
          <w:tcPr>
            <w:tcW w:w="92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6060" w:type="dxa"/>
            <w:vAlign w:val="bottom"/>
            <w:shd w:val="clear" w:color="auto" w:fill="CEFFE7"/>
          </w:tcPr>
          <w:p>
            <w:pPr>
              <w:ind w:left="360"/>
              <w:spacing w:after="0"/>
              <w:rPr>
                <w:sz w:val="20"/>
                <w:szCs w:val="20"/>
                <w:color w:val="auto"/>
              </w:rPr>
            </w:pPr>
            <w:r>
              <w:rPr>
                <w:rFonts w:ascii="Arial" w:cs="Arial" w:eastAsia="Arial" w:hAnsi="Arial"/>
                <w:sz w:val="18"/>
                <w:szCs w:val="18"/>
                <w:color w:val="auto"/>
              </w:rPr>
              <w:t>$119, $68 and $65, respectively)</w:t>
            </w:r>
          </w:p>
        </w:tc>
        <w:tc>
          <w:tcPr>
            <w:tcW w:w="280" w:type="dxa"/>
            <w:vAlign w:val="bottom"/>
            <w:shd w:val="clear" w:color="auto" w:fill="CEFFE7"/>
          </w:tcPr>
          <w:p>
            <w:pPr>
              <w:spacing w:after="0"/>
              <w:rPr>
                <w:sz w:val="19"/>
                <w:szCs w:val="19"/>
                <w:color w:val="auto"/>
              </w:rPr>
            </w:pPr>
          </w:p>
        </w:tc>
        <w:tc>
          <w:tcPr>
            <w:tcW w:w="960" w:type="dxa"/>
            <w:vAlign w:val="bottom"/>
            <w:vMerge w:val="continue"/>
            <w:shd w:val="clear" w:color="auto" w:fill="CEFFE7"/>
          </w:tcPr>
          <w:p>
            <w:pPr>
              <w:spacing w:after="0"/>
              <w:rPr>
                <w:sz w:val="19"/>
                <w:szCs w:val="19"/>
                <w:color w:val="auto"/>
              </w:rPr>
            </w:pPr>
          </w:p>
        </w:tc>
        <w:tc>
          <w:tcPr>
            <w:tcW w:w="440" w:type="dxa"/>
            <w:vAlign w:val="bottom"/>
            <w:shd w:val="clear" w:color="auto" w:fill="CEFFE7"/>
          </w:tcPr>
          <w:p>
            <w:pPr>
              <w:spacing w:after="0"/>
              <w:rPr>
                <w:sz w:val="19"/>
                <w:szCs w:val="19"/>
                <w:color w:val="auto"/>
              </w:rPr>
            </w:pPr>
          </w:p>
        </w:tc>
        <w:tc>
          <w:tcPr>
            <w:tcW w:w="860" w:type="dxa"/>
            <w:vAlign w:val="bottom"/>
            <w:vMerge w:val="continue"/>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960" w:type="dxa"/>
            <w:vAlign w:val="bottom"/>
            <w:vMerge w:val="continue"/>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920" w:type="dxa"/>
            <w:vAlign w:val="bottom"/>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60" w:type="dxa"/>
            <w:vAlign w:val="bottom"/>
          </w:tcPr>
          <w:p>
            <w:pPr>
              <w:ind w:left="360"/>
              <w:spacing w:after="0" w:line="176" w:lineRule="exact"/>
              <w:rPr>
                <w:sz w:val="20"/>
                <w:szCs w:val="20"/>
                <w:color w:val="auto"/>
              </w:rPr>
            </w:pPr>
            <w:r>
              <w:rPr>
                <w:rFonts w:ascii="Arial" w:cs="Arial" w:eastAsia="Arial" w:hAnsi="Arial"/>
                <w:sz w:val="18"/>
                <w:szCs w:val="18"/>
                <w:color w:val="auto"/>
                <w:w w:val="90"/>
              </w:rPr>
              <w:t>Reclassification of net realized (gains) losses on settled commodity derivatives</w:t>
            </w:r>
          </w:p>
        </w:tc>
        <w:tc>
          <w:tcPr>
            <w:tcW w:w="28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425</w:t>
            </w:r>
          </w:p>
        </w:tc>
        <w:tc>
          <w:tcPr>
            <w:tcW w:w="420" w:type="dxa"/>
            <w:vAlign w:val="bottom"/>
          </w:tcPr>
          <w:p>
            <w:pPr>
              <w:spacing w:after="0"/>
              <w:rPr>
                <w:sz w:val="15"/>
                <w:szCs w:val="15"/>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EFFE7"/>
            </w:tcBorders>
          </w:tcPr>
          <w:p>
            <w:pPr>
              <w:ind w:left="360"/>
              <w:spacing w:after="0"/>
              <w:rPr>
                <w:sz w:val="20"/>
                <w:szCs w:val="20"/>
                <w:color w:val="auto"/>
              </w:rPr>
            </w:pPr>
            <w:r>
              <w:rPr>
                <w:rFonts w:ascii="Arial" w:cs="Arial" w:eastAsia="Arial" w:hAnsi="Arial"/>
                <w:sz w:val="18"/>
                <w:szCs w:val="18"/>
                <w:color w:val="auto"/>
              </w:rPr>
              <w:t>(net of tax of $(16), $19, $(131), and $147, respectively)</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948</w:t>
            </w:r>
          </w:p>
        </w:tc>
        <w:tc>
          <w:tcPr>
            <w:tcW w:w="44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232</w:t>
            </w:r>
          </w:p>
        </w:tc>
        <w:tc>
          <w:tcPr>
            <w:tcW w:w="34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2,221</w:t>
            </w:r>
          </w:p>
        </w:tc>
        <w:tc>
          <w:tcPr>
            <w:tcW w:w="42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25,642</w:t>
            </w:r>
          </w:p>
        </w:tc>
        <w:tc>
          <w:tcPr>
            <w:tcW w:w="44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17,925</w:t>
            </w:r>
          </w:p>
        </w:tc>
        <w:tc>
          <w:tcPr>
            <w:tcW w:w="3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124,139</w:t>
            </w:r>
          </w:p>
        </w:tc>
        <w:tc>
          <w:tcPr>
            <w:tcW w:w="4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125,744</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(3,728)</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(3,110)</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(7,778)</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0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Comprehensive income available for common stock</w:t>
            </w:r>
          </w:p>
        </w:tc>
        <w:tc>
          <w:tcPr>
            <w:tcW w:w="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21,914</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14,815</w:t>
            </w:r>
          </w:p>
        </w:tc>
        <w:tc>
          <w:tcPr>
            <w:tcW w:w="3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116,361</w:t>
            </w:r>
          </w:p>
        </w:tc>
        <w:tc>
          <w:tcPr>
            <w:tcW w:w="42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119,080</w:t>
            </w:r>
          </w:p>
        </w:tc>
        <w:tc>
          <w:tcPr>
            <w:tcW w:w="0" w:type="dxa"/>
            <w:vAlign w:val="bottom"/>
          </w:tcPr>
          <w:p>
            <w:pPr>
              <w:spacing w:after="0"/>
              <w:rPr>
                <w:sz w:val="1"/>
                <w:szCs w:val="1"/>
                <w:color w:val="auto"/>
              </w:rPr>
            </w:pPr>
          </w:p>
        </w:tc>
      </w:tr>
      <w:tr>
        <w:trPr>
          <w:trHeight w:val="20"/>
        </w:trPr>
        <w:tc>
          <w:tcPr>
            <w:tcW w:w="606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30">
        <w:r>
          <w:rPr>
            <w:rFonts w:ascii="Arial" w:cs="Arial" w:eastAsia="Arial" w:hAnsi="Arial"/>
            <w:sz w:val="16"/>
            <w:szCs w:val="16"/>
            <w:u w:val="single" w:color="auto"/>
            <w:color w:val="0000FF"/>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disclosures.</w:t>
      </w:r>
    </w:p>
    <w:p>
      <w:pPr>
        <w:spacing w:after="0" w:line="23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2">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ectPr>
          <w:pgSz w:w="11900" w:h="16838" w:orient="portrait"/>
          <w:cols w:equalWidth="0" w:num="1">
            <w:col w:w="11220"/>
          </w:cols>
          <w:pgMar w:left="320" w:top="126" w:right="359" w:bottom="1440" w:gutter="0" w:footer="0" w:header="0"/>
        </w:sectPr>
      </w:pP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740"/>
        <w:spacing w:after="0"/>
        <w:rPr>
          <w:sz w:val="20"/>
          <w:szCs w:val="20"/>
          <w:color w:val="auto"/>
        </w:rPr>
      </w:pPr>
      <w:r>
        <w:rPr>
          <w:rFonts w:ascii="Arial" w:cs="Arial" w:eastAsia="Arial" w:hAnsi="Arial"/>
          <w:sz w:val="16"/>
          <w:szCs w:val="16"/>
          <w:b w:val="1"/>
          <w:bCs w:val="1"/>
          <w:color w:val="auto"/>
        </w:rPr>
        <w:t>ASSETS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Restricted cash and equivalents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Accounts receivable, net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Materials, supplies and fuel</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Derivative assets, current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tax receivable, net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Regulatory assets, current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current assets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7"/>
              </w:rPr>
              <w:t>As of</w:t>
            </w:r>
          </w:p>
        </w:tc>
        <w:tc>
          <w:tcPr>
            <w:tcW w:w="1760" w:type="dxa"/>
            <w:vAlign w:val="bottom"/>
          </w:tcPr>
          <w:p>
            <w:pPr>
              <w:spacing w:after="0"/>
              <w:rPr>
                <w:sz w:val="20"/>
                <w:szCs w:val="20"/>
                <w:color w:val="auto"/>
              </w:rPr>
            </w:pPr>
          </w:p>
        </w:tc>
      </w:tr>
      <w:tr>
        <w:trPr>
          <w:trHeight w:val="270"/>
        </w:trPr>
        <w:tc>
          <w:tcPr>
            <w:tcW w:w="280" w:type="dxa"/>
            <w:vAlign w:val="bottom"/>
          </w:tcPr>
          <w:p>
            <w:pPr>
              <w:spacing w:after="0"/>
              <w:rPr>
                <w:sz w:val="23"/>
                <w:szCs w:val="23"/>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June 30, 2020</w:t>
            </w:r>
          </w:p>
        </w:tc>
        <w:tc>
          <w:tcPr>
            <w:tcW w:w="460" w:type="dxa"/>
            <w:vAlign w:val="bottom"/>
          </w:tcPr>
          <w:p>
            <w:pPr>
              <w:spacing w:after="0"/>
              <w:rPr>
                <w:sz w:val="23"/>
                <w:szCs w:val="23"/>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color w:val="auto"/>
                <w:w w:val="92"/>
              </w:rPr>
              <w:t>December 31, 2019</w:t>
            </w:r>
          </w:p>
        </w:tc>
      </w:tr>
      <w:tr>
        <w:trPr>
          <w:trHeight w:val="27"/>
        </w:trPr>
        <w:tc>
          <w:tcPr>
            <w:tcW w:w="2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3760" w:type="dxa"/>
            <w:vAlign w:val="bottom"/>
            <w:gridSpan w:val="3"/>
          </w:tcPr>
          <w:p>
            <w:pPr>
              <w:jc w:val="center"/>
              <w:ind w:right="210"/>
              <w:spacing w:after="0"/>
              <w:rPr>
                <w:sz w:val="20"/>
                <w:szCs w:val="20"/>
                <w:color w:val="auto"/>
              </w:rPr>
            </w:pPr>
            <w:r>
              <w:rPr>
                <w:rFonts w:ascii="Arial" w:cs="Arial" w:eastAsia="Arial" w:hAnsi="Arial"/>
                <w:sz w:val="18"/>
                <w:szCs w:val="18"/>
                <w:color w:val="auto"/>
                <w:w w:val="89"/>
              </w:rPr>
              <w:t>(in thousands)</w:t>
            </w:r>
          </w:p>
        </w:tc>
      </w:tr>
      <w:tr>
        <w:trPr>
          <w:trHeight w:val="810"/>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31,608</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9,777</w:t>
            </w:r>
          </w:p>
        </w:tc>
      </w:tr>
      <w:tr>
        <w:trPr>
          <w:trHeight w:val="270"/>
        </w:trPr>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4,105</w:t>
            </w:r>
          </w:p>
        </w:tc>
        <w:tc>
          <w:tcPr>
            <w:tcW w:w="460" w:type="dxa"/>
            <w:vAlign w:val="bottom"/>
          </w:tcPr>
          <w:p>
            <w:pPr>
              <w:spacing w:after="0"/>
              <w:rPr>
                <w:sz w:val="23"/>
                <w:szCs w:val="23"/>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3,881</w:t>
            </w:r>
          </w:p>
        </w:tc>
      </w:tr>
      <w:tr>
        <w:trPr>
          <w:trHeight w:val="270"/>
        </w:trPr>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170,980</w:t>
            </w:r>
          </w:p>
        </w:tc>
        <w:tc>
          <w:tcPr>
            <w:tcW w:w="460" w:type="dxa"/>
            <w:vAlign w:val="bottom"/>
          </w:tcPr>
          <w:p>
            <w:pPr>
              <w:spacing w:after="0"/>
              <w:rPr>
                <w:sz w:val="23"/>
                <w:szCs w:val="23"/>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255,805</w:t>
            </w:r>
          </w:p>
        </w:tc>
      </w:tr>
      <w:tr>
        <w:trPr>
          <w:trHeight w:val="270"/>
        </w:trPr>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105,987</w:t>
            </w:r>
          </w:p>
        </w:tc>
        <w:tc>
          <w:tcPr>
            <w:tcW w:w="460" w:type="dxa"/>
            <w:vAlign w:val="bottom"/>
          </w:tcPr>
          <w:p>
            <w:pPr>
              <w:spacing w:after="0"/>
              <w:rPr>
                <w:sz w:val="23"/>
                <w:szCs w:val="23"/>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117,172</w:t>
            </w:r>
          </w:p>
        </w:tc>
      </w:tr>
      <w:tr>
        <w:trPr>
          <w:trHeight w:val="270"/>
        </w:trPr>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1,581</w:t>
            </w:r>
          </w:p>
        </w:tc>
        <w:tc>
          <w:tcPr>
            <w:tcW w:w="460" w:type="dxa"/>
            <w:vAlign w:val="bottom"/>
          </w:tcPr>
          <w:p>
            <w:pPr>
              <w:spacing w:after="0"/>
              <w:rPr>
                <w:sz w:val="23"/>
                <w:szCs w:val="23"/>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342</w:t>
            </w:r>
          </w:p>
        </w:tc>
      </w:tr>
      <w:tr>
        <w:trPr>
          <w:trHeight w:val="270"/>
        </w:trPr>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20,118</w:t>
            </w:r>
          </w:p>
        </w:tc>
        <w:tc>
          <w:tcPr>
            <w:tcW w:w="460" w:type="dxa"/>
            <w:vAlign w:val="bottom"/>
          </w:tcPr>
          <w:p>
            <w:pPr>
              <w:spacing w:after="0"/>
              <w:rPr>
                <w:sz w:val="23"/>
                <w:szCs w:val="23"/>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16,446</w:t>
            </w:r>
          </w:p>
        </w:tc>
      </w:tr>
      <w:tr>
        <w:trPr>
          <w:trHeight w:val="270"/>
        </w:trPr>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51,745</w:t>
            </w:r>
          </w:p>
        </w:tc>
        <w:tc>
          <w:tcPr>
            <w:tcW w:w="460" w:type="dxa"/>
            <w:vAlign w:val="bottom"/>
          </w:tcPr>
          <w:p>
            <w:pPr>
              <w:spacing w:after="0"/>
              <w:rPr>
                <w:sz w:val="23"/>
                <w:szCs w:val="23"/>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43,282</w:t>
            </w:r>
          </w:p>
        </w:tc>
      </w:tr>
      <w:tr>
        <w:trPr>
          <w:trHeight w:val="270"/>
        </w:trPr>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27,981</w:t>
            </w:r>
          </w:p>
        </w:tc>
        <w:tc>
          <w:tcPr>
            <w:tcW w:w="460" w:type="dxa"/>
            <w:vAlign w:val="bottom"/>
          </w:tcPr>
          <w:p>
            <w:pPr>
              <w:spacing w:after="0"/>
              <w:rPr>
                <w:sz w:val="23"/>
                <w:szCs w:val="23"/>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26,479</w:t>
            </w:r>
          </w:p>
        </w:tc>
      </w:tr>
      <w:tr>
        <w:trPr>
          <w:trHeight w:val="27"/>
        </w:trPr>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414,105</w:t>
            </w:r>
          </w:p>
        </w:tc>
        <w:tc>
          <w:tcPr>
            <w:tcW w:w="460" w:type="dxa"/>
            <w:vAlign w:val="bottom"/>
          </w:tcPr>
          <w:p>
            <w:pPr>
              <w:spacing w:after="0"/>
              <w:rPr>
                <w:sz w:val="20"/>
                <w:szCs w:val="20"/>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473,184</w:t>
            </w:r>
          </w:p>
        </w:tc>
      </w:tr>
      <w:tr>
        <w:trPr>
          <w:trHeight w:val="27"/>
        </w:trPr>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-1559560</wp:posOffset>
            </wp:positionV>
            <wp:extent cx="710628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-1216660</wp:posOffset>
            </wp:positionV>
            <wp:extent cx="71062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-873760</wp:posOffset>
            </wp:positionV>
            <wp:extent cx="71062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-530860</wp:posOffset>
            </wp:positionV>
            <wp:extent cx="7106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-187960</wp:posOffset>
            </wp:positionV>
            <wp:extent cx="710628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040"/>
          </w:cols>
          <w:pgMar w:left="320" w:top="126" w:right="359" w:bottom="1440" w:gutter="0" w:footer="0" w:header="0"/>
          <w:type w:val="continuous"/>
        </w:sectPr>
      </w:pP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140" w:type="dxa"/>
            <w:vAlign w:val="bottom"/>
            <w:shd w:val="clear" w:color="auto" w:fill="CEFFE7"/>
          </w:tcPr>
          <w:p>
            <w:pPr>
              <w:spacing w:after="0"/>
              <w:rPr>
                <w:sz w:val="20"/>
                <w:szCs w:val="20"/>
                <w:color w:val="auto"/>
              </w:rPr>
            </w:pPr>
            <w:r>
              <w:rPr>
                <w:rFonts w:ascii="Arial" w:cs="Arial" w:eastAsia="Arial" w:hAnsi="Arial"/>
                <w:sz w:val="18"/>
                <w:szCs w:val="18"/>
                <w:color w:val="auto"/>
              </w:rPr>
              <w:t>Investments</w:t>
            </w:r>
          </w:p>
        </w:tc>
        <w:tc>
          <w:tcPr>
            <w:tcW w:w="560" w:type="dxa"/>
            <w:vAlign w:val="bottom"/>
            <w:tcBorders>
              <w:bottom w:val="single" w:sz="8" w:color="auto"/>
            </w:tcBorders>
            <w:shd w:val="clear" w:color="auto" w:fill="CEFFE7"/>
          </w:tcPr>
          <w:p>
            <w:pPr>
              <w:spacing w:after="0"/>
              <w:rPr>
                <w:sz w:val="22"/>
                <w:szCs w:val="22"/>
                <w:color w:val="auto"/>
              </w:rPr>
            </w:pPr>
          </w:p>
        </w:tc>
        <w:tc>
          <w:tcPr>
            <w:tcW w:w="14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15,438</w:t>
            </w:r>
          </w:p>
        </w:tc>
        <w:tc>
          <w:tcPr>
            <w:tcW w:w="680" w:type="dxa"/>
            <w:vAlign w:val="bottom"/>
            <w:tcBorders>
              <w:bottom w:val="single" w:sz="8" w:color="auto"/>
            </w:tcBorders>
            <w:shd w:val="clear" w:color="auto" w:fill="CEFFE7"/>
          </w:tcPr>
          <w:p>
            <w:pPr>
              <w:spacing w:after="0"/>
              <w:rPr>
                <w:sz w:val="22"/>
                <w:szCs w:val="22"/>
                <w:color w:val="auto"/>
              </w:rPr>
            </w:pPr>
          </w:p>
        </w:tc>
        <w:tc>
          <w:tcPr>
            <w:tcW w:w="14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21,929</w:t>
            </w:r>
          </w:p>
        </w:tc>
      </w:tr>
      <w:tr>
        <w:trPr>
          <w:trHeight w:val="243"/>
        </w:trPr>
        <w:tc>
          <w:tcPr>
            <w:tcW w:w="7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0"/>
        </w:trPr>
        <w:tc>
          <w:tcPr>
            <w:tcW w:w="71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Property, plant and equipment</w:t>
            </w:r>
          </w:p>
        </w:tc>
        <w:tc>
          <w:tcPr>
            <w:tcW w:w="5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6,954,274</w:t>
            </w:r>
          </w:p>
        </w:tc>
        <w:tc>
          <w:tcPr>
            <w:tcW w:w="68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6,784,679</w:t>
            </w: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Less: accumulated depreciation and depletion</w:t>
            </w:r>
          </w:p>
        </w:tc>
        <w:tc>
          <w:tcPr>
            <w:tcW w:w="5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(1,251,075)</w:t>
            </w:r>
          </w:p>
        </w:tc>
        <w:tc>
          <w:tcPr>
            <w:tcW w:w="6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(1,281,493)</w:t>
            </w:r>
          </w:p>
        </w:tc>
      </w:tr>
      <w:tr>
        <w:trPr>
          <w:trHeight w:val="27"/>
        </w:trPr>
        <w:tc>
          <w:tcPr>
            <w:tcW w:w="7140" w:type="dxa"/>
            <w:vAlign w:val="bottom"/>
            <w:tcBorders>
              <w:bottom w:val="single" w:sz="8" w:color="CEFFE7"/>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140" w:type="dxa"/>
            <w:vAlign w:val="bottom"/>
            <w:tcBorders>
              <w:bottom w:val="single" w:sz="8" w:color="CEFFE7"/>
            </w:tcBorders>
            <w:shd w:val="clear" w:color="auto" w:fill="CEFFE7"/>
          </w:tcPr>
          <w:p>
            <w:pPr>
              <w:ind w:left="520"/>
              <w:spacing w:after="0"/>
              <w:rPr>
                <w:sz w:val="20"/>
                <w:szCs w:val="20"/>
                <w:color w:val="auto"/>
              </w:rPr>
            </w:pPr>
            <w:r>
              <w:rPr>
                <w:rFonts w:ascii="Arial" w:cs="Arial" w:eastAsia="Arial" w:hAnsi="Arial"/>
                <w:sz w:val="18"/>
                <w:szCs w:val="18"/>
                <w:color w:val="auto"/>
              </w:rPr>
              <w:t>Total property, plant and equipment, net</w:t>
            </w:r>
          </w:p>
        </w:tc>
        <w:tc>
          <w:tcPr>
            <w:tcW w:w="56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5,703,199</w:t>
            </w:r>
          </w:p>
        </w:tc>
        <w:tc>
          <w:tcPr>
            <w:tcW w:w="68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5,503,186</w:t>
            </w:r>
          </w:p>
        </w:tc>
      </w:tr>
      <w:tr>
        <w:trPr>
          <w:trHeight w:val="236"/>
        </w:trPr>
        <w:tc>
          <w:tcPr>
            <w:tcW w:w="71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50"/>
        </w:trPr>
        <w:tc>
          <w:tcPr>
            <w:tcW w:w="71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Other assets:</w:t>
            </w:r>
          </w:p>
        </w:tc>
        <w:tc>
          <w:tcPr>
            <w:tcW w:w="5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1,299,454</w:t>
            </w:r>
          </w:p>
        </w:tc>
        <w:tc>
          <w:tcPr>
            <w:tcW w:w="6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1,299,454</w:t>
            </w:r>
          </w:p>
        </w:tc>
      </w:tr>
      <w:tr>
        <w:trPr>
          <w:trHeight w:val="27"/>
        </w:trPr>
        <w:tc>
          <w:tcPr>
            <w:tcW w:w="7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1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Intangible assets, net</w:t>
            </w:r>
          </w:p>
        </w:tc>
        <w:tc>
          <w:tcPr>
            <w:tcW w:w="5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12,536</w:t>
            </w:r>
          </w:p>
        </w:tc>
        <w:tc>
          <w:tcPr>
            <w:tcW w:w="68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13,266</w:t>
            </w: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Regulatory assets, non-current</w:t>
            </w:r>
          </w:p>
        </w:tc>
        <w:tc>
          <w:tcPr>
            <w:tcW w:w="5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220,567</w:t>
            </w:r>
          </w:p>
        </w:tc>
        <w:tc>
          <w:tcPr>
            <w:tcW w:w="6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228,062</w:t>
            </w:r>
          </w:p>
        </w:tc>
      </w:tr>
      <w:tr>
        <w:trPr>
          <w:trHeight w:val="27"/>
        </w:trPr>
        <w:tc>
          <w:tcPr>
            <w:tcW w:w="7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1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Other assets, non-current</w:t>
            </w:r>
          </w:p>
        </w:tc>
        <w:tc>
          <w:tcPr>
            <w:tcW w:w="5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24,633</w:t>
            </w:r>
          </w:p>
        </w:tc>
        <w:tc>
          <w:tcPr>
            <w:tcW w:w="68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19,376</w:t>
            </w:r>
          </w:p>
        </w:tc>
      </w:tr>
      <w:tr>
        <w:trPr>
          <w:trHeight w:val="237"/>
        </w:trPr>
        <w:tc>
          <w:tcPr>
            <w:tcW w:w="7140" w:type="dxa"/>
            <w:vAlign w:val="bottom"/>
          </w:tcPr>
          <w:p>
            <w:pPr>
              <w:ind w:left="520"/>
              <w:spacing w:after="0"/>
              <w:rPr>
                <w:sz w:val="20"/>
                <w:szCs w:val="20"/>
                <w:color w:val="auto"/>
              </w:rPr>
            </w:pPr>
            <w:r>
              <w:rPr>
                <w:rFonts w:ascii="Arial" w:cs="Arial" w:eastAsia="Arial" w:hAnsi="Arial"/>
                <w:sz w:val="18"/>
                <w:szCs w:val="18"/>
                <w:color w:val="auto"/>
              </w:rPr>
              <w:t>Total other assets, non-current</w:t>
            </w: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1,557,190</w:t>
            </w:r>
          </w:p>
        </w:tc>
        <w:tc>
          <w:tcPr>
            <w:tcW w:w="6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1,560,158</w:t>
            </w:r>
          </w:p>
        </w:tc>
      </w:tr>
      <w:tr>
        <w:trPr>
          <w:trHeight w:val="27"/>
        </w:trPr>
        <w:tc>
          <w:tcPr>
            <w:tcW w:w="7140" w:type="dxa"/>
            <w:vAlign w:val="bottom"/>
            <w:tcBorders>
              <w:bottom w:val="single" w:sz="8" w:color="CEFFE7"/>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140" w:type="dxa"/>
            <w:vAlign w:val="bottom"/>
            <w:shd w:val="clear" w:color="auto" w:fill="CEFFE7"/>
          </w:tcPr>
          <w:p>
            <w:pPr>
              <w:spacing w:after="0"/>
              <w:rPr>
                <w:sz w:val="20"/>
                <w:szCs w:val="20"/>
                <w:color w:val="auto"/>
              </w:rPr>
            </w:pPr>
          </w:p>
        </w:tc>
        <w:tc>
          <w:tcPr>
            <w:tcW w:w="560" w:type="dxa"/>
            <w:vAlign w:val="bottom"/>
            <w:shd w:val="clear" w:color="auto" w:fill="CEFFE7"/>
          </w:tcPr>
          <w:p>
            <w:pPr>
              <w:spacing w:after="0"/>
              <w:rPr>
                <w:sz w:val="20"/>
                <w:szCs w:val="20"/>
                <w:color w:val="auto"/>
              </w:rPr>
            </w:pPr>
          </w:p>
        </w:tc>
        <w:tc>
          <w:tcPr>
            <w:tcW w:w="1400" w:type="dxa"/>
            <w:vAlign w:val="bottom"/>
            <w:shd w:val="clear" w:color="auto" w:fill="CEFFE7"/>
          </w:tcPr>
          <w:p>
            <w:pPr>
              <w:spacing w:after="0"/>
              <w:rPr>
                <w:sz w:val="20"/>
                <w:szCs w:val="20"/>
                <w:color w:val="auto"/>
              </w:rPr>
            </w:pPr>
          </w:p>
        </w:tc>
        <w:tc>
          <w:tcPr>
            <w:tcW w:w="680" w:type="dxa"/>
            <w:vAlign w:val="bottom"/>
            <w:shd w:val="clear" w:color="auto" w:fill="CEFFE7"/>
          </w:tcPr>
          <w:p>
            <w:pPr>
              <w:spacing w:after="0"/>
              <w:rPr>
                <w:sz w:val="20"/>
                <w:szCs w:val="20"/>
                <w:color w:val="auto"/>
              </w:rPr>
            </w:pPr>
          </w:p>
        </w:tc>
        <w:tc>
          <w:tcPr>
            <w:tcW w:w="1400" w:type="dxa"/>
            <w:vAlign w:val="bottom"/>
            <w:shd w:val="clear" w:color="auto" w:fill="CEFFE7"/>
          </w:tcPr>
          <w:p>
            <w:pPr>
              <w:spacing w:after="0"/>
              <w:rPr>
                <w:sz w:val="20"/>
                <w:szCs w:val="20"/>
                <w:color w:val="auto"/>
              </w:rPr>
            </w:pP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7,689,932</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7,558,457</w:t>
            </w:r>
          </w:p>
        </w:tc>
      </w:tr>
      <w:tr>
        <w:trPr>
          <w:trHeight w:val="20"/>
        </w:trPr>
        <w:tc>
          <w:tcPr>
            <w:tcW w:w="7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2">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7"/>
              </w:rPr>
              <w:t>As of</w:t>
            </w:r>
          </w:p>
        </w:tc>
        <w:tc>
          <w:tcPr>
            <w:tcW w:w="1760" w:type="dxa"/>
            <w:vAlign w:val="bottom"/>
          </w:tcPr>
          <w:p>
            <w:pPr>
              <w:spacing w:after="0"/>
              <w:rPr>
                <w:sz w:val="20"/>
                <w:szCs w:val="20"/>
                <w:color w:val="auto"/>
              </w:rPr>
            </w:pPr>
          </w:p>
        </w:tc>
      </w:tr>
      <w:tr>
        <w:trPr>
          <w:trHeight w:val="270"/>
        </w:trPr>
        <w:tc>
          <w:tcPr>
            <w:tcW w:w="7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June 30, 2020</w:t>
            </w:r>
          </w:p>
        </w:tc>
        <w:tc>
          <w:tcPr>
            <w:tcW w:w="460" w:type="dxa"/>
            <w:vAlign w:val="bottom"/>
          </w:tcPr>
          <w:p>
            <w:pPr>
              <w:spacing w:after="0"/>
              <w:rPr>
                <w:sz w:val="23"/>
                <w:szCs w:val="23"/>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color w:val="auto"/>
                <w:w w:val="92"/>
              </w:rPr>
              <w:t>December 31, 2019</w:t>
            </w:r>
          </w:p>
        </w:tc>
      </w:tr>
      <w:tr>
        <w:trPr>
          <w:trHeight w:val="27"/>
        </w:trPr>
        <w:tc>
          <w:tcPr>
            <w:tcW w:w="7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r>
      <w:tr>
        <w:trPr>
          <w:trHeight w:val="237"/>
        </w:trPr>
        <w:tc>
          <w:tcPr>
            <w:tcW w:w="7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(in thousands, except share amounts)</w:t>
            </w:r>
          </w:p>
        </w:tc>
      </w:tr>
      <w:tr>
        <w:trPr>
          <w:trHeight w:val="270"/>
        </w:trPr>
        <w:tc>
          <w:tcPr>
            <w:tcW w:w="7140" w:type="dxa"/>
            <w:vAlign w:val="bottom"/>
          </w:tcPr>
          <w:p>
            <w:pPr>
              <w:ind w:left="24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714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
        </w:trPr>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118,942</w:t>
            </w:r>
          </w:p>
        </w:tc>
        <w:tc>
          <w:tcPr>
            <w:tcW w:w="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193,523</w:t>
            </w: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201,667</w:t>
            </w:r>
          </w:p>
        </w:tc>
        <w:tc>
          <w:tcPr>
            <w:tcW w:w="46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226,767</w:t>
            </w:r>
          </w:p>
        </w:tc>
      </w:tr>
      <w:tr>
        <w:trPr>
          <w:trHeight w:val="27"/>
        </w:trPr>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Derivative liabilities, current</w:t>
            </w:r>
          </w:p>
        </w:tc>
        <w:tc>
          <w:tcPr>
            <w:tcW w:w="2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621</w:t>
            </w:r>
          </w:p>
        </w:tc>
        <w:tc>
          <w:tcPr>
            <w:tcW w:w="46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2,254</w:t>
            </w: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Regulatory liabilities, current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59,428</w:t>
            </w:r>
          </w:p>
        </w:tc>
        <w:tc>
          <w:tcPr>
            <w:tcW w:w="46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33,507</w:t>
            </w:r>
          </w:p>
        </w:tc>
      </w:tr>
      <w:tr>
        <w:trPr>
          <w:trHeight w:val="27"/>
        </w:trPr>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Notes payable</w:t>
            </w:r>
          </w:p>
        </w:tc>
        <w:tc>
          <w:tcPr>
            <w:tcW w:w="2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349,500</w:t>
            </w: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4,307</w:t>
            </w:r>
          </w:p>
        </w:tc>
        <w:tc>
          <w:tcPr>
            <w:tcW w:w="46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5,743</w:t>
            </w:r>
          </w:p>
        </w:tc>
      </w:tr>
      <w:tr>
        <w:trPr>
          <w:trHeight w:val="27"/>
        </w:trPr>
        <w:tc>
          <w:tcPr>
            <w:tcW w:w="71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3"/>
        </w:trPr>
        <w:tc>
          <w:tcPr>
            <w:tcW w:w="7140" w:type="dxa"/>
            <w:vAlign w:val="bottom"/>
            <w:tcBorders>
              <w:bottom w:val="single" w:sz="8" w:color="CEFFE7"/>
            </w:tcBorders>
            <w:shd w:val="clear" w:color="auto" w:fill="CEFFE7"/>
          </w:tcPr>
          <w:p>
            <w:pPr>
              <w:ind w:left="5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384,965</w:t>
            </w:r>
          </w:p>
        </w:tc>
        <w:tc>
          <w:tcPr>
            <w:tcW w:w="460" w:type="dxa"/>
            <w:vAlign w:val="bottom"/>
            <w:tcBorders>
              <w:bottom w:val="single" w:sz="8" w:color="CEFFE7"/>
            </w:tcBorders>
            <w:shd w:val="clear" w:color="auto" w:fill="CEFFE7"/>
          </w:tcPr>
          <w:p>
            <w:pPr>
              <w:spacing w:after="0"/>
              <w:rPr>
                <w:sz w:val="22"/>
                <w:szCs w:val="22"/>
                <w:color w:val="auto"/>
              </w:rPr>
            </w:pPr>
          </w:p>
        </w:tc>
        <w:tc>
          <w:tcPr>
            <w:tcW w:w="17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811,294</w:t>
            </w:r>
          </w:p>
        </w:tc>
      </w:tr>
      <w:tr>
        <w:trPr>
          <w:trHeight w:val="237"/>
        </w:trPr>
        <w:tc>
          <w:tcPr>
            <w:tcW w:w="7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r>
      <w:tr>
        <w:trPr>
          <w:trHeight w:val="250"/>
        </w:trPr>
        <w:tc>
          <w:tcPr>
            <w:tcW w:w="71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3,532,887</w:t>
            </w:r>
          </w:p>
        </w:tc>
        <w:tc>
          <w:tcPr>
            <w:tcW w:w="46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3,140,096</w:t>
            </w:r>
          </w:p>
        </w:tc>
      </w:tr>
      <w:tr>
        <w:trPr>
          <w:trHeight w:val="20"/>
        </w:trPr>
        <w:tc>
          <w:tcPr>
            <w:tcW w:w="7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1062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credits and other liabilities: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income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1062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Regulatory liabilities, non-current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Benefit plan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1062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deferred credits and other liabilities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10628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(See Notes 7, 9, 12,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46355</wp:posOffset>
            </wp:positionV>
            <wp:extent cx="710628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jc w:val="right"/>
              <w:ind w:right="590"/>
              <w:spacing w:after="0"/>
              <w:rPr>
                <w:sz w:val="20"/>
                <w:szCs w:val="20"/>
                <w:color w:val="auto"/>
              </w:rPr>
            </w:pPr>
            <w:r>
              <w:rPr>
                <w:rFonts w:ascii="Arial" w:cs="Arial" w:eastAsia="Arial" w:hAnsi="Arial"/>
                <w:sz w:val="18"/>
                <w:szCs w:val="18"/>
                <w:color w:val="auto"/>
              </w:rPr>
              <w:t>388,962</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360,719</w:t>
            </w:r>
          </w:p>
        </w:tc>
      </w:tr>
      <w:tr>
        <w:trPr>
          <w:trHeight w:val="270"/>
        </w:trPr>
        <w:tc>
          <w:tcPr>
            <w:tcW w:w="2480" w:type="dxa"/>
            <w:vAlign w:val="bottom"/>
          </w:tcPr>
          <w:p>
            <w:pPr>
              <w:jc w:val="right"/>
              <w:ind w:right="590"/>
              <w:spacing w:after="0"/>
              <w:rPr>
                <w:sz w:val="20"/>
                <w:szCs w:val="20"/>
                <w:color w:val="auto"/>
              </w:rPr>
            </w:pPr>
            <w:r>
              <w:rPr>
                <w:rFonts w:ascii="Arial" w:cs="Arial" w:eastAsia="Arial" w:hAnsi="Arial"/>
                <w:sz w:val="18"/>
                <w:szCs w:val="18"/>
                <w:color w:val="auto"/>
              </w:rPr>
              <w:t>506,393</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503,145</w:t>
            </w:r>
          </w:p>
        </w:tc>
      </w:tr>
      <w:tr>
        <w:trPr>
          <w:trHeight w:val="270"/>
        </w:trPr>
        <w:tc>
          <w:tcPr>
            <w:tcW w:w="2480" w:type="dxa"/>
            <w:vAlign w:val="bottom"/>
          </w:tcPr>
          <w:p>
            <w:pPr>
              <w:jc w:val="right"/>
              <w:ind w:right="590"/>
              <w:spacing w:after="0"/>
              <w:rPr>
                <w:sz w:val="20"/>
                <w:szCs w:val="20"/>
                <w:color w:val="auto"/>
              </w:rPr>
            </w:pPr>
            <w:r>
              <w:rPr>
                <w:rFonts w:ascii="Arial" w:cs="Arial" w:eastAsia="Arial" w:hAnsi="Arial"/>
                <w:sz w:val="18"/>
                <w:szCs w:val="18"/>
                <w:color w:val="auto"/>
              </w:rPr>
              <w:t>142,580</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154,472</w:t>
            </w:r>
          </w:p>
        </w:tc>
      </w:tr>
      <w:tr>
        <w:trPr>
          <w:trHeight w:val="270"/>
        </w:trPr>
        <w:tc>
          <w:tcPr>
            <w:tcW w:w="2480" w:type="dxa"/>
            <w:vAlign w:val="bottom"/>
          </w:tcPr>
          <w:p>
            <w:pPr>
              <w:jc w:val="right"/>
              <w:ind w:right="590"/>
              <w:spacing w:after="0"/>
              <w:rPr>
                <w:sz w:val="20"/>
                <w:szCs w:val="20"/>
                <w:color w:val="auto"/>
              </w:rPr>
            </w:pPr>
            <w:r>
              <w:rPr>
                <w:rFonts w:ascii="Arial" w:cs="Arial" w:eastAsia="Arial" w:hAnsi="Arial"/>
                <w:sz w:val="18"/>
                <w:szCs w:val="18"/>
                <w:color w:val="auto"/>
              </w:rPr>
              <w:t>119,649</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124,662</w:t>
            </w:r>
          </w:p>
        </w:tc>
      </w:tr>
      <w:tr>
        <w:trPr>
          <w:trHeight w:val="27"/>
        </w:trPr>
        <w:tc>
          <w:tcPr>
            <w:tcW w:w="2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jc w:val="right"/>
              <w:ind w:right="590"/>
              <w:spacing w:after="0"/>
              <w:rPr>
                <w:sz w:val="20"/>
                <w:szCs w:val="20"/>
                <w:color w:val="auto"/>
              </w:rPr>
            </w:pPr>
            <w:r>
              <w:rPr>
                <w:rFonts w:ascii="Arial" w:cs="Arial" w:eastAsia="Arial" w:hAnsi="Arial"/>
                <w:sz w:val="18"/>
                <w:szCs w:val="18"/>
                <w:color w:val="auto"/>
              </w:rPr>
              <w:t>1,157,584</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1,142,998</w:t>
            </w:r>
          </w:p>
        </w:tc>
      </w:tr>
      <w:tr>
        <w:trPr>
          <w:trHeight w:val="27"/>
        </w:trPr>
        <w:tc>
          <w:tcPr>
            <w:tcW w:w="2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639" w:lineRule="exact"/>
        <w:rPr>
          <w:sz w:val="20"/>
          <w:szCs w:val="20"/>
          <w:color w:val="auto"/>
        </w:rPr>
      </w:pPr>
    </w:p>
    <w:p>
      <w:pPr>
        <w:sectPr>
          <w:pgSz w:w="11900" w:h="16838" w:orient="portrait"/>
          <w:cols w:equalWidth="0" w:num="2">
            <w:col w:w="6460" w:space="720"/>
            <w:col w:w="4040"/>
          </w:cols>
          <w:pgMar w:left="320" w:top="126" w:right="359" w:bottom="1440" w:gutter="0" w:footer="0" w:header="0"/>
          <w:type w:val="continuous"/>
        </w:sectPr>
      </w:pP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1062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equity —</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140" w:type="dxa"/>
            <w:vAlign w:val="bottom"/>
          </w:tcPr>
          <w:p>
            <w:pPr>
              <w:ind w:left="200"/>
              <w:spacing w:after="0"/>
              <w:rPr>
                <w:sz w:val="20"/>
                <w:szCs w:val="20"/>
                <w:color w:val="auto"/>
              </w:rPr>
            </w:pPr>
            <w:r>
              <w:rPr>
                <w:rFonts w:ascii="Arial" w:cs="Arial" w:eastAsia="Arial" w:hAnsi="Arial"/>
                <w:sz w:val="18"/>
                <w:szCs w:val="18"/>
                <w:color w:val="auto"/>
                <w:w w:val="89"/>
              </w:rPr>
              <w:t>Common stock $1 par value; 100,000,000 shares authorized; issued 62,772,996 and 61,480,658</w:t>
            </w:r>
          </w:p>
        </w:tc>
        <w:tc>
          <w:tcPr>
            <w:tcW w:w="600" w:type="dxa"/>
            <w:vAlign w:val="bottom"/>
          </w:tcPr>
          <w:p>
            <w:pPr>
              <w:spacing w:after="0"/>
              <w:rPr>
                <w:sz w:val="18"/>
                <w:szCs w:val="18"/>
                <w:color w:val="auto"/>
              </w:rPr>
            </w:pP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rPr>
              <w:t>62,773</w:t>
            </w:r>
          </w:p>
        </w:tc>
        <w:tc>
          <w:tcPr>
            <w:tcW w:w="720" w:type="dxa"/>
            <w:vAlign w:val="bottom"/>
          </w:tcPr>
          <w:p>
            <w:pPr>
              <w:spacing w:after="0"/>
              <w:rPr>
                <w:sz w:val="18"/>
                <w:szCs w:val="18"/>
                <w:color w:val="auto"/>
              </w:rPr>
            </w:pP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rPr>
              <w:t>61,481</w:t>
            </w:r>
          </w:p>
        </w:tc>
        <w:tc>
          <w:tcPr>
            <w:tcW w:w="0" w:type="dxa"/>
            <w:vAlign w:val="bottom"/>
          </w:tcPr>
          <w:p>
            <w:pPr>
              <w:spacing w:after="0"/>
              <w:rPr>
                <w:sz w:val="1"/>
                <w:szCs w:val="1"/>
                <w:color w:val="auto"/>
              </w:rPr>
            </w:pP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shares, respectively</w:t>
            </w:r>
          </w:p>
        </w:tc>
        <w:tc>
          <w:tcPr>
            <w:tcW w:w="6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8"/>
                <w:szCs w:val="18"/>
                <w:color w:val="auto"/>
              </w:rPr>
              <w:t>Additional paid-in capital</w:t>
            </w:r>
          </w:p>
        </w:tc>
        <w:tc>
          <w:tcPr>
            <w:tcW w:w="6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1,654,563</w:t>
            </w:r>
          </w:p>
        </w:tc>
        <w:tc>
          <w:tcPr>
            <w:tcW w:w="7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1,552,788</w:t>
            </w:r>
          </w:p>
        </w:tc>
        <w:tc>
          <w:tcPr>
            <w:tcW w:w="0" w:type="dxa"/>
            <w:vAlign w:val="bottom"/>
          </w:tcPr>
          <w:p>
            <w:pPr>
              <w:spacing w:after="0"/>
              <w:rPr>
                <w:sz w:val="1"/>
                <w:szCs w:val="1"/>
                <w:color w:val="auto"/>
              </w:rPr>
            </w:pP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6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826,269</w:t>
            </w:r>
          </w:p>
        </w:tc>
        <w:tc>
          <w:tcPr>
            <w:tcW w:w="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778,776</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shd w:val="clear" w:color="auto" w:fill="CEFFE7"/>
          </w:tcPr>
          <w:p>
            <w:pPr>
              <w:ind w:left="200"/>
              <w:spacing w:after="0"/>
              <w:rPr>
                <w:sz w:val="20"/>
                <w:szCs w:val="20"/>
                <w:color w:val="auto"/>
              </w:rPr>
            </w:pPr>
            <w:r>
              <w:rPr>
                <w:rFonts w:ascii="Arial" w:cs="Arial" w:eastAsia="Arial" w:hAnsi="Arial"/>
                <w:sz w:val="18"/>
                <w:szCs w:val="18"/>
                <w:color w:val="auto"/>
              </w:rPr>
              <w:t>Treasury stock, at cost – 26,399 and 3,956 shares, respectively</w:t>
            </w:r>
          </w:p>
        </w:tc>
        <w:tc>
          <w:tcPr>
            <w:tcW w:w="600" w:type="dxa"/>
            <w:vAlign w:val="bottom"/>
            <w:shd w:val="clear" w:color="auto" w:fill="CEFFE7"/>
          </w:tcPr>
          <w:p>
            <w:pPr>
              <w:spacing w:after="0"/>
              <w:rPr>
                <w:sz w:val="23"/>
                <w:szCs w:val="23"/>
                <w:color w:val="auto"/>
              </w:rPr>
            </w:pPr>
          </w:p>
        </w:tc>
        <w:tc>
          <w:tcPr>
            <w:tcW w:w="13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(1,879)</w:t>
            </w:r>
          </w:p>
        </w:tc>
        <w:tc>
          <w:tcPr>
            <w:tcW w:w="720" w:type="dxa"/>
            <w:vAlign w:val="bottom"/>
            <w:shd w:val="clear" w:color="auto" w:fill="CEFFE7"/>
          </w:tcPr>
          <w:p>
            <w:pPr>
              <w:spacing w:after="0"/>
              <w:rPr>
                <w:sz w:val="23"/>
                <w:szCs w:val="23"/>
                <w:color w:val="auto"/>
              </w:rPr>
            </w:pPr>
          </w:p>
        </w:tc>
        <w:tc>
          <w:tcPr>
            <w:tcW w:w="13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6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(28,434)</w:t>
            </w:r>
          </w:p>
        </w:tc>
        <w:tc>
          <w:tcPr>
            <w:tcW w:w="7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(30,655)</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EFFE7"/>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EFFE7"/>
            </w:tcBorders>
            <w:shd w:val="clear" w:color="auto" w:fill="CEFFE7"/>
          </w:tcPr>
          <w:p>
            <w:pPr>
              <w:ind w:left="560"/>
              <w:spacing w:after="0"/>
              <w:rPr>
                <w:sz w:val="20"/>
                <w:szCs w:val="20"/>
                <w:color w:val="auto"/>
              </w:rPr>
            </w:pPr>
            <w:r>
              <w:rPr>
                <w:rFonts w:ascii="Arial" w:cs="Arial" w:eastAsia="Arial" w:hAnsi="Arial"/>
                <w:sz w:val="18"/>
                <w:szCs w:val="18"/>
                <w:color w:val="auto"/>
              </w:rPr>
              <w:t>Total stockholders’ equity</w:t>
            </w:r>
          </w:p>
        </w:tc>
        <w:tc>
          <w:tcPr>
            <w:tcW w:w="6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2,513,292</w:t>
            </w:r>
          </w:p>
        </w:tc>
        <w:tc>
          <w:tcPr>
            <w:tcW w:w="7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2,362,123</w:t>
            </w:r>
          </w:p>
        </w:tc>
        <w:tc>
          <w:tcPr>
            <w:tcW w:w="0" w:type="dxa"/>
            <w:vAlign w:val="bottom"/>
          </w:tcPr>
          <w:p>
            <w:pPr>
              <w:spacing w:after="0"/>
              <w:rPr>
                <w:sz w:val="1"/>
                <w:szCs w:val="1"/>
                <w:color w:val="auto"/>
              </w:rPr>
            </w:pP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6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101,204</w:t>
            </w:r>
          </w:p>
        </w:tc>
        <w:tc>
          <w:tcPr>
            <w:tcW w:w="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101,946</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EFFE7"/>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140" w:type="dxa"/>
            <w:vAlign w:val="bottom"/>
            <w:tcBorders>
              <w:bottom w:val="single" w:sz="8" w:color="CEFFE7"/>
            </w:tcBorders>
            <w:shd w:val="clear" w:color="auto" w:fill="CEFFE7"/>
          </w:tcPr>
          <w:p>
            <w:pPr>
              <w:ind w:left="560"/>
              <w:spacing w:after="0"/>
              <w:rPr>
                <w:sz w:val="20"/>
                <w:szCs w:val="20"/>
                <w:color w:val="auto"/>
              </w:rPr>
            </w:pPr>
            <w:r>
              <w:rPr>
                <w:rFonts w:ascii="Arial" w:cs="Arial" w:eastAsia="Arial" w:hAnsi="Arial"/>
                <w:sz w:val="18"/>
                <w:szCs w:val="18"/>
                <w:color w:val="auto"/>
              </w:rPr>
              <w:t>Total equity</w:t>
            </w:r>
          </w:p>
        </w:tc>
        <w:tc>
          <w:tcPr>
            <w:tcW w:w="600" w:type="dxa"/>
            <w:vAlign w:val="bottom"/>
            <w:tcBorders>
              <w:bottom w:val="single" w:sz="8" w:color="CEFFE7"/>
            </w:tcBorders>
            <w:shd w:val="clear" w:color="auto" w:fill="CEFFE7"/>
          </w:tcPr>
          <w:p>
            <w:pPr>
              <w:spacing w:after="0"/>
              <w:rPr>
                <w:sz w:val="22"/>
                <w:szCs w:val="22"/>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2,614,496</w:t>
            </w:r>
          </w:p>
        </w:tc>
        <w:tc>
          <w:tcPr>
            <w:tcW w:w="720" w:type="dxa"/>
            <w:vAlign w:val="bottom"/>
            <w:tcBorders>
              <w:bottom w:val="single" w:sz="8" w:color="CEFFE7"/>
            </w:tcBorders>
            <w:shd w:val="clear" w:color="auto" w:fill="CEFFE7"/>
          </w:tcPr>
          <w:p>
            <w:pPr>
              <w:spacing w:after="0"/>
              <w:rPr>
                <w:sz w:val="22"/>
                <w:szCs w:val="22"/>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2,464,069</w:t>
            </w: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71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TOTAL LIABILITIES AND TOTAL EQUITY</w:t>
            </w:r>
          </w:p>
        </w:tc>
        <w:tc>
          <w:tcPr>
            <w:tcW w:w="600" w:type="dxa"/>
            <w:vAlign w:val="bottom"/>
            <w:tcBorders>
              <w:bottom w:val="single" w:sz="8" w:color="auto"/>
            </w:tcBorders>
            <w:shd w:val="clear" w:color="auto" w:fill="CEFFE7"/>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7,689,932</w:t>
            </w:r>
          </w:p>
        </w:tc>
        <w:tc>
          <w:tcPr>
            <w:tcW w:w="720" w:type="dxa"/>
            <w:vAlign w:val="bottom"/>
            <w:tcBorders>
              <w:bottom w:val="single" w:sz="8" w:color="auto"/>
            </w:tcBorders>
            <w:shd w:val="clear" w:color="auto" w:fill="CEFFE7"/>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7,558,457</w:t>
            </w:r>
          </w:p>
        </w:tc>
        <w:tc>
          <w:tcPr>
            <w:tcW w:w="0" w:type="dxa"/>
            <w:vAlign w:val="bottom"/>
          </w:tcPr>
          <w:p>
            <w:pPr>
              <w:spacing w:after="0"/>
              <w:rPr>
                <w:sz w:val="1"/>
                <w:szCs w:val="1"/>
                <w:color w:val="auto"/>
              </w:rPr>
            </w:pPr>
          </w:p>
        </w:tc>
      </w:tr>
      <w:tr>
        <w:trPr>
          <w:trHeight w:val="20"/>
        </w:trPr>
        <w:tc>
          <w:tcPr>
            <w:tcW w:w="7140" w:type="dxa"/>
            <w:vAlign w:val="bottom"/>
            <w:tcBorders>
              <w:top w:val="single" w:sz="8" w:color="CEFFE7"/>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13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3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2">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ind w:left="20"/>
              <w:spacing w:after="0"/>
              <w:rPr>
                <w:sz w:val="20"/>
                <w:szCs w:val="20"/>
                <w:color w:val="auto"/>
              </w:rPr>
            </w:pPr>
            <w:r>
              <w:rPr>
                <w:rFonts w:ascii="Arial" w:cs="Arial" w:eastAsia="Arial" w:hAnsi="Arial"/>
                <w:sz w:val="14"/>
                <w:szCs w:val="14"/>
                <w:color w:val="auto"/>
              </w:rPr>
              <w:t>(unaudited)</w:t>
            </w:r>
          </w:p>
        </w:tc>
        <w:tc>
          <w:tcPr>
            <w:tcW w:w="380" w:type="dxa"/>
            <w:vAlign w:val="bottom"/>
          </w:tcPr>
          <w:p>
            <w:pPr>
              <w:spacing w:after="0"/>
              <w:rPr>
                <w:sz w:val="15"/>
                <w:szCs w:val="15"/>
                <w:color w:val="auto"/>
              </w:rPr>
            </w:pPr>
          </w:p>
        </w:tc>
        <w:tc>
          <w:tcPr>
            <w:tcW w:w="2860" w:type="dxa"/>
            <w:vAlign w:val="bottom"/>
            <w:gridSpan w:val="3"/>
          </w:tcPr>
          <w:p>
            <w:pPr>
              <w:jc w:val="right"/>
              <w:ind w:right="748"/>
              <w:spacing w:after="0"/>
              <w:rPr>
                <w:sz w:val="20"/>
                <w:szCs w:val="20"/>
                <w:color w:val="auto"/>
              </w:rPr>
            </w:pPr>
            <w:r>
              <w:rPr>
                <w:rFonts w:ascii="Arial" w:cs="Arial" w:eastAsia="Arial" w:hAnsi="Arial"/>
                <w:sz w:val="14"/>
                <w:szCs w:val="14"/>
                <w:color w:val="auto"/>
              </w:rPr>
              <w:t>Six Months Ended June 30,</w:t>
            </w:r>
          </w:p>
        </w:tc>
      </w:tr>
      <w:tr>
        <w:trPr>
          <w:trHeight w:val="209"/>
        </w:trPr>
        <w:tc>
          <w:tcPr>
            <w:tcW w:w="7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2019</w:t>
            </w:r>
          </w:p>
        </w:tc>
      </w:tr>
      <w:tr>
        <w:trPr>
          <w:trHeight w:val="196"/>
        </w:trPr>
        <w:tc>
          <w:tcPr>
            <w:tcW w:w="79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17"/>
                <w:szCs w:val="17"/>
                <w:color w:val="auto"/>
              </w:rPr>
            </w:pPr>
          </w:p>
        </w:tc>
        <w:tc>
          <w:tcPr>
            <w:tcW w:w="1780" w:type="dxa"/>
            <w:vAlign w:val="bottom"/>
            <w:gridSpan w:val="2"/>
          </w:tcPr>
          <w:p>
            <w:pPr>
              <w:jc w:val="right"/>
              <w:ind w:right="68"/>
              <w:spacing w:after="0"/>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7"/>
                <w:szCs w:val="17"/>
                <w:color w:val="auto"/>
              </w:rPr>
            </w:pPr>
          </w:p>
        </w:tc>
      </w:tr>
      <w:tr>
        <w:trPr>
          <w:trHeight w:val="209"/>
        </w:trPr>
        <w:tc>
          <w:tcPr>
            <w:tcW w:w="7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shd w:val="clear" w:color="auto" w:fill="CEFFE7"/>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121,918</w:t>
            </w:r>
          </w:p>
        </w:tc>
        <w:tc>
          <w:tcPr>
            <w:tcW w:w="580" w:type="dxa"/>
            <w:vAlign w:val="bottom"/>
            <w:shd w:val="clear" w:color="auto" w:fill="CEFFE7"/>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125,055</w:t>
            </w:r>
          </w:p>
        </w:tc>
      </w:tr>
      <w:tr>
        <w:trPr>
          <w:trHeight w:val="196"/>
        </w:trPr>
        <w:tc>
          <w:tcPr>
            <w:tcW w:w="7960" w:type="dxa"/>
            <w:vAlign w:val="bottom"/>
          </w:tcPr>
          <w:p>
            <w:pPr>
              <w:ind w:left="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7960" w:type="dxa"/>
            <w:vAlign w:val="bottom"/>
            <w:shd w:val="clear" w:color="auto" w:fill="CEFFE7"/>
          </w:tcPr>
          <w:p>
            <w:pPr>
              <w:ind w:left="320"/>
              <w:spacing w:after="0"/>
              <w:rPr>
                <w:sz w:val="20"/>
                <w:szCs w:val="20"/>
                <w:color w:val="auto"/>
              </w:rPr>
            </w:pPr>
            <w:r>
              <w:rPr>
                <w:rFonts w:ascii="Arial" w:cs="Arial" w:eastAsia="Arial" w:hAnsi="Arial"/>
                <w:sz w:val="14"/>
                <w:szCs w:val="14"/>
                <w:color w:val="auto"/>
              </w:rPr>
              <w:t>Depreciation, depletion and amortization</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113,065</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102,623</w:t>
            </w:r>
          </w:p>
        </w:tc>
      </w:tr>
      <w:tr>
        <w:trPr>
          <w:trHeight w:val="196"/>
        </w:trPr>
        <w:tc>
          <w:tcPr>
            <w:tcW w:w="7960" w:type="dxa"/>
            <w:vAlign w:val="bottom"/>
          </w:tcPr>
          <w:p>
            <w:pPr>
              <w:ind w:left="320"/>
              <w:spacing w:after="0"/>
              <w:rPr>
                <w:sz w:val="20"/>
                <w:szCs w:val="20"/>
                <w:color w:val="auto"/>
              </w:rPr>
            </w:pPr>
            <w:r>
              <w:rPr>
                <w:rFonts w:ascii="Arial" w:cs="Arial" w:eastAsia="Arial" w:hAnsi="Arial"/>
                <w:sz w:val="14"/>
                <w:szCs w:val="14"/>
                <w:color w:val="auto"/>
              </w:rPr>
              <w:t>Deferred financing cost amortization</w:t>
            </w:r>
          </w:p>
        </w:tc>
        <w:tc>
          <w:tcPr>
            <w:tcW w:w="3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4,246</w:t>
            </w:r>
          </w:p>
        </w:tc>
        <w:tc>
          <w:tcPr>
            <w:tcW w:w="5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4,219</w:t>
            </w:r>
          </w:p>
        </w:tc>
      </w:tr>
      <w:tr>
        <w:trPr>
          <w:trHeight w:val="209"/>
        </w:trPr>
        <w:tc>
          <w:tcPr>
            <w:tcW w:w="7960" w:type="dxa"/>
            <w:vAlign w:val="bottom"/>
            <w:shd w:val="clear" w:color="auto" w:fill="CEFFE7"/>
          </w:tcPr>
          <w:p>
            <w:pPr>
              <w:ind w:left="320"/>
              <w:spacing w:after="0"/>
              <w:rPr>
                <w:sz w:val="20"/>
                <w:szCs w:val="20"/>
                <w:color w:val="auto"/>
              </w:rPr>
            </w:pPr>
            <w:r>
              <w:rPr>
                <w:rFonts w:ascii="Arial" w:cs="Arial" w:eastAsia="Arial" w:hAnsi="Arial"/>
                <w:sz w:val="14"/>
                <w:szCs w:val="14"/>
                <w:color w:val="auto"/>
              </w:rPr>
              <w:t>Impairment of investment</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6,859</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7960" w:type="dxa"/>
            <w:vAlign w:val="bottom"/>
          </w:tcPr>
          <w:p>
            <w:pPr>
              <w:ind w:left="320"/>
              <w:spacing w:after="0"/>
              <w:rPr>
                <w:sz w:val="20"/>
                <w:szCs w:val="20"/>
                <w:color w:val="auto"/>
              </w:rPr>
            </w:pPr>
            <w:r>
              <w:rPr>
                <w:rFonts w:ascii="Arial" w:cs="Arial" w:eastAsia="Arial" w:hAnsi="Arial"/>
                <w:sz w:val="14"/>
                <w:szCs w:val="14"/>
                <w:color w:val="auto"/>
              </w:rPr>
              <w:t>Stock compensation</w:t>
            </w:r>
          </w:p>
        </w:tc>
        <w:tc>
          <w:tcPr>
            <w:tcW w:w="3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1,113</w:t>
            </w:r>
          </w:p>
        </w:tc>
        <w:tc>
          <w:tcPr>
            <w:tcW w:w="5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7,093</w:t>
            </w:r>
          </w:p>
        </w:tc>
      </w:tr>
      <w:tr>
        <w:trPr>
          <w:trHeight w:val="209"/>
        </w:trPr>
        <w:tc>
          <w:tcPr>
            <w:tcW w:w="7960" w:type="dxa"/>
            <w:vAlign w:val="bottom"/>
            <w:shd w:val="clear" w:color="auto" w:fill="CEFFE7"/>
          </w:tcPr>
          <w:p>
            <w:pPr>
              <w:ind w:left="320"/>
              <w:spacing w:after="0"/>
              <w:rPr>
                <w:sz w:val="20"/>
                <w:szCs w:val="20"/>
                <w:color w:val="auto"/>
              </w:rPr>
            </w:pPr>
            <w:r>
              <w:rPr>
                <w:rFonts w:ascii="Arial" w:cs="Arial" w:eastAsia="Arial" w:hAnsi="Arial"/>
                <w:sz w:val="14"/>
                <w:szCs w:val="14"/>
                <w:color w:val="auto"/>
              </w:rPr>
              <w:t>Deferred income taxes</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26,401</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21,935</w:t>
            </w:r>
          </w:p>
        </w:tc>
      </w:tr>
      <w:tr>
        <w:trPr>
          <w:trHeight w:val="196"/>
        </w:trPr>
        <w:tc>
          <w:tcPr>
            <w:tcW w:w="7960" w:type="dxa"/>
            <w:vAlign w:val="bottom"/>
          </w:tcPr>
          <w:p>
            <w:pPr>
              <w:ind w:left="320"/>
              <w:spacing w:after="0"/>
              <w:rPr>
                <w:sz w:val="20"/>
                <w:szCs w:val="20"/>
                <w:color w:val="auto"/>
              </w:rPr>
            </w:pPr>
            <w:r>
              <w:rPr>
                <w:rFonts w:ascii="Arial" w:cs="Arial" w:eastAsia="Arial" w:hAnsi="Arial"/>
                <w:sz w:val="14"/>
                <w:szCs w:val="14"/>
                <w:color w:val="auto"/>
              </w:rPr>
              <w:t>Employee benefit plans</w:t>
            </w:r>
          </w:p>
        </w:tc>
        <w:tc>
          <w:tcPr>
            <w:tcW w:w="3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5,656</w:t>
            </w:r>
          </w:p>
        </w:tc>
        <w:tc>
          <w:tcPr>
            <w:tcW w:w="5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5,683</w:t>
            </w:r>
          </w:p>
        </w:tc>
      </w:tr>
      <w:tr>
        <w:trPr>
          <w:trHeight w:val="209"/>
        </w:trPr>
        <w:tc>
          <w:tcPr>
            <w:tcW w:w="7960" w:type="dxa"/>
            <w:vAlign w:val="bottom"/>
            <w:shd w:val="clear" w:color="auto" w:fill="CEFFE7"/>
          </w:tcPr>
          <w:p>
            <w:pPr>
              <w:ind w:left="320"/>
              <w:spacing w:after="0"/>
              <w:rPr>
                <w:sz w:val="20"/>
                <w:szCs w:val="20"/>
                <w:color w:val="auto"/>
              </w:rPr>
            </w:pPr>
            <w:r>
              <w:rPr>
                <w:rFonts w:ascii="Arial" w:cs="Arial" w:eastAsia="Arial" w:hAnsi="Arial"/>
                <w:sz w:val="14"/>
                <w:szCs w:val="14"/>
                <w:color w:val="auto"/>
              </w:rPr>
              <w:t>Other adjustments, net</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3,679</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8,991</w:t>
            </w:r>
          </w:p>
        </w:tc>
      </w:tr>
      <w:tr>
        <w:trPr>
          <w:trHeight w:val="196"/>
        </w:trPr>
        <w:tc>
          <w:tcPr>
            <w:tcW w:w="7960" w:type="dxa"/>
            <w:vAlign w:val="bottom"/>
          </w:tcPr>
          <w:p>
            <w:pPr>
              <w:ind w:left="80"/>
              <w:spacing w:after="0"/>
              <w:rPr>
                <w:sz w:val="20"/>
                <w:szCs w:val="20"/>
                <w:color w:val="auto"/>
              </w:rPr>
            </w:pPr>
            <w:r>
              <w:rPr>
                <w:rFonts w:ascii="Arial" w:cs="Arial" w:eastAsia="Arial" w:hAnsi="Arial"/>
                <w:sz w:val="14"/>
                <w:szCs w:val="14"/>
                <w:color w:val="auto"/>
              </w:rPr>
              <w:t>Changes in certain operating assets and liabilities: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7960" w:type="dxa"/>
            <w:vAlign w:val="bottom"/>
            <w:shd w:val="clear" w:color="auto" w:fill="CEFFE7"/>
          </w:tcPr>
          <w:p>
            <w:pPr>
              <w:ind w:left="320"/>
              <w:spacing w:after="0"/>
              <w:rPr>
                <w:sz w:val="20"/>
                <w:szCs w:val="20"/>
                <w:color w:val="auto"/>
              </w:rPr>
            </w:pPr>
            <w:r>
              <w:rPr>
                <w:rFonts w:ascii="Arial" w:cs="Arial" w:eastAsia="Arial" w:hAnsi="Arial"/>
                <w:sz w:val="14"/>
                <w:szCs w:val="14"/>
                <w:color w:val="auto"/>
              </w:rPr>
              <w:t>Materials, supplies and fuel</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7,503</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14,911</w:t>
            </w:r>
          </w:p>
        </w:tc>
      </w:tr>
      <w:tr>
        <w:trPr>
          <w:trHeight w:val="196"/>
        </w:trPr>
        <w:tc>
          <w:tcPr>
            <w:tcW w:w="7960" w:type="dxa"/>
            <w:vAlign w:val="bottom"/>
          </w:tcPr>
          <w:p>
            <w:pPr>
              <w:ind w:left="320"/>
              <w:spacing w:after="0"/>
              <w:rPr>
                <w:sz w:val="20"/>
                <w:szCs w:val="20"/>
                <w:color w:val="auto"/>
              </w:rPr>
            </w:pPr>
            <w:r>
              <w:rPr>
                <w:rFonts w:ascii="Arial" w:cs="Arial" w:eastAsia="Arial" w:hAnsi="Arial"/>
                <w:sz w:val="14"/>
                <w:szCs w:val="14"/>
                <w:color w:val="auto"/>
              </w:rPr>
              <w:t>Accounts receivable and other current assets</w:t>
            </w:r>
          </w:p>
        </w:tc>
        <w:tc>
          <w:tcPr>
            <w:tcW w:w="3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73,302</w:t>
            </w:r>
          </w:p>
        </w:tc>
        <w:tc>
          <w:tcPr>
            <w:tcW w:w="5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99,925</w:t>
            </w:r>
          </w:p>
        </w:tc>
      </w:tr>
      <w:tr>
        <w:trPr>
          <w:trHeight w:val="209"/>
        </w:trPr>
        <w:tc>
          <w:tcPr>
            <w:tcW w:w="7960" w:type="dxa"/>
            <w:vAlign w:val="bottom"/>
            <w:shd w:val="clear" w:color="auto" w:fill="CEFFE7"/>
          </w:tcPr>
          <w:p>
            <w:pPr>
              <w:ind w:left="320"/>
              <w:spacing w:after="0"/>
              <w:rPr>
                <w:sz w:val="20"/>
                <w:szCs w:val="20"/>
                <w:color w:val="auto"/>
              </w:rPr>
            </w:pPr>
            <w:r>
              <w:rPr>
                <w:rFonts w:ascii="Arial" w:cs="Arial" w:eastAsia="Arial" w:hAnsi="Arial"/>
                <w:sz w:val="14"/>
                <w:szCs w:val="14"/>
                <w:color w:val="auto"/>
              </w:rPr>
              <w:t>Accounts payable and other current liabilities</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(63,085)</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(107,563)</w:t>
            </w:r>
          </w:p>
        </w:tc>
      </w:tr>
      <w:tr>
        <w:trPr>
          <w:trHeight w:val="196"/>
        </w:trPr>
        <w:tc>
          <w:tcPr>
            <w:tcW w:w="7960" w:type="dxa"/>
            <w:vAlign w:val="bottom"/>
          </w:tcPr>
          <w:p>
            <w:pPr>
              <w:ind w:left="320"/>
              <w:spacing w:after="0"/>
              <w:rPr>
                <w:sz w:val="20"/>
                <w:szCs w:val="20"/>
                <w:color w:val="auto"/>
              </w:rPr>
            </w:pPr>
            <w:r>
              <w:rPr>
                <w:rFonts w:ascii="Arial" w:cs="Arial" w:eastAsia="Arial" w:hAnsi="Arial"/>
                <w:sz w:val="14"/>
                <w:szCs w:val="14"/>
                <w:color w:val="auto"/>
              </w:rPr>
              <w:t>Regulatory assets - current</w:t>
            </w:r>
          </w:p>
        </w:tc>
        <w:tc>
          <w:tcPr>
            <w:tcW w:w="3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21,887</w:t>
            </w:r>
          </w:p>
        </w:tc>
        <w:tc>
          <w:tcPr>
            <w:tcW w:w="5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16,116</w:t>
            </w:r>
          </w:p>
        </w:tc>
      </w:tr>
      <w:tr>
        <w:trPr>
          <w:trHeight w:val="209"/>
        </w:trPr>
        <w:tc>
          <w:tcPr>
            <w:tcW w:w="7960" w:type="dxa"/>
            <w:vAlign w:val="bottom"/>
            <w:shd w:val="clear" w:color="auto" w:fill="CEFFE7"/>
          </w:tcPr>
          <w:p>
            <w:pPr>
              <w:ind w:left="320"/>
              <w:spacing w:after="0"/>
              <w:rPr>
                <w:sz w:val="20"/>
                <w:szCs w:val="20"/>
                <w:color w:val="auto"/>
              </w:rPr>
            </w:pPr>
            <w:r>
              <w:rPr>
                <w:rFonts w:ascii="Arial" w:cs="Arial" w:eastAsia="Arial" w:hAnsi="Arial"/>
                <w:sz w:val="14"/>
                <w:szCs w:val="14"/>
                <w:color w:val="auto"/>
              </w:rPr>
              <w:t>Regulatory liabilities - current</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314</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(6,348)</w:t>
            </w:r>
          </w:p>
        </w:tc>
      </w:tr>
      <w:tr>
        <w:trPr>
          <w:trHeight w:val="196"/>
        </w:trPr>
        <w:tc>
          <w:tcPr>
            <w:tcW w:w="7960" w:type="dxa"/>
            <w:vAlign w:val="bottom"/>
          </w:tcPr>
          <w:p>
            <w:pPr>
              <w:ind w:left="120"/>
              <w:spacing w:after="0"/>
              <w:rPr>
                <w:sz w:val="20"/>
                <w:szCs w:val="20"/>
                <w:color w:val="auto"/>
              </w:rPr>
            </w:pPr>
            <w:r>
              <w:rPr>
                <w:rFonts w:ascii="Arial" w:cs="Arial" w:eastAsia="Arial" w:hAnsi="Arial"/>
                <w:sz w:val="14"/>
                <w:szCs w:val="14"/>
                <w:color w:val="auto"/>
              </w:rPr>
              <w:t>Contributions to defined benefit pension plans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(12,700)</w:t>
            </w:r>
          </w:p>
        </w:tc>
        <w:tc>
          <w:tcPr>
            <w:tcW w:w="5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7960" w:type="dxa"/>
            <w:vAlign w:val="bottom"/>
            <w:shd w:val="clear" w:color="auto" w:fill="CEFFE7"/>
          </w:tcPr>
          <w:p>
            <w:pPr>
              <w:ind w:left="120"/>
              <w:spacing w:after="0"/>
              <w:rPr>
                <w:sz w:val="20"/>
                <w:szCs w:val="20"/>
                <w:color w:val="auto"/>
              </w:rPr>
            </w:pPr>
            <w:r>
              <w:rPr>
                <w:rFonts w:ascii="Arial" w:cs="Arial" w:eastAsia="Arial" w:hAnsi="Arial"/>
                <w:sz w:val="14"/>
                <w:szCs w:val="14"/>
                <w:color w:val="auto"/>
              </w:rPr>
              <w:t>Other operating activities, net</w:t>
            </w:r>
          </w:p>
        </w:tc>
        <w:tc>
          <w:tcPr>
            <w:tcW w:w="380" w:type="dxa"/>
            <w:vAlign w:val="bottom"/>
            <w:tcBorders>
              <w:bottom w:val="single" w:sz="8" w:color="auto"/>
            </w:tcBorders>
            <w:shd w:val="clear" w:color="auto" w:fill="CEFFE7"/>
          </w:tcPr>
          <w:p>
            <w:pPr>
              <w:spacing w:after="0"/>
              <w:rPr>
                <w:sz w:val="17"/>
                <w:szCs w:val="17"/>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(1,152)</w:t>
            </w:r>
          </w:p>
        </w:tc>
        <w:tc>
          <w:tcPr>
            <w:tcW w:w="580" w:type="dxa"/>
            <w:vAlign w:val="bottom"/>
            <w:tcBorders>
              <w:bottom w:val="single" w:sz="8" w:color="auto"/>
            </w:tcBorders>
            <w:shd w:val="clear" w:color="auto" w:fill="CEFFE7"/>
          </w:tcPr>
          <w:p>
            <w:pPr>
              <w:spacing w:after="0"/>
              <w:rPr>
                <w:sz w:val="17"/>
                <w:szCs w:val="17"/>
                <w:color w:val="auto"/>
              </w:rPr>
            </w:pPr>
          </w:p>
        </w:tc>
        <w:tc>
          <w:tcPr>
            <w:tcW w:w="10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(2,861)</w:t>
            </w:r>
          </w:p>
        </w:tc>
      </w:tr>
      <w:tr>
        <w:trPr>
          <w:trHeight w:val="196"/>
        </w:trPr>
        <w:tc>
          <w:tcPr>
            <w:tcW w:w="796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309,006</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289,779</w:t>
            </w:r>
          </w:p>
        </w:tc>
      </w:tr>
      <w:tr>
        <w:trPr>
          <w:trHeight w:val="202"/>
        </w:trPr>
        <w:tc>
          <w:tcPr>
            <w:tcW w:w="796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96"/>
        </w:trPr>
        <w:tc>
          <w:tcPr>
            <w:tcW w:w="796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7960" w:type="dxa"/>
            <w:vAlign w:val="bottom"/>
            <w:shd w:val="clear" w:color="auto" w:fill="CEFFE7"/>
          </w:tcPr>
          <w:p>
            <w:pPr>
              <w:ind w:left="160"/>
              <w:spacing w:after="0"/>
              <w:rPr>
                <w:sz w:val="20"/>
                <w:szCs w:val="20"/>
                <w:color w:val="auto"/>
              </w:rPr>
            </w:pPr>
            <w:r>
              <w:rPr>
                <w:rFonts w:ascii="Arial" w:cs="Arial" w:eastAsia="Arial" w:hAnsi="Arial"/>
                <w:sz w:val="14"/>
                <w:szCs w:val="14"/>
                <w:color w:val="auto"/>
              </w:rPr>
              <w:t>Property, plant and equipment additions</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(348,313)</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(317,686)</w:t>
            </w:r>
          </w:p>
        </w:tc>
      </w:tr>
      <w:tr>
        <w:trPr>
          <w:trHeight w:val="197"/>
        </w:trPr>
        <w:tc>
          <w:tcPr>
            <w:tcW w:w="7960" w:type="dxa"/>
            <w:vAlign w:val="bottom"/>
            <w:tcBorders>
              <w:bottom w:val="single" w:sz="8" w:color="CEFFE7"/>
            </w:tcBorders>
          </w:tcPr>
          <w:p>
            <w:pPr>
              <w:ind w:left="160"/>
              <w:spacing w:after="0"/>
              <w:rPr>
                <w:sz w:val="20"/>
                <w:szCs w:val="20"/>
                <w:color w:val="auto"/>
              </w:rPr>
            </w:pPr>
            <w:r>
              <w:rPr>
                <w:rFonts w:ascii="Arial" w:cs="Arial" w:eastAsia="Arial" w:hAnsi="Arial"/>
                <w:sz w:val="14"/>
                <w:szCs w:val="14"/>
                <w:color w:val="auto"/>
              </w:rPr>
              <w:t>Other investing activities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389</w:t>
            </w:r>
          </w:p>
        </w:tc>
      </w:tr>
      <w:tr>
        <w:trPr>
          <w:trHeight w:val="196"/>
        </w:trPr>
        <w:tc>
          <w:tcPr>
            <w:tcW w:w="7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Borders>
              <w:bottom w:val="single" w:sz="8" w:color="auto"/>
            </w:tcBorders>
            <w:shd w:val="clear" w:color="auto" w:fill="CEFFE7"/>
          </w:tcPr>
          <w:p>
            <w:pPr>
              <w:spacing w:after="0"/>
              <w:rPr>
                <w:sz w:val="17"/>
                <w:szCs w:val="17"/>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(349,725)</w:t>
            </w:r>
          </w:p>
        </w:tc>
        <w:tc>
          <w:tcPr>
            <w:tcW w:w="580" w:type="dxa"/>
            <w:vAlign w:val="bottom"/>
            <w:tcBorders>
              <w:bottom w:val="single" w:sz="8" w:color="auto"/>
            </w:tcBorders>
            <w:shd w:val="clear" w:color="auto" w:fill="CEFFE7"/>
          </w:tcPr>
          <w:p>
            <w:pPr>
              <w:spacing w:after="0"/>
              <w:rPr>
                <w:sz w:val="17"/>
                <w:szCs w:val="17"/>
                <w:color w:val="auto"/>
              </w:rPr>
            </w:pPr>
          </w:p>
        </w:tc>
        <w:tc>
          <w:tcPr>
            <w:tcW w:w="10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(317,297)</w:t>
            </w:r>
          </w:p>
        </w:tc>
      </w:tr>
      <w:tr>
        <w:trPr>
          <w:trHeight w:val="202"/>
        </w:trPr>
        <w:tc>
          <w:tcPr>
            <w:tcW w:w="7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Financing activities:</w:t>
            </w:r>
          </w:p>
        </w:tc>
        <w:tc>
          <w:tcPr>
            <w:tcW w:w="38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96"/>
        </w:trPr>
        <w:tc>
          <w:tcPr>
            <w:tcW w:w="7960" w:type="dxa"/>
            <w:vAlign w:val="bottom"/>
          </w:tcPr>
          <w:p>
            <w:pPr>
              <w:ind w:left="200"/>
              <w:spacing w:after="0"/>
              <w:rPr>
                <w:sz w:val="20"/>
                <w:szCs w:val="20"/>
                <w:color w:val="auto"/>
              </w:rPr>
            </w:pPr>
            <w:r>
              <w:rPr>
                <w:rFonts w:ascii="Arial" w:cs="Arial" w:eastAsia="Arial" w:hAnsi="Arial"/>
                <w:sz w:val="14"/>
                <w:szCs w:val="14"/>
                <w:color w:val="auto"/>
              </w:rPr>
              <w:t>Dividends paid on common stock</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(66,440)</w:t>
            </w:r>
          </w:p>
        </w:tc>
        <w:tc>
          <w:tcPr>
            <w:tcW w:w="58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(60,952)</w:t>
            </w:r>
          </w:p>
        </w:tc>
      </w:tr>
      <w:tr>
        <w:trPr>
          <w:trHeight w:val="209"/>
        </w:trPr>
        <w:tc>
          <w:tcPr>
            <w:tcW w:w="7960" w:type="dxa"/>
            <w:vAlign w:val="bottom"/>
            <w:shd w:val="clear" w:color="auto" w:fill="CEFFE7"/>
          </w:tcPr>
          <w:p>
            <w:pPr>
              <w:ind w:left="200"/>
              <w:spacing w:after="0"/>
              <w:rPr>
                <w:sz w:val="20"/>
                <w:szCs w:val="20"/>
                <w:color w:val="auto"/>
              </w:rPr>
            </w:pPr>
            <w:r>
              <w:rPr>
                <w:rFonts w:ascii="Arial" w:cs="Arial" w:eastAsia="Arial" w:hAnsi="Arial"/>
                <w:sz w:val="14"/>
                <w:szCs w:val="14"/>
                <w:color w:val="auto"/>
              </w:rPr>
              <w:t>Common stock issued</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99,435</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71,759</w:t>
            </w:r>
          </w:p>
        </w:tc>
      </w:tr>
      <w:tr>
        <w:trPr>
          <w:trHeight w:val="196"/>
        </w:trPr>
        <w:tc>
          <w:tcPr>
            <w:tcW w:w="7960" w:type="dxa"/>
            <w:vAlign w:val="bottom"/>
          </w:tcPr>
          <w:p>
            <w:pPr>
              <w:ind w:left="200"/>
              <w:spacing w:after="0"/>
              <w:rPr>
                <w:sz w:val="20"/>
                <w:szCs w:val="20"/>
                <w:color w:val="auto"/>
              </w:rPr>
            </w:pPr>
            <w:r>
              <w:rPr>
                <w:rFonts w:ascii="Arial" w:cs="Arial" w:eastAsia="Arial" w:hAnsi="Arial"/>
                <w:sz w:val="14"/>
                <w:szCs w:val="14"/>
                <w:color w:val="auto"/>
              </w:rPr>
              <w:t>Net (payments) borrowings of short-term debt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(349,500)</w:t>
            </w:r>
          </w:p>
        </w:tc>
        <w:tc>
          <w:tcPr>
            <w:tcW w:w="58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(83,120)</w:t>
            </w:r>
          </w:p>
        </w:tc>
      </w:tr>
      <w:tr>
        <w:trPr>
          <w:trHeight w:val="209"/>
        </w:trPr>
        <w:tc>
          <w:tcPr>
            <w:tcW w:w="7960" w:type="dxa"/>
            <w:vAlign w:val="bottom"/>
            <w:shd w:val="clear" w:color="auto" w:fill="CEFFE7"/>
          </w:tcPr>
          <w:p>
            <w:pPr>
              <w:ind w:left="200"/>
              <w:spacing w:after="0"/>
              <w:rPr>
                <w:sz w:val="20"/>
                <w:szCs w:val="20"/>
                <w:color w:val="auto"/>
              </w:rPr>
            </w:pPr>
            <w:r>
              <w:rPr>
                <w:rFonts w:ascii="Arial" w:cs="Arial" w:eastAsia="Arial" w:hAnsi="Arial"/>
                <w:sz w:val="14"/>
                <w:szCs w:val="14"/>
                <w:color w:val="auto"/>
              </w:rPr>
              <w:t>Long-term debt - issuances</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400,000</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400,000</w:t>
            </w:r>
          </w:p>
        </w:tc>
      </w:tr>
      <w:tr>
        <w:trPr>
          <w:trHeight w:val="196"/>
        </w:trPr>
        <w:tc>
          <w:tcPr>
            <w:tcW w:w="7960" w:type="dxa"/>
            <w:vAlign w:val="bottom"/>
          </w:tcPr>
          <w:p>
            <w:pPr>
              <w:ind w:left="200"/>
              <w:spacing w:after="0"/>
              <w:rPr>
                <w:sz w:val="20"/>
                <w:szCs w:val="20"/>
                <w:color w:val="auto"/>
              </w:rPr>
            </w:pPr>
            <w:r>
              <w:rPr>
                <w:rFonts w:ascii="Arial" w:cs="Arial" w:eastAsia="Arial" w:hAnsi="Arial"/>
                <w:sz w:val="14"/>
                <w:szCs w:val="14"/>
                <w:color w:val="auto"/>
              </w:rPr>
              <w:t>Long-term debt - repayments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(5,727)</w:t>
            </w:r>
          </w:p>
        </w:tc>
        <w:tc>
          <w:tcPr>
            <w:tcW w:w="58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(302,871)</w:t>
            </w:r>
          </w:p>
        </w:tc>
      </w:tr>
      <w:tr>
        <w:trPr>
          <w:trHeight w:val="209"/>
        </w:trPr>
        <w:tc>
          <w:tcPr>
            <w:tcW w:w="7960" w:type="dxa"/>
            <w:vAlign w:val="bottom"/>
            <w:shd w:val="clear" w:color="auto" w:fill="CEFFE7"/>
          </w:tcPr>
          <w:p>
            <w:pPr>
              <w:ind w:left="200"/>
              <w:spacing w:after="0"/>
              <w:rPr>
                <w:sz w:val="20"/>
                <w:szCs w:val="20"/>
                <w:color w:val="auto"/>
              </w:rPr>
            </w:pPr>
            <w:r>
              <w:rPr>
                <w:rFonts w:ascii="Arial" w:cs="Arial" w:eastAsia="Arial" w:hAnsi="Arial"/>
                <w:sz w:val="14"/>
                <w:szCs w:val="14"/>
                <w:color w:val="auto"/>
              </w:rPr>
              <w:t>Distributions to noncontrolling interest</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(8,520)</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(9,251)</w:t>
            </w:r>
          </w:p>
        </w:tc>
      </w:tr>
      <w:tr>
        <w:trPr>
          <w:trHeight w:val="196"/>
        </w:trPr>
        <w:tc>
          <w:tcPr>
            <w:tcW w:w="7960" w:type="dxa"/>
            <w:vAlign w:val="bottom"/>
            <w:tcBorders>
              <w:bottom w:val="single" w:sz="8" w:color="CEFFE7"/>
            </w:tcBorders>
          </w:tcPr>
          <w:p>
            <w:pPr>
              <w:ind w:left="200"/>
              <w:spacing w:after="0"/>
              <w:rPr>
                <w:sz w:val="20"/>
                <w:szCs w:val="20"/>
                <w:color w:val="auto"/>
              </w:rPr>
            </w:pPr>
            <w:r>
              <w:rPr>
                <w:rFonts w:ascii="Arial" w:cs="Arial" w:eastAsia="Arial" w:hAnsi="Arial"/>
                <w:sz w:val="14"/>
                <w:szCs w:val="14"/>
                <w:color w:val="auto"/>
              </w:rPr>
              <w:t>Other financing activities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(6,474)</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(1,948)</w:t>
            </w:r>
          </w:p>
        </w:tc>
      </w:tr>
      <w:tr>
        <w:trPr>
          <w:trHeight w:val="196"/>
        </w:trPr>
        <w:tc>
          <w:tcPr>
            <w:tcW w:w="7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80" w:type="dxa"/>
            <w:vAlign w:val="bottom"/>
            <w:tcBorders>
              <w:bottom w:val="single" w:sz="8" w:color="auto"/>
            </w:tcBorders>
            <w:shd w:val="clear" w:color="auto" w:fill="CEFFE7"/>
          </w:tcPr>
          <w:p>
            <w:pPr>
              <w:spacing w:after="0"/>
              <w:rPr>
                <w:sz w:val="17"/>
                <w:szCs w:val="17"/>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62,774</w:t>
            </w:r>
          </w:p>
        </w:tc>
        <w:tc>
          <w:tcPr>
            <w:tcW w:w="580" w:type="dxa"/>
            <w:vAlign w:val="bottom"/>
            <w:tcBorders>
              <w:bottom w:val="single" w:sz="8" w:color="auto"/>
            </w:tcBorders>
            <w:shd w:val="clear" w:color="auto" w:fill="CEFFE7"/>
          </w:tcPr>
          <w:p>
            <w:pPr>
              <w:spacing w:after="0"/>
              <w:rPr>
                <w:sz w:val="17"/>
                <w:szCs w:val="17"/>
                <w:color w:val="auto"/>
              </w:rPr>
            </w:pPr>
          </w:p>
        </w:tc>
        <w:tc>
          <w:tcPr>
            <w:tcW w:w="108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13,617</w:t>
            </w:r>
          </w:p>
        </w:tc>
      </w:tr>
      <w:tr>
        <w:trPr>
          <w:trHeight w:val="202"/>
        </w:trPr>
        <w:tc>
          <w:tcPr>
            <w:tcW w:w="7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960" w:type="dxa"/>
            <w:vAlign w:val="bottom"/>
            <w:shd w:val="clear" w:color="auto" w:fill="CEFFE7"/>
          </w:tcPr>
          <w:p>
            <w:pPr>
              <w:ind w:left="200"/>
              <w:spacing w:after="0"/>
              <w:rPr>
                <w:sz w:val="20"/>
                <w:szCs w:val="20"/>
                <w:color w:val="auto"/>
              </w:rPr>
            </w:pPr>
            <w:r>
              <w:rPr>
                <w:rFonts w:ascii="Arial" w:cs="Arial" w:eastAsia="Arial" w:hAnsi="Arial"/>
                <w:sz w:val="14"/>
                <w:szCs w:val="14"/>
                <w:color w:val="auto"/>
              </w:rPr>
              <w:t>Net change in cash, restricted cash and cash equivalents</w:t>
            </w:r>
          </w:p>
        </w:tc>
        <w:tc>
          <w:tcPr>
            <w:tcW w:w="380" w:type="dxa"/>
            <w:vAlign w:val="bottom"/>
            <w:shd w:val="clear" w:color="auto" w:fill="CEFFE7"/>
          </w:tcPr>
          <w:p>
            <w:pPr>
              <w:spacing w:after="0"/>
              <w:rPr>
                <w:sz w:val="17"/>
                <w:szCs w:val="17"/>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22,055</w:t>
            </w: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(13,901)</w:t>
            </w:r>
          </w:p>
        </w:tc>
      </w:tr>
      <w:tr>
        <w:trPr>
          <w:trHeight w:val="216"/>
        </w:trPr>
        <w:tc>
          <w:tcPr>
            <w:tcW w:w="7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7"/>
        </w:trPr>
        <w:tc>
          <w:tcPr>
            <w:tcW w:w="7960" w:type="dxa"/>
            <w:vAlign w:val="bottom"/>
            <w:shd w:val="clear" w:color="auto" w:fill="CEFFE7"/>
          </w:tcPr>
          <w:p>
            <w:pPr>
              <w:ind w:left="20"/>
              <w:spacing w:after="0"/>
              <w:rPr>
                <w:sz w:val="20"/>
                <w:szCs w:val="20"/>
                <w:color w:val="auto"/>
              </w:rPr>
            </w:pPr>
            <w:r>
              <w:rPr>
                <w:rFonts w:ascii="Arial" w:cs="Arial" w:eastAsia="Arial" w:hAnsi="Arial"/>
                <w:sz w:val="14"/>
                <w:szCs w:val="14"/>
                <w:color w:val="auto"/>
              </w:rPr>
              <w:t>Cash, restricted cash and cash equivalents at beginning of period</w:t>
            </w:r>
          </w:p>
        </w:tc>
        <w:tc>
          <w:tcPr>
            <w:tcW w:w="380" w:type="dxa"/>
            <w:vAlign w:val="bottom"/>
            <w:tcBorders>
              <w:bottom w:val="single" w:sz="8" w:color="auto"/>
            </w:tcBorders>
            <w:shd w:val="clear" w:color="auto" w:fill="CEFFE7"/>
          </w:tcPr>
          <w:p>
            <w:pPr>
              <w:spacing w:after="0"/>
              <w:rPr>
                <w:sz w:val="17"/>
                <w:szCs w:val="17"/>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13,658</w:t>
            </w:r>
          </w:p>
        </w:tc>
        <w:tc>
          <w:tcPr>
            <w:tcW w:w="580" w:type="dxa"/>
            <w:vAlign w:val="bottom"/>
            <w:tcBorders>
              <w:bottom w:val="single" w:sz="8" w:color="auto"/>
            </w:tcBorders>
            <w:shd w:val="clear" w:color="auto" w:fill="CEFFE7"/>
          </w:tcPr>
          <w:p>
            <w:pPr>
              <w:spacing w:after="0"/>
              <w:rPr>
                <w:sz w:val="17"/>
                <w:szCs w:val="17"/>
                <w:color w:val="auto"/>
              </w:rPr>
            </w:pPr>
          </w:p>
        </w:tc>
        <w:tc>
          <w:tcPr>
            <w:tcW w:w="108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24,145</w:t>
            </w:r>
          </w:p>
        </w:tc>
      </w:tr>
      <w:tr>
        <w:trPr>
          <w:trHeight w:val="202"/>
        </w:trPr>
        <w:tc>
          <w:tcPr>
            <w:tcW w:w="7960" w:type="dxa"/>
            <w:vAlign w:val="bottom"/>
          </w:tcPr>
          <w:p>
            <w:pPr>
              <w:ind w:left="20"/>
              <w:spacing w:after="0"/>
              <w:rPr>
                <w:sz w:val="20"/>
                <w:szCs w:val="20"/>
                <w:color w:val="auto"/>
              </w:rPr>
            </w:pPr>
            <w:r>
              <w:rPr>
                <w:rFonts w:ascii="Arial" w:cs="Arial" w:eastAsia="Arial" w:hAnsi="Arial"/>
                <w:sz w:val="14"/>
                <w:szCs w:val="14"/>
                <w:color w:val="auto"/>
              </w:rPr>
              <w:t>Cash, restricted cash and cash equivalents at end of period</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35,713</w:t>
            </w:r>
          </w:p>
        </w:tc>
        <w:tc>
          <w:tcPr>
            <w:tcW w:w="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10,244</w:t>
            </w:r>
          </w:p>
        </w:tc>
      </w:tr>
      <w:tr>
        <w:trPr>
          <w:trHeight w:val="20"/>
        </w:trPr>
        <w:tc>
          <w:tcPr>
            <w:tcW w:w="7960" w:type="dxa"/>
            <w:vAlign w:val="bottom"/>
            <w:tcBorders>
              <w:bottom w:val="single" w:sz="8" w:color="CEFFE7"/>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7960" w:type="dxa"/>
            <w:vAlign w:val="bottom"/>
            <w:shd w:val="clear" w:color="auto" w:fill="CEFFE7"/>
          </w:tcPr>
          <w:p>
            <w:pPr>
              <w:spacing w:after="0"/>
              <w:rPr>
                <w:sz w:val="15"/>
                <w:szCs w:val="15"/>
                <w:color w:val="auto"/>
              </w:rPr>
            </w:pPr>
          </w:p>
        </w:tc>
        <w:tc>
          <w:tcPr>
            <w:tcW w:w="380" w:type="dxa"/>
            <w:vAlign w:val="bottom"/>
            <w:shd w:val="clear" w:color="auto" w:fill="CEFFE7"/>
          </w:tcPr>
          <w:p>
            <w:pPr>
              <w:spacing w:after="0"/>
              <w:rPr>
                <w:sz w:val="15"/>
                <w:szCs w:val="15"/>
                <w:color w:val="auto"/>
              </w:rPr>
            </w:pPr>
          </w:p>
        </w:tc>
        <w:tc>
          <w:tcPr>
            <w:tcW w:w="1200" w:type="dxa"/>
            <w:vAlign w:val="bottom"/>
            <w:shd w:val="clear" w:color="auto" w:fill="CEFFE7"/>
          </w:tcPr>
          <w:p>
            <w:pPr>
              <w:spacing w:after="0"/>
              <w:rPr>
                <w:sz w:val="15"/>
                <w:szCs w:val="15"/>
                <w:color w:val="auto"/>
              </w:rPr>
            </w:pPr>
          </w:p>
        </w:tc>
        <w:tc>
          <w:tcPr>
            <w:tcW w:w="580" w:type="dxa"/>
            <w:vAlign w:val="bottom"/>
            <w:shd w:val="clear" w:color="auto" w:fill="CEFFE7"/>
          </w:tcPr>
          <w:p>
            <w:pPr>
              <w:spacing w:after="0"/>
              <w:rPr>
                <w:sz w:val="15"/>
                <w:szCs w:val="15"/>
                <w:color w:val="auto"/>
              </w:rPr>
            </w:pPr>
          </w:p>
        </w:tc>
        <w:tc>
          <w:tcPr>
            <w:tcW w:w="1080" w:type="dxa"/>
            <w:vAlign w:val="bottom"/>
            <w:shd w:val="clear" w:color="auto" w:fill="CEFFE7"/>
          </w:tcPr>
          <w:p>
            <w:pPr>
              <w:spacing w:after="0"/>
              <w:rPr>
                <w:sz w:val="15"/>
                <w:szCs w:val="15"/>
                <w:color w:val="auto"/>
              </w:rPr>
            </w:pPr>
          </w:p>
        </w:tc>
      </w:tr>
      <w:tr>
        <w:trPr>
          <w:trHeight w:val="197"/>
        </w:trPr>
        <w:tc>
          <w:tcPr>
            <w:tcW w:w="7960" w:type="dxa"/>
            <w:vAlign w:val="bottom"/>
          </w:tcPr>
          <w:p>
            <w:pPr>
              <w:ind w:left="20"/>
              <w:spacing w:after="0"/>
              <w:rPr>
                <w:sz w:val="20"/>
                <w:szCs w:val="20"/>
                <w:color w:val="auto"/>
              </w:rPr>
            </w:pPr>
            <w:r>
              <w:rPr>
                <w:rFonts w:ascii="Arial" w:cs="Arial" w:eastAsia="Arial" w:hAnsi="Arial"/>
                <w:sz w:val="14"/>
                <w:szCs w:val="14"/>
                <w:color w:val="auto"/>
              </w:rPr>
              <w:t>Supplemental cash flow information:</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7960" w:type="dxa"/>
            <w:vAlign w:val="bottom"/>
            <w:shd w:val="clear" w:color="auto" w:fill="CEFFE7"/>
          </w:tcPr>
          <w:p>
            <w:pPr>
              <w:ind w:left="120"/>
              <w:spacing w:after="0"/>
              <w:rPr>
                <w:sz w:val="20"/>
                <w:szCs w:val="20"/>
                <w:color w:val="auto"/>
              </w:rPr>
            </w:pPr>
            <w:r>
              <w:rPr>
                <w:rFonts w:ascii="Arial" w:cs="Arial" w:eastAsia="Arial" w:hAnsi="Arial"/>
                <w:sz w:val="14"/>
                <w:szCs w:val="14"/>
                <w:color w:val="auto"/>
              </w:rPr>
              <w:t>Cash (paid) refunded during the period:</w:t>
            </w: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r>
      <w:tr>
        <w:trPr>
          <w:trHeight w:val="197"/>
        </w:trPr>
        <w:tc>
          <w:tcPr>
            <w:tcW w:w="7960" w:type="dxa"/>
            <w:vAlign w:val="bottom"/>
          </w:tcPr>
          <w:p>
            <w:pPr>
              <w:ind w:left="200"/>
              <w:spacing w:after="0"/>
              <w:rPr>
                <w:sz w:val="20"/>
                <w:szCs w:val="20"/>
                <w:color w:val="auto"/>
              </w:rPr>
            </w:pPr>
            <w:r>
              <w:rPr>
                <w:rFonts w:ascii="Arial" w:cs="Arial" w:eastAsia="Arial" w:hAnsi="Arial"/>
                <w:sz w:val="14"/>
                <w:szCs w:val="14"/>
                <w:color w:val="auto"/>
              </w:rPr>
              <w:t>Interest (net of amounts capitalized)</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(67,449)</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(67,624)</w:t>
            </w:r>
          </w:p>
        </w:tc>
      </w:tr>
      <w:tr>
        <w:trPr>
          <w:trHeight w:val="208"/>
        </w:trPr>
        <w:tc>
          <w:tcPr>
            <w:tcW w:w="7960" w:type="dxa"/>
            <w:vAlign w:val="bottom"/>
            <w:shd w:val="clear" w:color="auto" w:fill="CEFFE7"/>
          </w:tcPr>
          <w:p>
            <w:pPr>
              <w:ind w:left="200"/>
              <w:spacing w:after="0"/>
              <w:rPr>
                <w:sz w:val="20"/>
                <w:szCs w:val="20"/>
                <w:color w:val="auto"/>
              </w:rPr>
            </w:pPr>
            <w:r>
              <w:rPr>
                <w:rFonts w:ascii="Arial" w:cs="Arial" w:eastAsia="Arial" w:hAnsi="Arial"/>
                <w:sz w:val="14"/>
                <w:szCs w:val="14"/>
                <w:color w:val="auto"/>
              </w:rPr>
              <w:t>Income taxes</w:t>
            </w:r>
          </w:p>
        </w:tc>
        <w:tc>
          <w:tcPr>
            <w:tcW w:w="380" w:type="dxa"/>
            <w:vAlign w:val="bottom"/>
            <w:shd w:val="clear" w:color="auto" w:fill="CEFFE7"/>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1,896</w:t>
            </w:r>
          </w:p>
        </w:tc>
        <w:tc>
          <w:tcPr>
            <w:tcW w:w="580" w:type="dxa"/>
            <w:vAlign w:val="bottom"/>
            <w:shd w:val="clear" w:color="auto" w:fill="CEFFE7"/>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1,790</w:t>
            </w:r>
          </w:p>
        </w:tc>
      </w:tr>
      <w:tr>
        <w:trPr>
          <w:trHeight w:val="196"/>
        </w:trPr>
        <w:tc>
          <w:tcPr>
            <w:tcW w:w="7960" w:type="dxa"/>
            <w:vAlign w:val="bottom"/>
          </w:tcPr>
          <w:p>
            <w:pPr>
              <w:ind w:left="120"/>
              <w:spacing w:after="0"/>
              <w:rPr>
                <w:sz w:val="20"/>
                <w:szCs w:val="20"/>
                <w:color w:val="auto"/>
              </w:rPr>
            </w:pPr>
            <w:r>
              <w:rPr>
                <w:rFonts w:ascii="Arial" w:cs="Arial" w:eastAsia="Arial" w:hAnsi="Arial"/>
                <w:sz w:val="14"/>
                <w:szCs w:val="14"/>
                <w:color w:val="auto"/>
              </w:rPr>
              <w:t>Non-cash investing and financing activities: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7960" w:type="dxa"/>
            <w:vAlign w:val="bottom"/>
            <w:shd w:val="clear" w:color="auto" w:fill="CEFFE7"/>
          </w:tcPr>
          <w:p>
            <w:pPr>
              <w:ind w:left="200"/>
              <w:spacing w:after="0"/>
              <w:rPr>
                <w:sz w:val="20"/>
                <w:szCs w:val="20"/>
                <w:color w:val="auto"/>
              </w:rPr>
            </w:pPr>
            <w:r>
              <w:rPr>
                <w:rFonts w:ascii="Arial" w:cs="Arial" w:eastAsia="Arial" w:hAnsi="Arial"/>
                <w:sz w:val="14"/>
                <w:szCs w:val="14"/>
                <w:color w:val="auto"/>
              </w:rPr>
              <w:t>Accrued property, plant and equipment purchases at June 30</w:t>
            </w:r>
          </w:p>
        </w:tc>
        <w:tc>
          <w:tcPr>
            <w:tcW w:w="380" w:type="dxa"/>
            <w:vAlign w:val="bottom"/>
            <w:shd w:val="clear" w:color="auto" w:fill="CEFFE7"/>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59,916</w:t>
            </w:r>
          </w:p>
        </w:tc>
        <w:tc>
          <w:tcPr>
            <w:tcW w:w="580" w:type="dxa"/>
            <w:vAlign w:val="bottom"/>
            <w:shd w:val="clear" w:color="auto" w:fill="CEFFE7"/>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83,486</w:t>
            </w:r>
          </w:p>
        </w:tc>
      </w:tr>
    </w:tbl>
    <w:p>
      <w:pPr>
        <w:spacing w:after="0" w:line="292"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2">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tcPr>
          <w:p>
            <w:pPr>
              <w:ind w:left="20"/>
              <w:spacing w:after="0"/>
              <w:rPr>
                <w:sz w:val="20"/>
                <w:szCs w:val="20"/>
                <w:color w:val="auto"/>
              </w:rPr>
            </w:pPr>
            <w:r>
              <w:rPr>
                <w:rFonts w:ascii="Arial" w:cs="Arial" w:eastAsia="Arial" w:hAnsi="Arial"/>
                <w:sz w:val="14"/>
                <w:szCs w:val="14"/>
                <w:color w:val="auto"/>
              </w:rPr>
              <w:t>(unaudited)</w:t>
            </w:r>
          </w:p>
        </w:tc>
        <w:tc>
          <w:tcPr>
            <w:tcW w:w="16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color w:val="auto"/>
              </w:rPr>
              <w:t>Common Stock</w:t>
            </w:r>
          </w:p>
        </w:tc>
        <w:tc>
          <w:tcPr>
            <w:tcW w:w="156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color w:val="auto"/>
              </w:rPr>
              <w:t>Treasury Stock</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43"/>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color w:val="auto"/>
                <w:w w:val="93"/>
              </w:rPr>
              <w:t>Non</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Additional Paid</w:t>
            </w:r>
          </w:p>
        </w:tc>
        <w:tc>
          <w:tcPr>
            <w:tcW w:w="14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2"/>
              </w:rPr>
              <w:t>Retained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8"/>
        </w:trPr>
        <w:tc>
          <w:tcPr>
            <w:tcW w:w="34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(in thousands except share amounts)</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Shares</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Value</w:t>
            </w: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Shares</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4"/>
              </w:rPr>
              <w:t>Value</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5"/>
              </w:rPr>
              <w:t>in Capital</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Earnings</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AOCI</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Interest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202"/>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b w:val="1"/>
                <w:bCs w:val="1"/>
                <w:color w:val="auto"/>
              </w:rPr>
              <w:t>December 31, 2019</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61,480,658</w:t>
            </w:r>
          </w:p>
        </w:tc>
        <w:tc>
          <w:tcPr>
            <w:tcW w:w="260" w:type="dxa"/>
            <w:vAlign w:val="bottom"/>
            <w:shd w:val="clear" w:color="auto" w:fill="CEFFE7"/>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w w:val="97"/>
              </w:rPr>
              <w:t>61,481</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3,956</w:t>
            </w:r>
          </w:p>
        </w:tc>
        <w:tc>
          <w:tcPr>
            <w:tcW w:w="240" w:type="dxa"/>
            <w:vAlign w:val="bottom"/>
            <w:shd w:val="clear" w:color="auto" w:fill="CEFFE7"/>
          </w:tcPr>
          <w:p>
            <w:pPr>
              <w:ind w:lef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(267)</w:t>
            </w:r>
          </w:p>
        </w:tc>
        <w:tc>
          <w:tcPr>
            <w:tcW w:w="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w w:val="99"/>
              </w:rPr>
              <w:t>1,552,788</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778,776</w:t>
            </w:r>
          </w:p>
        </w:tc>
        <w:tc>
          <w:tcPr>
            <w:tcW w:w="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w w:val="99"/>
              </w:rPr>
              <w:t>(30,655)</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101,946</w:t>
            </w:r>
          </w:p>
        </w:tc>
        <w:tc>
          <w:tcPr>
            <w:tcW w:w="2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2,464,069</w:t>
            </w:r>
          </w:p>
        </w:tc>
      </w:tr>
      <w:tr>
        <w:trPr>
          <w:trHeight w:val="197"/>
        </w:trPr>
        <w:tc>
          <w:tcPr>
            <w:tcW w:w="3400" w:type="dxa"/>
            <w:vAlign w:val="bottom"/>
          </w:tcPr>
          <w:p>
            <w:pPr>
              <w:ind w:left="20"/>
              <w:spacing w:after="0"/>
              <w:rPr>
                <w:sz w:val="20"/>
                <w:szCs w:val="20"/>
                <w:color w:val="auto"/>
              </w:rPr>
            </w:pPr>
            <w:r>
              <w:rPr>
                <w:rFonts w:ascii="Arial" w:cs="Arial" w:eastAsia="Arial" w:hAnsi="Arial"/>
                <w:sz w:val="14"/>
                <w:szCs w:val="14"/>
                <w:color w:val="auto"/>
              </w:rPr>
              <w:t>Net income available for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93,174</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4,050</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97,224</w:t>
            </w:r>
          </w:p>
        </w:tc>
      </w:tr>
      <w:tr>
        <w:trPr>
          <w:trHeight w:val="208"/>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1,273</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1,273</w:t>
            </w:r>
          </w:p>
        </w:tc>
      </w:tr>
      <w:tr>
        <w:trPr>
          <w:trHeight w:val="197"/>
        </w:trPr>
        <w:tc>
          <w:tcPr>
            <w:tcW w:w="3400" w:type="dxa"/>
            <w:vAlign w:val="bottom"/>
          </w:tcPr>
          <w:p>
            <w:pPr>
              <w:ind w:left="20"/>
              <w:spacing w:after="0"/>
              <w:rPr>
                <w:sz w:val="20"/>
                <w:szCs w:val="20"/>
                <w:color w:val="auto"/>
              </w:rPr>
            </w:pPr>
            <w:r>
              <w:rPr>
                <w:rFonts w:ascii="Arial" w:cs="Arial" w:eastAsia="Arial" w:hAnsi="Arial"/>
                <w:sz w:val="14"/>
                <w:szCs w:val="14"/>
                <w:color w:val="auto"/>
              </w:rPr>
              <w:t>Dividends on common stock ($0.535 per share)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(32,902)</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(32,902)</w:t>
            </w:r>
          </w:p>
        </w:tc>
      </w:tr>
      <w:tr>
        <w:trPr>
          <w:trHeight w:val="208"/>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69,378</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69</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20,700</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w w:val="99"/>
              </w:rPr>
              <w:t>(1,658)</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2,263</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674</w:t>
            </w:r>
          </w:p>
        </w:tc>
      </w:tr>
      <w:tr>
        <w:trPr>
          <w:trHeight w:val="196"/>
        </w:trPr>
        <w:tc>
          <w:tcPr>
            <w:tcW w:w="340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1,222,942</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1,223</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98,777</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100,000</w:t>
            </w:r>
          </w:p>
        </w:tc>
      </w:tr>
      <w:tr>
        <w:trPr>
          <w:trHeight w:val="276"/>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Issuance costs</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EFFE7"/>
          </w:tcPr>
          <w:p>
            <w:pPr>
              <w:spacing w:after="0"/>
              <w:rPr>
                <w:sz w:val="24"/>
                <w:szCs w:val="24"/>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7"/>
              <w:spacing w:after="0"/>
              <w:rPr>
                <w:sz w:val="20"/>
                <w:szCs w:val="20"/>
                <w:color w:val="auto"/>
              </w:rPr>
            </w:pPr>
            <w:r>
              <w:rPr>
                <w:rFonts w:ascii="Arial" w:cs="Arial" w:eastAsia="Arial" w:hAnsi="Arial"/>
                <w:sz w:val="18"/>
                <w:szCs w:val="18"/>
                <w:color w:val="auto"/>
              </w:rPr>
              <w:t>—</w:t>
            </w:r>
          </w:p>
        </w:tc>
        <w:tc>
          <w:tcPr>
            <w:tcW w:w="240" w:type="dxa"/>
            <w:vAlign w:val="bottom"/>
            <w:shd w:val="clear" w:color="auto" w:fill="CEFFE7"/>
          </w:tcPr>
          <w:p>
            <w:pPr>
              <w:spacing w:after="0"/>
              <w:rPr>
                <w:sz w:val="24"/>
                <w:szCs w:val="24"/>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24"/>
                <w:szCs w:val="24"/>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(967)</w:t>
            </w:r>
          </w:p>
        </w:tc>
        <w:tc>
          <w:tcPr>
            <w:tcW w:w="140" w:type="dxa"/>
            <w:vAlign w:val="bottom"/>
            <w:shd w:val="clear" w:color="auto" w:fill="CEFFE7"/>
          </w:tcPr>
          <w:p>
            <w:pPr>
              <w:spacing w:after="0"/>
              <w:rPr>
                <w:sz w:val="24"/>
                <w:szCs w:val="24"/>
                <w:color w:val="auto"/>
              </w:rPr>
            </w:pP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24"/>
                <w:szCs w:val="24"/>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24"/>
                <w:szCs w:val="24"/>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24"/>
                <w:szCs w:val="24"/>
                <w:color w:val="auto"/>
              </w:rPr>
            </w:pPr>
          </w:p>
        </w:tc>
        <w:tc>
          <w:tcPr>
            <w:tcW w:w="8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(967)</w:t>
            </w:r>
          </w:p>
        </w:tc>
      </w:tr>
      <w:tr>
        <w:trPr>
          <w:trHeight w:val="157"/>
        </w:trPr>
        <w:tc>
          <w:tcPr>
            <w:tcW w:w="3400" w:type="dxa"/>
            <w:vAlign w:val="bottom"/>
          </w:tcPr>
          <w:p>
            <w:pPr>
              <w:ind w:left="20"/>
              <w:spacing w:after="0" w:line="157" w:lineRule="exact"/>
              <w:rPr>
                <w:sz w:val="20"/>
                <w:szCs w:val="20"/>
                <w:color w:val="auto"/>
              </w:rPr>
            </w:pPr>
            <w:r>
              <w:rPr>
                <w:rFonts w:ascii="Arial" w:cs="Arial" w:eastAsia="Arial" w:hAnsi="Arial"/>
                <w:sz w:val="14"/>
                <w:szCs w:val="14"/>
                <w:color w:val="auto"/>
                <w:w w:val="97"/>
              </w:rPr>
              <w:t>Implementation of ASU 2016-13 Financial Instruments -</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8"/>
        </w:trPr>
        <w:tc>
          <w:tcPr>
            <w:tcW w:w="3400" w:type="dxa"/>
            <w:vAlign w:val="bottom"/>
          </w:tcPr>
          <w:p>
            <w:pPr>
              <w:ind w:left="20"/>
              <w:spacing w:after="0"/>
              <w:rPr>
                <w:sz w:val="20"/>
                <w:szCs w:val="20"/>
                <w:color w:val="auto"/>
              </w:rPr>
            </w:pPr>
            <w:r>
              <w:rPr>
                <w:rFonts w:ascii="Arial" w:cs="Arial" w:eastAsia="Arial" w:hAnsi="Arial"/>
                <w:sz w:val="14"/>
                <w:szCs w:val="14"/>
                <w:color w:val="auto"/>
              </w:rPr>
              <w:t>- Credit Losses</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(207)</w:t>
            </w:r>
          </w:p>
        </w:tc>
        <w:tc>
          <w:tcPr>
            <w:tcW w:w="1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(207)</w:t>
            </w:r>
          </w:p>
        </w:tc>
      </w:tr>
      <w:tr>
        <w:trPr>
          <w:trHeight w:val="208"/>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EFFE7"/>
          </w:tcPr>
          <w:p>
            <w:pPr>
              <w:spacing w:after="0"/>
              <w:rPr>
                <w:sz w:val="18"/>
                <w:szCs w:val="18"/>
                <w:color w:val="auto"/>
              </w:rPr>
            </w:pPr>
          </w:p>
        </w:tc>
        <w:tc>
          <w:tcPr>
            <w:tcW w:w="56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8"/>
                <w:szCs w:val="18"/>
                <w:color w:val="auto"/>
              </w:rPr>
            </w:pPr>
          </w:p>
        </w:tc>
        <w:tc>
          <w:tcPr>
            <w:tcW w:w="78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6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(4,741)</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(4,741)</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March 31, 2020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62,772,978</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7"/>
              </w:rPr>
              <w:t>62,773</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24,656</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w w:val="99"/>
              </w:rPr>
              <w:t>(1,925)</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w w:val="99"/>
              </w:rPr>
              <w:t>1,652,861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838,841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9"/>
              </w:rPr>
              <w:t>(29,382)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101,255</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2,624,423</w:t>
            </w:r>
          </w:p>
        </w:tc>
      </w:tr>
      <w:tr>
        <w:trPr>
          <w:trHeight w:val="208"/>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 available for common stock</w:t>
            </w:r>
          </w:p>
        </w:tc>
        <w:tc>
          <w:tcPr>
            <w:tcW w:w="900" w:type="dxa"/>
            <w:vAlign w:val="bottom"/>
            <w:shd w:val="clear" w:color="auto" w:fill="CEFFE7"/>
          </w:tcPr>
          <w:p>
            <w:pPr>
              <w:jc w:val="right"/>
              <w:ind w:right="668"/>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EFFE7"/>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EFFE7"/>
          </w:tcPr>
          <w:p>
            <w:pPr>
              <w:spacing w:after="0"/>
              <w:rPr>
                <w:sz w:val="18"/>
                <w:szCs w:val="18"/>
                <w:color w:val="auto"/>
              </w:rPr>
            </w:pPr>
          </w:p>
        </w:tc>
        <w:tc>
          <w:tcPr>
            <w:tcW w:w="760" w:type="dxa"/>
            <w:vAlign w:val="bottom"/>
            <w:shd w:val="clear" w:color="auto" w:fill="CEFFE7"/>
          </w:tcPr>
          <w:p>
            <w:pPr>
              <w:jc w:val="right"/>
              <w:ind w:right="467"/>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ind w:left="80"/>
              <w:spacing w:after="0"/>
              <w:rPr>
                <w:sz w:val="20"/>
                <w:szCs w:val="20"/>
                <w:color w:val="auto"/>
              </w:rPr>
            </w:pPr>
            <w:r>
              <w:rPr>
                <w:rFonts w:ascii="Arial" w:cs="Arial" w:eastAsia="Arial" w:hAnsi="Arial"/>
                <w:sz w:val="14"/>
                <w:szCs w:val="14"/>
                <w:color w:val="auto"/>
                <w:w w:val="99"/>
              </w:rPr>
              <w:t>—</w:t>
            </w:r>
          </w:p>
        </w:tc>
        <w:tc>
          <w:tcPr>
            <w:tcW w:w="560" w:type="dxa"/>
            <w:vAlign w:val="bottom"/>
            <w:shd w:val="clear" w:color="auto" w:fill="CEFFE7"/>
          </w:tcPr>
          <w:p>
            <w:pPr>
              <w:spacing w:after="0"/>
              <w:rPr>
                <w:sz w:val="18"/>
                <w:szCs w:val="18"/>
                <w:color w:val="auto"/>
              </w:rPr>
            </w:pPr>
          </w:p>
        </w:tc>
        <w:tc>
          <w:tcPr>
            <w:tcW w:w="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20,966</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3,728</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24,694</w:t>
            </w:r>
          </w:p>
        </w:tc>
      </w:tr>
      <w:tr>
        <w:trPr>
          <w:trHeight w:val="197"/>
        </w:trPr>
        <w:tc>
          <w:tcPr>
            <w:tcW w:w="34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948</w:t>
            </w:r>
          </w:p>
        </w:tc>
      </w:tr>
      <w:tr>
        <w:trPr>
          <w:trHeight w:val="208"/>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Dividends on common stock ($0.535 per share)</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(33,538)</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(33,538)</w:t>
            </w:r>
          </w:p>
        </w:tc>
      </w:tr>
      <w:tr>
        <w:trPr>
          <w:trHeight w:val="197"/>
        </w:trPr>
        <w:tc>
          <w:tcPr>
            <w:tcW w:w="34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1,743</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1,781</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1,827</w:t>
            </w:r>
          </w:p>
        </w:tc>
      </w:tr>
      <w:tr>
        <w:trPr>
          <w:trHeight w:val="208"/>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Issuance costs</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(79)</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(79)</w:t>
            </w:r>
          </w:p>
        </w:tc>
      </w:tr>
      <w:tr>
        <w:trPr>
          <w:trHeight w:val="196"/>
        </w:trPr>
        <w:tc>
          <w:tcPr>
            <w:tcW w:w="34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(3,779)</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(3,779)</w:t>
            </w:r>
          </w:p>
        </w:tc>
      </w:tr>
      <w:tr>
        <w:trPr>
          <w:trHeight w:val="200"/>
        </w:trPr>
        <w:tc>
          <w:tcPr>
            <w:tcW w:w="34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4"/>
                <w:szCs w:val="14"/>
                <w:b w:val="1"/>
                <w:bCs w:val="1"/>
                <w:color w:val="auto"/>
              </w:rPr>
              <w:t>June 30, 2020</w:t>
            </w:r>
          </w:p>
        </w:tc>
        <w:tc>
          <w:tcPr>
            <w:tcW w:w="9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62,772,996</w:t>
            </w:r>
          </w:p>
        </w:tc>
        <w:tc>
          <w:tcPr>
            <w:tcW w:w="26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w w:val="97"/>
              </w:rPr>
              <w:t>62,773</w:t>
            </w:r>
          </w:p>
        </w:tc>
        <w:tc>
          <w:tcPr>
            <w:tcW w:w="760" w:type="dxa"/>
            <w:vAlign w:val="bottom"/>
            <w:tcBorders>
              <w:bottom w:val="single" w:sz="8" w:color="auto"/>
            </w:tcBorders>
            <w:shd w:val="clear" w:color="auto" w:fill="CEFFE7"/>
          </w:tcPr>
          <w:p>
            <w:pPr>
              <w:jc w:val="right"/>
              <w:ind w:right="7"/>
              <w:spacing w:after="0"/>
              <w:rPr>
                <w:sz w:val="20"/>
                <w:szCs w:val="20"/>
                <w:color w:val="auto"/>
              </w:rPr>
            </w:pPr>
            <w:r>
              <w:rPr>
                <w:rFonts w:ascii="Arial" w:cs="Arial" w:eastAsia="Arial" w:hAnsi="Arial"/>
                <w:sz w:val="14"/>
                <w:szCs w:val="14"/>
                <w:color w:val="auto"/>
              </w:rPr>
              <w:t>26,399</w:t>
            </w:r>
          </w:p>
        </w:tc>
        <w:tc>
          <w:tcPr>
            <w:tcW w:w="24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w w:val="99"/>
              </w:rPr>
              <w:t>(1,879)</w:t>
            </w:r>
          </w:p>
        </w:tc>
        <w:tc>
          <w:tcPr>
            <w:tcW w:w="2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w w:val="99"/>
              </w:rPr>
              <w:t>1,654,563</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826,269</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w w:val="99"/>
              </w:rPr>
              <w:t>(28,434)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101,204</w:t>
            </w:r>
          </w:p>
        </w:tc>
        <w:tc>
          <w:tcPr>
            <w:tcW w:w="2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2,614,496</w:t>
            </w:r>
          </w:p>
        </w:tc>
      </w:tr>
      <w:tr>
        <w:trPr>
          <w:trHeight w:val="20"/>
        </w:trPr>
        <w:tc>
          <w:tcPr>
            <w:tcW w:w="3400" w:type="dxa"/>
            <w:vAlign w:val="bottom"/>
            <w:tcBorders>
              <w:top w:val="single" w:sz="8" w:color="CEFFE7"/>
            </w:tcBorders>
          </w:tcPr>
          <w:p>
            <w:pPr>
              <w:spacing w:after="0" w:line="20" w:lineRule="exact"/>
              <w:rPr>
                <w:sz w:val="1"/>
                <w:szCs w:val="1"/>
                <w:color w:val="auto"/>
              </w:rPr>
            </w:pPr>
          </w:p>
        </w:tc>
        <w:tc>
          <w:tcPr>
            <w:tcW w:w="1680" w:type="dxa"/>
            <w:vAlign w:val="bottom"/>
            <w:tcBorders>
              <w:top w:val="single" w:sz="8" w:color="CEFFE7"/>
              <w:bottom w:val="single" w:sz="8" w:color="auto"/>
            </w:tcBorders>
            <w:gridSpan w:val="3"/>
          </w:tcPr>
          <w:p>
            <w:pPr>
              <w:spacing w:after="0" w:line="20" w:lineRule="exact"/>
              <w:rPr>
                <w:sz w:val="1"/>
                <w:szCs w:val="1"/>
                <w:color w:val="auto"/>
              </w:rPr>
            </w:pPr>
          </w:p>
        </w:tc>
        <w:tc>
          <w:tcPr>
            <w:tcW w:w="1560" w:type="dxa"/>
            <w:vAlign w:val="bottom"/>
            <w:tcBorders>
              <w:top w:val="single" w:sz="8" w:color="CEFFE7"/>
              <w:bottom w:val="single" w:sz="8" w:color="auto"/>
            </w:tcBorders>
            <w:gridSpan w:val="3"/>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r>
      <w:tr>
        <w:trPr>
          <w:trHeight w:val="305"/>
        </w:trPr>
        <w:tc>
          <w:tcPr>
            <w:tcW w:w="3400" w:type="dxa"/>
            <w:vAlign w:val="bottom"/>
          </w:tcPr>
          <w:p>
            <w:pPr>
              <w:spacing w:after="0"/>
              <w:rPr>
                <w:sz w:val="24"/>
                <w:szCs w:val="24"/>
                <w:color w:val="auto"/>
              </w:rPr>
            </w:pPr>
          </w:p>
        </w:tc>
        <w:tc>
          <w:tcPr>
            <w:tcW w:w="16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color w:val="auto"/>
              </w:rPr>
              <w:t>Common Stock</w:t>
            </w:r>
          </w:p>
        </w:tc>
        <w:tc>
          <w:tcPr>
            <w:tcW w:w="156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color w:val="auto"/>
              </w:rPr>
              <w:t>Treasury Stock</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43"/>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color w:val="auto"/>
                <w:w w:val="93"/>
              </w:rPr>
              <w:t>Non</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Additional Paid</w:t>
            </w:r>
          </w:p>
        </w:tc>
        <w:tc>
          <w:tcPr>
            <w:tcW w:w="14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2"/>
              </w:rPr>
              <w:t>Retained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8"/>
        </w:trPr>
        <w:tc>
          <w:tcPr>
            <w:tcW w:w="34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(in thousands except share amounts)</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Shares</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Value</w:t>
            </w: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Shares</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4"/>
              </w:rPr>
              <w:t>Value</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5"/>
              </w:rPr>
              <w:t>in Capital</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Earnings</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AOCI</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Interest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202"/>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b w:val="1"/>
                <w:bCs w:val="1"/>
                <w:color w:val="auto"/>
              </w:rPr>
              <w:t>December 31, 2018</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60,048,567</w:t>
            </w:r>
          </w:p>
        </w:tc>
        <w:tc>
          <w:tcPr>
            <w:tcW w:w="260" w:type="dxa"/>
            <w:vAlign w:val="bottom"/>
            <w:shd w:val="clear" w:color="auto" w:fill="CEFFE7"/>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w w:val="97"/>
              </w:rPr>
              <w:t>60,049</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44,253</w:t>
            </w:r>
          </w:p>
        </w:tc>
        <w:tc>
          <w:tcPr>
            <w:tcW w:w="240" w:type="dxa"/>
            <w:vAlign w:val="bottom"/>
            <w:shd w:val="clear" w:color="auto" w:fill="CEFFE7"/>
          </w:tcPr>
          <w:p>
            <w:pPr>
              <w:ind w:lef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w w:val="99"/>
              </w:rPr>
              <w:t>(2,510)</w:t>
            </w:r>
          </w:p>
        </w:tc>
        <w:tc>
          <w:tcPr>
            <w:tcW w:w="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w w:val="99"/>
              </w:rPr>
              <w:t>1,450,569</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700,396</w:t>
            </w:r>
          </w:p>
        </w:tc>
        <w:tc>
          <w:tcPr>
            <w:tcW w:w="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w w:val="99"/>
              </w:rPr>
              <w:t>(26,916)</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105,835</w:t>
            </w:r>
          </w:p>
        </w:tc>
        <w:tc>
          <w:tcPr>
            <w:tcW w:w="2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2,287,423</w:t>
            </w:r>
          </w:p>
        </w:tc>
      </w:tr>
      <w:tr>
        <w:trPr>
          <w:trHeight w:val="196"/>
        </w:trPr>
        <w:tc>
          <w:tcPr>
            <w:tcW w:w="3400" w:type="dxa"/>
            <w:vAlign w:val="bottom"/>
          </w:tcPr>
          <w:p>
            <w:pPr>
              <w:ind w:left="20"/>
              <w:spacing w:after="0"/>
              <w:rPr>
                <w:sz w:val="20"/>
                <w:szCs w:val="20"/>
                <w:color w:val="auto"/>
              </w:rPr>
            </w:pPr>
            <w:r>
              <w:rPr>
                <w:rFonts w:ascii="Arial" w:cs="Arial" w:eastAsia="Arial" w:hAnsi="Arial"/>
                <w:sz w:val="14"/>
                <w:szCs w:val="14"/>
                <w:color w:val="auto"/>
              </w:rPr>
              <w:t>Net income available for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103,808</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3,554</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107,362</w:t>
            </w:r>
          </w:p>
        </w:tc>
      </w:tr>
      <w:tr>
        <w:trPr>
          <w:trHeight w:val="209"/>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457</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457</w:t>
            </w:r>
          </w:p>
        </w:tc>
      </w:tr>
      <w:tr>
        <w:trPr>
          <w:trHeight w:val="196"/>
        </w:trPr>
        <w:tc>
          <w:tcPr>
            <w:tcW w:w="3400" w:type="dxa"/>
            <w:vAlign w:val="bottom"/>
          </w:tcPr>
          <w:p>
            <w:pPr>
              <w:ind w:left="20"/>
              <w:spacing w:after="0"/>
              <w:rPr>
                <w:sz w:val="20"/>
                <w:szCs w:val="20"/>
                <w:color w:val="auto"/>
              </w:rPr>
            </w:pPr>
            <w:r>
              <w:rPr>
                <w:rFonts w:ascii="Arial" w:cs="Arial" w:eastAsia="Arial" w:hAnsi="Arial"/>
                <w:sz w:val="14"/>
                <w:szCs w:val="14"/>
                <w:color w:val="auto"/>
              </w:rPr>
              <w:t>Dividends on common stock ($0.505 per share)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(30,332)</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(30,332)</w:t>
            </w:r>
          </w:p>
        </w:tc>
      </w:tr>
      <w:tr>
        <w:trPr>
          <w:trHeight w:val="209"/>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48,956</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49</w:t>
            </w: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(20,497)</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1,078</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(589)</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538</w:t>
            </w:r>
          </w:p>
        </w:tc>
      </w:tr>
      <w:tr>
        <w:trPr>
          <w:trHeight w:val="196"/>
        </w:trPr>
        <w:tc>
          <w:tcPr>
            <w:tcW w:w="340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280,497</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280</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19,719</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19,999</w:t>
            </w:r>
          </w:p>
        </w:tc>
      </w:tr>
      <w:tr>
        <w:trPr>
          <w:trHeight w:val="209"/>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Issuance costs</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(289)</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(289)</w:t>
            </w:r>
          </w:p>
        </w:tc>
      </w:tr>
      <w:tr>
        <w:trPr>
          <w:trHeight w:val="196"/>
        </w:trPr>
        <w:tc>
          <w:tcPr>
            <w:tcW w:w="3400" w:type="dxa"/>
            <w:vAlign w:val="bottom"/>
          </w:tcPr>
          <w:p>
            <w:pPr>
              <w:ind w:left="20"/>
              <w:spacing w:after="0"/>
              <w:rPr>
                <w:sz w:val="20"/>
                <w:szCs w:val="20"/>
                <w:color w:val="auto"/>
              </w:rPr>
            </w:pPr>
            <w:r>
              <w:rPr>
                <w:rFonts w:ascii="Arial" w:cs="Arial" w:eastAsia="Arial" w:hAnsi="Arial"/>
                <w:sz w:val="14"/>
                <w:szCs w:val="14"/>
                <w:color w:val="auto"/>
              </w:rPr>
              <w:t>Implementation of ASU 2016-02 Leases</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3,390</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3,390</w:t>
            </w:r>
          </w:p>
        </w:tc>
      </w:tr>
      <w:tr>
        <w:trPr>
          <w:trHeight w:val="209"/>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EFFE7"/>
          </w:tcPr>
          <w:p>
            <w:pPr>
              <w:spacing w:after="0"/>
              <w:rPr>
                <w:sz w:val="18"/>
                <w:szCs w:val="18"/>
                <w:color w:val="auto"/>
              </w:rPr>
            </w:pPr>
          </w:p>
        </w:tc>
        <w:tc>
          <w:tcPr>
            <w:tcW w:w="56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8"/>
                <w:szCs w:val="18"/>
                <w:color w:val="auto"/>
              </w:rPr>
            </w:pPr>
          </w:p>
        </w:tc>
        <w:tc>
          <w:tcPr>
            <w:tcW w:w="78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6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(4,846)</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(4,846)</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March 31, 2019</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60,378,020</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7"/>
              </w:rPr>
              <w:t>60,378</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23,756</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w w:val="99"/>
              </w:rPr>
              <w:t>(1,432)</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w w:val="99"/>
              </w:rPr>
              <w:t>1,469,410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777,262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9"/>
              </w:rPr>
              <w:t>(26,459)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104,543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2,383,702</w:t>
            </w:r>
          </w:p>
        </w:tc>
      </w:tr>
      <w:tr>
        <w:trPr>
          <w:trHeight w:val="208"/>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 available for common stock</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14,583</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3,110</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17,693</w:t>
            </w:r>
          </w:p>
        </w:tc>
      </w:tr>
      <w:tr>
        <w:trPr>
          <w:trHeight w:val="197"/>
        </w:trPr>
        <w:tc>
          <w:tcPr>
            <w:tcW w:w="340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232</w:t>
            </w:r>
          </w:p>
        </w:tc>
      </w:tr>
      <w:tr>
        <w:trPr>
          <w:trHeight w:val="208"/>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Dividends on common stock ($0.505 per share)</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(30,620)</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(30,620)</w:t>
            </w:r>
          </w:p>
        </w:tc>
      </w:tr>
      <w:tr>
        <w:trPr>
          <w:trHeight w:val="196"/>
        </w:trPr>
        <w:tc>
          <w:tcPr>
            <w:tcW w:w="34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54,767</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1,603</w:t>
            </w:r>
          </w:p>
        </w:tc>
        <w:tc>
          <w:tcPr>
            <w:tcW w:w="24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3,948</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3,890</w:t>
            </w:r>
          </w:p>
        </w:tc>
      </w:tr>
      <w:tr>
        <w:trPr>
          <w:trHeight w:val="209"/>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Issuance of common stock</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658,598</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659</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49,342</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50,001</w:t>
            </w:r>
          </w:p>
        </w:tc>
      </w:tr>
      <w:tr>
        <w:trPr>
          <w:trHeight w:val="196"/>
        </w:trPr>
        <w:tc>
          <w:tcPr>
            <w:tcW w:w="340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(492)</w:t>
            </w:r>
          </w:p>
        </w:tc>
      </w:tr>
      <w:tr>
        <w:trPr>
          <w:trHeight w:val="209"/>
        </w:trPr>
        <w:tc>
          <w:tcPr>
            <w:tcW w:w="34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Implementation of ASU 2016-02 Leases</w:t>
            </w:r>
          </w:p>
        </w:tc>
        <w:tc>
          <w:tcPr>
            <w:tcW w:w="9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EFFE7"/>
          </w:tcPr>
          <w:p>
            <w:pPr>
              <w:spacing w:after="0"/>
              <w:rPr>
                <w:sz w:val="18"/>
                <w:szCs w:val="18"/>
                <w:color w:val="auto"/>
              </w:rPr>
            </w:pPr>
          </w:p>
        </w:tc>
        <w:tc>
          <w:tcPr>
            <w:tcW w:w="5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56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EFFE7"/>
          </w:tcPr>
          <w:p>
            <w:pPr>
              <w:spacing w:after="0"/>
              <w:rPr>
                <w:sz w:val="18"/>
                <w:szCs w:val="18"/>
                <w:color w:val="auto"/>
              </w:rPr>
            </w:pPr>
          </w:p>
        </w:tc>
        <w:tc>
          <w:tcPr>
            <w:tcW w:w="6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8"/>
                <w:szCs w:val="18"/>
                <w:color w:val="auto"/>
              </w:rPr>
            </w:pPr>
          </w:p>
        </w:tc>
        <w:tc>
          <w:tcPr>
            <w:tcW w:w="7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w:t>
            </w:r>
          </w:p>
        </w:tc>
      </w:tr>
      <w:tr>
        <w:trPr>
          <w:trHeight w:val="196"/>
        </w:trPr>
        <w:tc>
          <w:tcPr>
            <w:tcW w:w="34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(4,405)</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(4,405)</w:t>
            </w:r>
          </w:p>
        </w:tc>
      </w:tr>
      <w:tr>
        <w:trPr>
          <w:trHeight w:val="227"/>
        </w:trPr>
        <w:tc>
          <w:tcPr>
            <w:tcW w:w="34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4"/>
                <w:szCs w:val="14"/>
                <w:b w:val="1"/>
                <w:bCs w:val="1"/>
                <w:color w:val="auto"/>
              </w:rPr>
              <w:t>June 30, 2019</w:t>
            </w:r>
          </w:p>
        </w:tc>
        <w:tc>
          <w:tcPr>
            <w:tcW w:w="9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61,091,385</w:t>
            </w:r>
          </w:p>
        </w:tc>
        <w:tc>
          <w:tcPr>
            <w:tcW w:w="26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w w:val="97"/>
              </w:rPr>
              <w:t>61,091</w:t>
            </w:r>
          </w:p>
        </w:tc>
        <w:tc>
          <w:tcPr>
            <w:tcW w:w="760" w:type="dxa"/>
            <w:vAlign w:val="bottom"/>
            <w:tcBorders>
              <w:bottom w:val="single" w:sz="8" w:color="auto"/>
            </w:tcBorders>
            <w:shd w:val="clear" w:color="auto" w:fill="CEFFE7"/>
          </w:tcPr>
          <w:p>
            <w:pPr>
              <w:jc w:val="right"/>
              <w:ind w:right="7"/>
              <w:spacing w:after="0"/>
              <w:rPr>
                <w:sz w:val="20"/>
                <w:szCs w:val="20"/>
                <w:color w:val="auto"/>
              </w:rPr>
            </w:pPr>
            <w:r>
              <w:rPr>
                <w:rFonts w:ascii="Arial" w:cs="Arial" w:eastAsia="Arial" w:hAnsi="Arial"/>
                <w:sz w:val="14"/>
                <w:szCs w:val="14"/>
                <w:color w:val="auto"/>
              </w:rPr>
              <w:t>25,359</w:t>
            </w:r>
          </w:p>
        </w:tc>
        <w:tc>
          <w:tcPr>
            <w:tcW w:w="24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w w:val="99"/>
              </w:rPr>
              <w:t>(1,544)</w:t>
            </w:r>
          </w:p>
        </w:tc>
        <w:tc>
          <w:tcPr>
            <w:tcW w:w="2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w w:val="99"/>
              </w:rPr>
              <w:t>1,522,208</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761,222</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w w:val="99"/>
              </w:rPr>
              <w:t>(26,227)</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103,248</w:t>
            </w:r>
          </w:p>
        </w:tc>
        <w:tc>
          <w:tcPr>
            <w:tcW w:w="2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2,419,998</w:t>
            </w:r>
          </w:p>
        </w:tc>
      </w:tr>
      <w:tr>
        <w:trPr>
          <w:trHeight w:val="20"/>
        </w:trPr>
        <w:tc>
          <w:tcPr>
            <w:tcW w:w="3400" w:type="dxa"/>
            <w:vAlign w:val="bottom"/>
            <w:tcBorders>
              <w:top w:val="single" w:sz="8" w:color="CEFFE7"/>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r>
      <w:tr>
        <w:trPr>
          <w:trHeight w:val="865"/>
        </w:trPr>
        <w:tc>
          <w:tcPr>
            <w:tcW w:w="3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ind w:right="47"/>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8"/>
        </w:trPr>
        <w:tc>
          <w:tcPr>
            <w:tcW w:w="3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is made to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included in the Company’s 2019 Annual Report on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Management’s Statement</w:t>
      </w:r>
    </w:p>
    <w:p>
      <w:pPr>
        <w:spacing w:after="0" w:line="25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GAAP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included in our 2019 Annual Report on Form 10-K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information furnished in the accompanying Condensed Consolidated Financial Statements reflects certain estimates required and all adjustments, including accruals, which are, in the opinion of management, necessary for a fair presentation of the June 30, 2020, December 31, 2019 and June 30, 2019 financial information.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and six months ended June 30, 2020 and June 30, 2019, and our financial condition as of June 30, 2020 and December 31, 2019 are not necessarily indicative of the results of operations and financial condition to be expected for any other period. All earnings per share amounts discussed refer to diluted earnings per share unless otherwise noted.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changed certain classifications of operating expenses on the Condensed Consolidated Statements of Income for the three and six months ended June 30, 2019 to conform with current year presentation. The prior year reclassifications, which are shown in the table below, did not impact previously reported operating income or net income.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w w:val="88"/>
              </w:rPr>
              <w:t>Three Months Ended June</w:t>
            </w:r>
          </w:p>
        </w:tc>
        <w:tc>
          <w:tcPr>
            <w:tcW w:w="224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Six Months Ended June 30,</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30, 2019</w:t>
            </w:r>
          </w:p>
        </w:tc>
        <w:tc>
          <w:tcPr>
            <w:tcW w:w="740" w:type="dxa"/>
            <w:vAlign w:val="bottom"/>
          </w:tcPr>
          <w:p>
            <w:pPr>
              <w:spacing w:after="0"/>
              <w:rPr>
                <w:sz w:val="20"/>
                <w:szCs w:val="20"/>
                <w:color w:val="auto"/>
              </w:rPr>
            </w:pPr>
          </w:p>
        </w:tc>
        <w:tc>
          <w:tcPr>
            <w:tcW w:w="1500" w:type="dxa"/>
            <w:vAlign w:val="bottom"/>
          </w:tcPr>
          <w:p>
            <w:pPr>
              <w:jc w:val="right"/>
              <w:ind w:right="8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2"/>
          </w:tcPr>
          <w:p>
            <w:pPr>
              <w:ind w:left="1600"/>
              <w:spacing w:after="0"/>
              <w:rPr>
                <w:sz w:val="20"/>
                <w:szCs w:val="20"/>
                <w:color w:val="auto"/>
              </w:rPr>
            </w:pPr>
            <w:r>
              <w:rPr>
                <w:rFonts w:ascii="Arial" w:cs="Arial" w:eastAsia="Arial" w:hAnsi="Arial"/>
                <w:sz w:val="18"/>
                <w:szCs w:val="18"/>
                <w:color w:val="auto"/>
              </w:rPr>
              <w:t>(in millions)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8"/>
                <w:szCs w:val="18"/>
                <w:color w:val="auto"/>
              </w:rPr>
              <w:t>Fuel, purchased power and cost of natural gas sold</w:t>
            </w:r>
          </w:p>
        </w:tc>
        <w:tc>
          <w:tcPr>
            <w:tcW w:w="2400" w:type="dxa"/>
            <w:vAlign w:val="bottom"/>
            <w:tcBorders>
              <w:bottom w:val="single" w:sz="8" w:color="CEFEE7"/>
            </w:tcBorders>
            <w:gridSpan w:val="2"/>
            <w:shd w:val="clear" w:color="auto" w:fill="CEFEE7"/>
          </w:tcPr>
          <w:p>
            <w:pPr>
              <w:jc w:val="right"/>
              <w:ind w:right="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EFEE7"/>
            </w:tcBorders>
            <w:shd w:val="clear" w:color="auto" w:fill="CEFEE7"/>
          </w:tcPr>
          <w:p>
            <w:pPr>
              <w:jc w:val="right"/>
              <w:ind w:right="10"/>
              <w:spacing w:after="0"/>
              <w:rPr>
                <w:sz w:val="20"/>
                <w:szCs w:val="20"/>
                <w:color w:val="auto"/>
              </w:rPr>
            </w:pPr>
            <w:r>
              <w:rPr>
                <w:rFonts w:ascii="Arial" w:cs="Arial" w:eastAsia="Arial" w:hAnsi="Arial"/>
                <w:sz w:val="18"/>
                <w:szCs w:val="18"/>
                <w:color w:val="auto"/>
              </w:rPr>
              <w:t>0.4</w:t>
            </w:r>
          </w:p>
        </w:tc>
        <w:tc>
          <w:tcPr>
            <w:tcW w:w="740" w:type="dxa"/>
            <w:vAlign w:val="bottom"/>
            <w:tcBorders>
              <w:bottom w:val="single" w:sz="8" w:color="CEFEE7"/>
            </w:tcBorders>
            <w:shd w:val="clear" w:color="auto" w:fill="CEFEE7"/>
          </w:tcPr>
          <w:p>
            <w:pPr>
              <w:jc w:val="right"/>
              <w:ind w:right="4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EE7"/>
            </w:tcBorders>
            <w:shd w:val="clear" w:color="auto" w:fill="CEFEE7"/>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Operations and maintenance</w:t>
            </w:r>
          </w:p>
        </w:tc>
        <w:tc>
          <w:tcPr>
            <w:tcW w:w="2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8"/>
                <w:szCs w:val="18"/>
                <w:color w:val="auto"/>
              </w:rPr>
              <w:t>Taxes - property and production</w:t>
            </w:r>
          </w:p>
        </w:tc>
        <w:tc>
          <w:tcPr>
            <w:tcW w:w="2260" w:type="dxa"/>
            <w:vAlign w:val="bottom"/>
            <w:tcBorders>
              <w:bottom w:val="single" w:sz="8" w:color="CEFEE7"/>
            </w:tcBorders>
            <w:shd w:val="clear" w:color="auto" w:fill="CEFEE7"/>
          </w:tcPr>
          <w:p>
            <w:pPr>
              <w:spacing w:after="0"/>
              <w:rPr>
                <w:sz w:val="21"/>
                <w:szCs w:val="21"/>
                <w:color w:val="auto"/>
              </w:rPr>
            </w:pPr>
          </w:p>
        </w:tc>
        <w:tc>
          <w:tcPr>
            <w:tcW w:w="140" w:type="dxa"/>
            <w:vAlign w:val="bottom"/>
            <w:tcBorders>
              <w:bottom w:val="single" w:sz="8" w:color="CEFEE7"/>
            </w:tcBorders>
            <w:shd w:val="clear" w:color="auto" w:fill="CEFEE7"/>
          </w:tcPr>
          <w:p>
            <w:pPr>
              <w:spacing w:after="0"/>
              <w:rPr>
                <w:sz w:val="21"/>
                <w:szCs w:val="21"/>
                <w:color w:val="auto"/>
              </w:rPr>
            </w:pPr>
          </w:p>
        </w:tc>
        <w:tc>
          <w:tcPr>
            <w:tcW w:w="2000" w:type="dxa"/>
            <w:vAlign w:val="bottom"/>
            <w:tcBorders>
              <w:bottom w:val="single" w:sz="8" w:color="CEFEE7"/>
            </w:tcBorders>
            <w:shd w:val="clear" w:color="auto" w:fill="CEFEE7"/>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EE7"/>
            </w:tcBorders>
            <w:shd w:val="clear" w:color="auto" w:fill="CEFEE7"/>
          </w:tcPr>
          <w:p>
            <w:pPr>
              <w:spacing w:after="0"/>
              <w:rPr>
                <w:sz w:val="21"/>
                <w:szCs w:val="21"/>
                <w:color w:val="auto"/>
              </w:rPr>
            </w:pPr>
          </w:p>
        </w:tc>
        <w:tc>
          <w:tcPr>
            <w:tcW w:w="1500" w:type="dxa"/>
            <w:vAlign w:val="bottom"/>
            <w:tcBorders>
              <w:bottom w:val="single" w:sz="8" w:color="CEFEE7"/>
            </w:tcBorders>
            <w:shd w:val="clear" w:color="auto" w:fill="CEFEE7"/>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2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tcPr>
          <w:p>
            <w:pPr>
              <w:ind w:left="1600"/>
              <w:spacing w:after="0"/>
              <w:rPr>
                <w:sz w:val="20"/>
                <w:szCs w:val="20"/>
                <w:color w:val="auto"/>
              </w:rPr>
            </w:pPr>
            <w:r>
              <w:rPr>
                <w:rFonts w:ascii="Arial" w:cs="Arial" w:eastAsia="Arial" w:hAnsi="Arial"/>
                <w:sz w:val="18"/>
                <w:szCs w:val="18"/>
                <w:color w:val="auto"/>
              </w:rPr>
              <w:t>(0.4)</w:t>
            </w:r>
          </w:p>
        </w:tc>
        <w:tc>
          <w:tcPr>
            <w:tcW w:w="7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EFEE7"/>
            </w:tcBorders>
          </w:tcPr>
          <w:p>
            <w:pPr>
              <w:spacing w:after="0"/>
              <w:rPr>
                <w:sz w:val="2"/>
                <w:szCs w:val="2"/>
                <w:color w:val="auto"/>
              </w:rPr>
            </w:pPr>
          </w:p>
        </w:tc>
        <w:tc>
          <w:tcPr>
            <w:tcW w:w="2260" w:type="dxa"/>
            <w:vAlign w:val="bottom"/>
            <w:tcBorders>
              <w:bottom w:val="single" w:sz="8" w:color="CEFE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00" w:type="dxa"/>
            <w:vAlign w:val="bottom"/>
            <w:tcBorders>
              <w:bottom w:val="single" w:sz="8" w:color="CEFEE7"/>
            </w:tcBorders>
            <w:shd w:val="clear" w:color="auto" w:fill="CEFEE7"/>
          </w:tcPr>
          <w:p>
            <w:pPr>
              <w:spacing w:after="0"/>
              <w:rPr>
                <w:sz w:val="24"/>
                <w:szCs w:val="24"/>
                <w:color w:val="auto"/>
              </w:rPr>
            </w:pPr>
          </w:p>
        </w:tc>
        <w:tc>
          <w:tcPr>
            <w:tcW w:w="2400" w:type="dxa"/>
            <w:vAlign w:val="bottom"/>
            <w:tcBorders>
              <w:bottom w:val="single" w:sz="8" w:color="CEFEE7"/>
            </w:tcBorders>
            <w:gridSpan w:val="2"/>
            <w:shd w:val="clear" w:color="auto" w:fill="CEFEE7"/>
          </w:tcPr>
          <w:p>
            <w:pPr>
              <w:jc w:val="right"/>
              <w:ind w:right="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EFEE7"/>
            </w:tcBorders>
            <w:shd w:val="clear" w:color="auto" w:fill="CEFEE7"/>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EE7"/>
            </w:tcBorders>
            <w:shd w:val="clear" w:color="auto" w:fill="CEFEE7"/>
          </w:tcPr>
          <w:p>
            <w:pPr>
              <w:jc w:val="right"/>
              <w:ind w:right="4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EE7"/>
            </w:tcBorders>
            <w:shd w:val="clear" w:color="auto" w:fill="CEFEE7"/>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EFEE7"/>
            </w:tcBorders>
          </w:tcPr>
          <w:p>
            <w:pPr>
              <w:spacing w:after="0" w:line="20" w:lineRule="exact"/>
              <w:rPr>
                <w:sz w:val="1"/>
                <w:szCs w:val="1"/>
                <w:color w:val="auto"/>
              </w:rPr>
            </w:pPr>
          </w:p>
        </w:tc>
        <w:tc>
          <w:tcPr>
            <w:tcW w:w="2260" w:type="dxa"/>
            <w:vAlign w:val="bottom"/>
            <w:tcBorders>
              <w:top w:val="single" w:sz="8" w:color="CEFEE7"/>
              <w:bottom w:val="single" w:sz="8" w:color="CEFEE7"/>
            </w:tcBorders>
            <w:vMerge w:val="restart"/>
          </w:tcPr>
          <w:p>
            <w:pPr>
              <w:jc w:val="right"/>
              <w:ind w:right="105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6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6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outbreak a national emergency. The U.S. government has deemed electric and natural gas utilities to be critical infrastructure sectors that provide essential services during this emergency. As a provider of essential services, the Company has an obligation to provide services to our customers. The Company remains focused on protecting the health of its employees and the communities in which it operates while assuring the continuity of its business operations.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Condensed Consolidated Financial Statements reflect estimates and assumptions made by management that affect the reported amounts of assets and liabilities and disclosure of contingent assets and liabilities at the date of the Condensed Consolidated Financial Statements and reported amounts of revenue and expenses during the reporting periods presented. The Company considered the impacts of COVID-19 on the assumptions and estimates used and determined that for the three and six months ended June 30, 2020, there were no material adverse impacts on the Company’s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 - Pension Accounting Asset Method</w:t>
      </w:r>
    </w:p>
    <w:p>
      <w:pPr>
        <w:spacing w:after="0" w:line="256"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Effective January 1, 2020, we changed our method of accounting for net periodic benefit cost. Prior to the change, the Company used a calculated value for determining market-related value of plan assets which amortized the effects of gains and losses over a five-year period. Effective with the accounting change, the Company will use a calculated value for the return-seeking assets (equities) in the portfolio and change to fair value for the liability-hedging assets (fixed income). See </w:t>
      </w:r>
      <w:hyperlink w:anchor="page32">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Accounting for Income Taxes, ASU 2019-12</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 part of its overall simplification initiative to reduce costs and complexity in applying accounting standards while maintaining or improving the usefulness of the information provided to users of the financial statements. Amendments include removal of certain exceptions to the general principles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simplification in several other areas such as accounting for a franchise tax (or similar tax) that is partially based on income. The new guidance is effective for interim and annual periods beginning after December 15, 2020 with early adoption permitted. We are currently reviewing this standard to assess the impact on our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 Credit Losses: Measurement of Credit Losses on Financial Instruments, ASU 2016-13</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which was subsequently amended by ASUs 2018-19, 2019-04, 2019-05, 2019-10, and 2019-11. The standard introduces new accounting guidance for credit losses on financial instruments within its scope, including trade receivables. This new guidance adds an impairment model that is based on expected losses rather than incurred losses.</w:t>
      </w:r>
    </w:p>
    <w:p>
      <w:pPr>
        <w:spacing w:after="0" w:line="21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adopted this standard on January 1, 2020 with prior year comparative financial information remaining as previously reported when transitioning to the new standard. On January 1, 2020, we recorded an increase to our allowance for credit losses, primarily associated with the inclusion of expected losses on unbilled revenue. The cumulative effect of the adoption, net of tax impact, was $0.2 million, which was recorded as an adjustment to retained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Test for Goodwill Impairment, ASU 2017-04</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We adopted this standard prospectively on January 1, 2020. Adoption of this guidance, in conjunction with the annual goodwill impairment test as of October 1, 2020, is not expected to have an impact on our financial position, results of operations or cash flows.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Internal-Use Software: Customer’s Accounting for Implementation Costs Incurred in a Cloud Computing Arrangement That Is a Service Contract, ASU 2018-15</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 Is a</w:t>
      </w:r>
      <w:r>
        <w:rPr>
          <w:rFonts w:ascii="Arial" w:cs="Arial" w:eastAsia="Arial" w:hAnsi="Arial"/>
          <w:sz w:val="18"/>
          <w:szCs w:val="18"/>
          <w:color w:val="auto"/>
        </w:rPr>
        <w:t xml:space="preserve"> </w:t>
      </w:r>
      <w:r>
        <w:rPr>
          <w:rFonts w:ascii="Arial" w:cs="Arial" w:eastAsia="Arial" w:hAnsi="Arial"/>
          <w:sz w:val="18"/>
          <w:szCs w:val="18"/>
          <w:i w:val="1"/>
          <w:iCs w:val="1"/>
          <w:color w:val="auto"/>
        </w:rPr>
        <w:t>Service Contract</w:t>
      </w:r>
      <w:r>
        <w:rPr>
          <w:rFonts w:ascii="Arial" w:cs="Arial" w:eastAsia="Arial" w:hAnsi="Arial"/>
          <w:sz w:val="18"/>
          <w:szCs w:val="18"/>
          <w:color w:val="auto"/>
        </w:rPr>
        <w:t>, which aligns the requirements for recording implementation costs incurred in a hosting arrangement that is a service contract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to develop or obtain internal-use software. As a result, certain categories of implementation costs that previously would have been charged to expense as incurred are now capitalized as prepayments and amortized over the term of the arrangement. We adopted this standard prospectively on January 1, 2020. Adoption of this guidance did not have a material impact on our financial position, results of operations or cash flows.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The following tables depict the disaggregation of revenue, including intercompany revenue, from contracts with customers by customer type and timing of revenue recognition for each of the reporting segments for the three and six months ended June 30, 2020 and 2019. Sales tax and other similar taxes are excluded from revenues.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Electric</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4380" w:type="dxa"/>
            <w:vAlign w:val="bottom"/>
            <w:gridSpan w:val="3"/>
          </w:tcPr>
          <w:p>
            <w:pPr>
              <w:ind w:left="20"/>
              <w:spacing w:after="0"/>
              <w:rPr>
                <w:sz w:val="20"/>
                <w:szCs w:val="20"/>
                <w:color w:val="auto"/>
              </w:rPr>
            </w:pPr>
            <w:r>
              <w:rPr>
                <w:rFonts w:ascii="Arial" w:cs="Arial" w:eastAsia="Arial" w:hAnsi="Arial"/>
                <w:sz w:val="16"/>
                <w:szCs w:val="16"/>
                <w:color w:val="auto"/>
              </w:rPr>
              <w:t>Three Months Ended June 30, 2020</w:t>
            </w:r>
          </w:p>
        </w:tc>
        <w:tc>
          <w:tcPr>
            <w:tcW w:w="20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Utilities</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Gas Utilities</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w w:val="97"/>
              </w:rPr>
              <w:t>Power Generation</w:t>
            </w:r>
          </w:p>
        </w:tc>
        <w:tc>
          <w:tcPr>
            <w:tcW w:w="22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Mining</w:t>
            </w:r>
          </w:p>
        </w:tc>
        <w:tc>
          <w:tcPr>
            <w:tcW w:w="2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w w:val="94"/>
              </w:rPr>
              <w:t>Revenues</w:t>
            </w:r>
          </w:p>
        </w:tc>
        <w:tc>
          <w:tcPr>
            <w:tcW w:w="28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Total</w:t>
            </w:r>
          </w:p>
        </w:tc>
      </w:tr>
      <w:tr>
        <w:trPr>
          <w:trHeight w:val="33"/>
        </w:trPr>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380" w:type="dxa"/>
            <w:vAlign w:val="bottom"/>
            <w:gridSpan w:val="3"/>
            <w:shd w:val="clear" w:color="auto" w:fill="CEFFE7"/>
          </w:tcPr>
          <w:p>
            <w:pPr>
              <w:ind w:left="20"/>
              <w:spacing w:after="0" w:line="183" w:lineRule="exact"/>
              <w:rPr>
                <w:sz w:val="20"/>
                <w:szCs w:val="20"/>
                <w:color w:val="auto"/>
              </w:rPr>
            </w:pPr>
            <w:r>
              <w:rPr>
                <w:rFonts w:ascii="Arial" w:cs="Arial" w:eastAsia="Arial" w:hAnsi="Arial"/>
                <w:sz w:val="16"/>
                <w:szCs w:val="16"/>
                <w:color w:val="auto"/>
              </w:rPr>
              <w:t>Customer types:</w:t>
            </w:r>
          </w:p>
        </w:tc>
        <w:tc>
          <w:tcPr>
            <w:tcW w:w="20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c>
          <w:tcPr>
            <w:tcW w:w="420" w:type="dxa"/>
            <w:vAlign w:val="bottom"/>
            <w:shd w:val="clear" w:color="auto" w:fill="CEFFE7"/>
          </w:tcPr>
          <w:p>
            <w:pPr>
              <w:spacing w:after="0"/>
              <w:rPr>
                <w:sz w:val="20"/>
                <w:szCs w:val="20"/>
                <w:color w:val="auto"/>
              </w:rPr>
            </w:pPr>
          </w:p>
        </w:tc>
        <w:tc>
          <w:tcPr>
            <w:tcW w:w="1940" w:type="dxa"/>
            <w:vAlign w:val="bottom"/>
            <w:gridSpan w:val="3"/>
            <w:shd w:val="clear" w:color="auto" w:fill="CEFFE7"/>
          </w:tcPr>
          <w:p>
            <w:pPr>
              <w:jc w:val="right"/>
              <w:ind w:right="559"/>
              <w:spacing w:after="0" w:line="183" w:lineRule="exact"/>
              <w:rPr>
                <w:sz w:val="20"/>
                <w:szCs w:val="20"/>
                <w:color w:val="auto"/>
              </w:rPr>
            </w:pPr>
            <w:r>
              <w:rPr>
                <w:rFonts w:ascii="Arial" w:cs="Arial" w:eastAsia="Arial" w:hAnsi="Arial"/>
                <w:sz w:val="16"/>
                <w:szCs w:val="16"/>
                <w:color w:val="auto"/>
              </w:rPr>
              <w:t>(in thousands)</w:t>
            </w:r>
          </w:p>
        </w:tc>
        <w:tc>
          <w:tcPr>
            <w:tcW w:w="24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r>
      <w:tr>
        <w:trPr>
          <w:trHeight w:val="224"/>
        </w:trPr>
        <w:tc>
          <w:tcPr>
            <w:tcW w:w="20" w:type="dxa"/>
            <w:vAlign w:val="bottom"/>
            <w:tcBorders>
              <w:top w:val="single" w:sz="8" w:color="CEFFE7"/>
            </w:tcBorders>
          </w:tcPr>
          <w:p>
            <w:pPr>
              <w:spacing w:after="0"/>
              <w:rPr>
                <w:sz w:val="19"/>
                <w:szCs w:val="19"/>
                <w:color w:val="auto"/>
              </w:rPr>
            </w:pPr>
          </w:p>
        </w:tc>
        <w:tc>
          <w:tcPr>
            <w:tcW w:w="10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3300" w:type="dxa"/>
            <w:vAlign w:val="bottom"/>
            <w:tcBorders>
              <w:top w:val="single" w:sz="8" w:color="CEFFE7"/>
            </w:tcBorders>
          </w:tcPr>
          <w:p>
            <w:pPr>
              <w:spacing w:after="0"/>
              <w:rPr>
                <w:sz w:val="19"/>
                <w:szCs w:val="19"/>
                <w:color w:val="auto"/>
              </w:rPr>
            </w:pPr>
          </w:p>
        </w:tc>
        <w:tc>
          <w:tcPr>
            <w:tcW w:w="200" w:type="dxa"/>
            <w:vAlign w:val="bottom"/>
            <w:tcBorders>
              <w:top w:val="single" w:sz="8" w:color="CEFFE7"/>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CEFFE7"/>
            </w:tcBorders>
          </w:tcPr>
          <w:p>
            <w:pPr>
              <w:jc w:val="right"/>
              <w:ind w:right="19"/>
              <w:spacing w:after="0"/>
              <w:rPr>
                <w:sz w:val="20"/>
                <w:szCs w:val="20"/>
                <w:color w:val="auto"/>
              </w:rPr>
            </w:pPr>
            <w:r>
              <w:rPr>
                <w:rFonts w:ascii="Arial" w:cs="Arial" w:eastAsia="Arial" w:hAnsi="Arial"/>
                <w:sz w:val="16"/>
                <w:szCs w:val="16"/>
                <w:color w:val="auto"/>
              </w:rPr>
              <w:t>141,804</w:t>
            </w:r>
          </w:p>
        </w:tc>
        <w:tc>
          <w:tcPr>
            <w:tcW w:w="1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EFFE7"/>
            </w:tcBorders>
          </w:tcPr>
          <w:p>
            <w:pPr>
              <w:jc w:val="right"/>
              <w:ind w:right="19"/>
              <w:spacing w:after="0"/>
              <w:rPr>
                <w:sz w:val="20"/>
                <w:szCs w:val="20"/>
                <w:color w:val="auto"/>
              </w:rPr>
            </w:pPr>
            <w:r>
              <w:rPr>
                <w:rFonts w:ascii="Arial" w:cs="Arial" w:eastAsia="Arial" w:hAnsi="Arial"/>
                <w:sz w:val="16"/>
                <w:szCs w:val="16"/>
                <w:color w:val="auto"/>
              </w:rPr>
              <w:t>120,594</w:t>
            </w:r>
          </w:p>
        </w:tc>
        <w:tc>
          <w:tcPr>
            <w:tcW w:w="420" w:type="dxa"/>
            <w:vAlign w:val="bottom"/>
            <w:tcBorders>
              <w:top w:val="single" w:sz="8" w:color="CEFFE7"/>
            </w:tcBorders>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EFFE7"/>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EFFE7"/>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14,846</w:t>
            </w:r>
          </w:p>
        </w:tc>
        <w:tc>
          <w:tcPr>
            <w:tcW w:w="24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(7,916)</w:t>
            </w:r>
          </w:p>
        </w:tc>
        <w:tc>
          <w:tcPr>
            <w:tcW w:w="280" w:type="dxa"/>
            <w:vAlign w:val="bottom"/>
            <w:tcBorders>
              <w:top w:val="single" w:sz="8" w:color="CEFFE7"/>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EFFE7"/>
            </w:tcBorders>
          </w:tcPr>
          <w:p>
            <w:pPr>
              <w:jc w:val="right"/>
              <w:ind w:right="59"/>
              <w:spacing w:after="0"/>
              <w:rPr>
                <w:sz w:val="20"/>
                <w:szCs w:val="20"/>
                <w:color w:val="auto"/>
              </w:rPr>
            </w:pPr>
            <w:r>
              <w:rPr>
                <w:rFonts w:ascii="Arial" w:cs="Arial" w:eastAsia="Arial" w:hAnsi="Arial"/>
                <w:sz w:val="16"/>
                <w:szCs w:val="16"/>
                <w:color w:val="auto"/>
              </w:rPr>
              <w:t>269,328</w:t>
            </w:r>
          </w:p>
        </w:tc>
      </w:tr>
      <w:tr>
        <w:trPr>
          <w:trHeight w:val="3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0" w:type="dxa"/>
            <w:vAlign w:val="bottom"/>
            <w:tcBorders>
              <w:bottom w:val="single" w:sz="8" w:color="CEFFE7"/>
            </w:tcBorders>
            <w:shd w:val="clear" w:color="auto" w:fill="CEFFE7"/>
          </w:tcPr>
          <w:p>
            <w:pPr>
              <w:spacing w:after="0"/>
              <w:rPr>
                <w:sz w:val="20"/>
                <w:szCs w:val="20"/>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Transportation</w:t>
            </w:r>
          </w:p>
        </w:tc>
        <w:tc>
          <w:tcPr>
            <w:tcW w:w="20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30,792</w:t>
            </w:r>
          </w:p>
        </w:tc>
        <w:tc>
          <w:tcPr>
            <w:tcW w:w="42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(138)</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30,654</w:t>
            </w:r>
          </w:p>
        </w:tc>
      </w:tr>
      <w:tr>
        <w:trPr>
          <w:trHeight w:val="223"/>
        </w:trPr>
        <w:tc>
          <w:tcPr>
            <w:tcW w:w="2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Wholesale</w:t>
            </w:r>
          </w:p>
        </w:tc>
        <w:tc>
          <w:tcPr>
            <w:tcW w:w="2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3,470</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25,718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(24,476)</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4,712</w:t>
            </w:r>
          </w:p>
        </w:tc>
      </w:tr>
      <w:tr>
        <w:trPr>
          <w:trHeight w:val="3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0" w:type="dxa"/>
            <w:vAlign w:val="bottom"/>
            <w:tcBorders>
              <w:bottom w:val="single" w:sz="8" w:color="CEFFE7"/>
            </w:tcBorders>
            <w:shd w:val="clear" w:color="auto" w:fill="CEFFE7"/>
          </w:tcPr>
          <w:p>
            <w:pPr>
              <w:spacing w:after="0"/>
              <w:rPr>
                <w:sz w:val="20"/>
                <w:szCs w:val="20"/>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Market - off-system sales</w:t>
            </w:r>
          </w:p>
        </w:tc>
        <w:tc>
          <w:tcPr>
            <w:tcW w:w="20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3,538</w:t>
            </w:r>
          </w:p>
        </w:tc>
        <w:tc>
          <w:tcPr>
            <w:tcW w:w="18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w:t>
            </w:r>
          </w:p>
        </w:tc>
        <w:tc>
          <w:tcPr>
            <w:tcW w:w="42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(1,580)</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1,981</w:t>
            </w:r>
          </w:p>
        </w:tc>
      </w:tr>
      <w:tr>
        <w:trPr>
          <w:trHeight w:val="223"/>
        </w:trPr>
        <w:tc>
          <w:tcPr>
            <w:tcW w:w="2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Transmission/Other</w:t>
            </w:r>
          </w:p>
        </w:tc>
        <w:tc>
          <w:tcPr>
            <w:tcW w:w="2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12,761</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9,189</w:t>
            </w:r>
          </w:p>
        </w:tc>
        <w:tc>
          <w:tcPr>
            <w:tcW w:w="4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(4,432)</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17,518</w:t>
            </w:r>
          </w:p>
        </w:tc>
      </w:tr>
      <w:tr>
        <w:trPr>
          <w:trHeight w:val="33"/>
        </w:trPr>
        <w:tc>
          <w:tcPr>
            <w:tcW w:w="2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33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EFFE7"/>
            </w:tcBorders>
            <w:shd w:val="clear" w:color="auto" w:fill="CEFFE7"/>
          </w:tcPr>
          <w:p>
            <w:pPr>
              <w:spacing w:after="0"/>
              <w:rPr>
                <w:sz w:val="20"/>
                <w:szCs w:val="20"/>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161,573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160,598</w:t>
            </w:r>
          </w:p>
        </w:tc>
        <w:tc>
          <w:tcPr>
            <w:tcW w:w="4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25,718</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14,846</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(38,542)</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324,193</w:t>
            </w:r>
          </w:p>
        </w:tc>
      </w:tr>
      <w:tr>
        <w:trPr>
          <w:trHeight w:val="224"/>
        </w:trPr>
        <w:tc>
          <w:tcPr>
            <w:tcW w:w="2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Other revenues</w:t>
            </w:r>
          </w:p>
        </w:tc>
        <w:tc>
          <w:tcPr>
            <w:tcW w:w="2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1,627</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4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404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(392)</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2,721</w:t>
            </w:r>
          </w:p>
        </w:tc>
      </w:tr>
      <w:tr>
        <w:trPr>
          <w:trHeight w:val="33"/>
        </w:trPr>
        <w:tc>
          <w:tcPr>
            <w:tcW w:w="2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33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43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163,200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161,110</w:t>
            </w:r>
          </w:p>
        </w:tc>
        <w:tc>
          <w:tcPr>
            <w:tcW w:w="42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26,122</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15,416</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(38,934)</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326,914</w:t>
            </w: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060" w:type="dxa"/>
            <w:vAlign w:val="bottom"/>
            <w:tcBorders>
              <w:top w:val="single" w:sz="8" w:color="CEFFE7"/>
            </w:tcBorders>
          </w:tcPr>
          <w:p>
            <w:pPr>
              <w:spacing w:after="0" w:line="20" w:lineRule="exact"/>
              <w:rPr>
                <w:sz w:val="1"/>
                <w:szCs w:val="1"/>
                <w:color w:val="auto"/>
              </w:rPr>
            </w:pPr>
          </w:p>
        </w:tc>
        <w:tc>
          <w:tcPr>
            <w:tcW w:w="330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76835</wp:posOffset>
            </wp:positionV>
            <wp:extent cx="71151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Services transferred at a point in time</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over time</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Revenue from contracts with customers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14,846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(7,916)</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6,930</w:t>
            </w:r>
          </w:p>
        </w:tc>
      </w:tr>
      <w:tr>
        <w:trPr>
          <w:trHeight w:val="256"/>
        </w:trPr>
        <w:tc>
          <w:tcPr>
            <w:tcW w:w="26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161,573</w:t>
            </w: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160,598</w:t>
            </w: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25,718</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(30,626)</w:t>
            </w:r>
          </w:p>
        </w:tc>
        <w:tc>
          <w:tcPr>
            <w:tcW w:w="32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317,263</w:t>
            </w:r>
          </w:p>
        </w:tc>
      </w:tr>
      <w:tr>
        <w:trPr>
          <w:trHeight w:val="33"/>
        </w:trPr>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161,573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160,598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25,718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14,846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(38,542)</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324,193</w:t>
            </w:r>
          </w:p>
        </w:tc>
      </w:tr>
      <w:tr>
        <w:trPr>
          <w:trHeight w:val="33"/>
        </w:trPr>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-367665</wp:posOffset>
            </wp:positionV>
            <wp:extent cx="71151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6820"/>
          </w:cols>
          <w:pgMar w:left="320" w:top="126" w:right="359" w:bottom="1440" w:gutter="0" w:footer="0" w:header="0"/>
          <w:type w:val="continuous"/>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0"/>
        </w:trPr>
        <w:tc>
          <w:tcPr>
            <w:tcW w:w="4400" w:type="dxa"/>
            <w:vAlign w:val="bottom"/>
            <w:gridSpan w:val="3"/>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91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Electric</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6"/>
        </w:trPr>
        <w:tc>
          <w:tcPr>
            <w:tcW w:w="4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Arial" w:cs="Arial" w:eastAsia="Arial" w:hAnsi="Arial"/>
                <w:sz w:val="16"/>
                <w:szCs w:val="16"/>
                <w:color w:val="auto"/>
              </w:rPr>
              <w:t>Three Months Ended June 30, 2019</w:t>
            </w:r>
          </w:p>
        </w:tc>
        <w:tc>
          <w:tcPr>
            <w:tcW w:w="20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Utilities</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Gas Utilities</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w w:val="97"/>
              </w:rPr>
              <w:t>Power Generation</w:t>
            </w:r>
          </w:p>
        </w:tc>
        <w:tc>
          <w:tcPr>
            <w:tcW w:w="22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Mining</w:t>
            </w:r>
          </w:p>
        </w:tc>
        <w:tc>
          <w:tcPr>
            <w:tcW w:w="2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w w:val="94"/>
              </w:rPr>
              <w:t>Revenues</w:t>
            </w:r>
          </w:p>
        </w:tc>
        <w:tc>
          <w:tcPr>
            <w:tcW w:w="28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Total</w:t>
            </w:r>
          </w:p>
        </w:tc>
      </w:tr>
      <w:tr>
        <w:trPr>
          <w:trHeight w:val="33"/>
        </w:trPr>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 w:type="dxa"/>
            <w:vAlign w:val="bottom"/>
            <w:tcBorders>
              <w:right w:val="single" w:sz="8" w:color="CEFFE7"/>
            </w:tcBorders>
          </w:tcPr>
          <w:p>
            <w:pPr>
              <w:spacing w:after="0"/>
              <w:rPr>
                <w:sz w:val="20"/>
                <w:szCs w:val="20"/>
                <w:color w:val="auto"/>
              </w:rPr>
            </w:pPr>
          </w:p>
        </w:tc>
        <w:tc>
          <w:tcPr>
            <w:tcW w:w="4360" w:type="dxa"/>
            <w:vAlign w:val="bottom"/>
            <w:gridSpan w:val="2"/>
            <w:shd w:val="clear" w:color="auto" w:fill="CEFFE7"/>
          </w:tcPr>
          <w:p>
            <w:pPr>
              <w:spacing w:after="0" w:line="183" w:lineRule="exact"/>
              <w:rPr>
                <w:sz w:val="20"/>
                <w:szCs w:val="20"/>
                <w:color w:val="auto"/>
              </w:rPr>
            </w:pPr>
            <w:r>
              <w:rPr>
                <w:rFonts w:ascii="Arial" w:cs="Arial" w:eastAsia="Arial" w:hAnsi="Arial"/>
                <w:sz w:val="16"/>
                <w:szCs w:val="16"/>
                <w:color w:val="auto"/>
              </w:rPr>
              <w:t>Customer Types:</w:t>
            </w:r>
          </w:p>
        </w:tc>
        <w:tc>
          <w:tcPr>
            <w:tcW w:w="20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c>
          <w:tcPr>
            <w:tcW w:w="420" w:type="dxa"/>
            <w:vAlign w:val="bottom"/>
            <w:shd w:val="clear" w:color="auto" w:fill="CEFFE7"/>
          </w:tcPr>
          <w:p>
            <w:pPr>
              <w:spacing w:after="0"/>
              <w:rPr>
                <w:sz w:val="20"/>
                <w:szCs w:val="20"/>
                <w:color w:val="auto"/>
              </w:rPr>
            </w:pPr>
          </w:p>
        </w:tc>
        <w:tc>
          <w:tcPr>
            <w:tcW w:w="88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840" w:type="dxa"/>
            <w:vAlign w:val="bottom"/>
            <w:shd w:val="clear" w:color="auto" w:fill="CEFFE7"/>
          </w:tcPr>
          <w:p>
            <w:pPr>
              <w:spacing w:after="0"/>
              <w:rPr>
                <w:sz w:val="20"/>
                <w:szCs w:val="20"/>
                <w:color w:val="auto"/>
              </w:rPr>
            </w:pPr>
          </w:p>
        </w:tc>
        <w:tc>
          <w:tcPr>
            <w:tcW w:w="24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11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3260" w:type="dxa"/>
            <w:vAlign w:val="bottom"/>
            <w:tcBorders>
              <w:top w:val="single" w:sz="8" w:color="CEFFE7"/>
            </w:tcBorders>
          </w:tcPr>
          <w:p>
            <w:pPr>
              <w:spacing w:after="0"/>
              <w:rPr>
                <w:sz w:val="19"/>
                <w:szCs w:val="19"/>
                <w:color w:val="auto"/>
              </w:rPr>
            </w:pPr>
          </w:p>
        </w:tc>
        <w:tc>
          <w:tcPr>
            <w:tcW w:w="200" w:type="dxa"/>
            <w:vAlign w:val="bottom"/>
            <w:tcBorders>
              <w:top w:val="single" w:sz="8" w:color="CEFFE7"/>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CEFFE7"/>
            </w:tcBorders>
          </w:tcPr>
          <w:p>
            <w:pPr>
              <w:jc w:val="right"/>
              <w:ind w:right="19"/>
              <w:spacing w:after="0"/>
              <w:rPr>
                <w:sz w:val="20"/>
                <w:szCs w:val="20"/>
                <w:color w:val="auto"/>
              </w:rPr>
            </w:pPr>
            <w:r>
              <w:rPr>
                <w:rFonts w:ascii="Arial" w:cs="Arial" w:eastAsia="Arial" w:hAnsi="Arial"/>
                <w:sz w:val="16"/>
                <w:szCs w:val="16"/>
                <w:color w:val="auto"/>
              </w:rPr>
              <w:t>139,732</w:t>
            </w:r>
          </w:p>
        </w:tc>
        <w:tc>
          <w:tcPr>
            <w:tcW w:w="1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EFFE7"/>
            </w:tcBorders>
          </w:tcPr>
          <w:p>
            <w:pPr>
              <w:jc w:val="right"/>
              <w:ind w:right="19"/>
              <w:spacing w:after="0"/>
              <w:rPr>
                <w:sz w:val="20"/>
                <w:szCs w:val="20"/>
                <w:color w:val="auto"/>
              </w:rPr>
            </w:pPr>
            <w:r>
              <w:rPr>
                <w:rFonts w:ascii="Arial" w:cs="Arial" w:eastAsia="Arial" w:hAnsi="Arial"/>
                <w:sz w:val="16"/>
                <w:szCs w:val="16"/>
                <w:color w:val="auto"/>
              </w:rPr>
              <w:t>123,630</w:t>
            </w:r>
          </w:p>
        </w:tc>
        <w:tc>
          <w:tcPr>
            <w:tcW w:w="420" w:type="dxa"/>
            <w:vAlign w:val="bottom"/>
            <w:tcBorders>
              <w:top w:val="single" w:sz="8" w:color="CEFFE7"/>
            </w:tcBorders>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EFFE7"/>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EFFE7"/>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12,428</w:t>
            </w:r>
          </w:p>
        </w:tc>
        <w:tc>
          <w:tcPr>
            <w:tcW w:w="24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(7,041)</w:t>
            </w:r>
          </w:p>
        </w:tc>
        <w:tc>
          <w:tcPr>
            <w:tcW w:w="280" w:type="dxa"/>
            <w:vAlign w:val="bottom"/>
            <w:tcBorders>
              <w:top w:val="single" w:sz="8" w:color="CEFFE7"/>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EFFE7"/>
            </w:tcBorders>
          </w:tcPr>
          <w:p>
            <w:pPr>
              <w:jc w:val="right"/>
              <w:ind w:right="59"/>
              <w:spacing w:after="0"/>
              <w:rPr>
                <w:sz w:val="20"/>
                <w:szCs w:val="20"/>
                <w:color w:val="auto"/>
              </w:rPr>
            </w:pPr>
            <w:r>
              <w:rPr>
                <w:rFonts w:ascii="Arial" w:cs="Arial" w:eastAsia="Arial" w:hAnsi="Arial"/>
                <w:sz w:val="16"/>
                <w:szCs w:val="16"/>
                <w:color w:val="auto"/>
              </w:rPr>
              <w:t>268,749</w:t>
            </w: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0" w:type="dxa"/>
            <w:vAlign w:val="bottom"/>
            <w:tcBorders>
              <w:right w:val="single" w:sz="8" w:color="CEFFE7"/>
            </w:tcBorders>
          </w:tcPr>
          <w:p>
            <w:pPr>
              <w:spacing w:after="0"/>
              <w:rPr>
                <w:sz w:val="20"/>
                <w:szCs w:val="20"/>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Transportation</w:t>
            </w:r>
          </w:p>
        </w:tc>
        <w:tc>
          <w:tcPr>
            <w:tcW w:w="20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28,623</w:t>
            </w:r>
          </w:p>
        </w:tc>
        <w:tc>
          <w:tcPr>
            <w:tcW w:w="42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(276)</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28,347</w:t>
            </w:r>
          </w:p>
        </w:tc>
      </w:tr>
      <w:tr>
        <w:trPr>
          <w:trHeight w:val="224"/>
        </w:trPr>
        <w:tc>
          <w:tcPr>
            <w:tcW w:w="4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Wholesale</w:t>
            </w:r>
          </w:p>
        </w:tc>
        <w:tc>
          <w:tcPr>
            <w:tcW w:w="2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6,781</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15,062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(13,296)</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8,547</w:t>
            </w: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40" w:type="dxa"/>
            <w:vAlign w:val="bottom"/>
            <w:tcBorders>
              <w:right w:val="single" w:sz="8" w:color="CEFFE7"/>
            </w:tcBorders>
          </w:tcPr>
          <w:p>
            <w:pPr>
              <w:spacing w:after="0"/>
              <w:rPr>
                <w:sz w:val="20"/>
                <w:szCs w:val="20"/>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Market - off-system sales</w:t>
            </w:r>
          </w:p>
        </w:tc>
        <w:tc>
          <w:tcPr>
            <w:tcW w:w="20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3,448</w:t>
            </w:r>
          </w:p>
        </w:tc>
        <w:tc>
          <w:tcPr>
            <w:tcW w:w="18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161</w:t>
            </w:r>
          </w:p>
        </w:tc>
        <w:tc>
          <w:tcPr>
            <w:tcW w:w="42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(1,335)</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2,274</w:t>
            </w:r>
          </w:p>
        </w:tc>
      </w:tr>
      <w:tr>
        <w:trPr>
          <w:trHeight w:val="224"/>
        </w:trPr>
        <w:tc>
          <w:tcPr>
            <w:tcW w:w="4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Transmission/Other</w:t>
            </w:r>
          </w:p>
        </w:tc>
        <w:tc>
          <w:tcPr>
            <w:tcW w:w="2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14,416</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11,612</w:t>
            </w:r>
          </w:p>
        </w:tc>
        <w:tc>
          <w:tcPr>
            <w:tcW w:w="4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(4,199)</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21,829</w:t>
            </w:r>
          </w:p>
        </w:tc>
      </w:tr>
      <w:tr>
        <w:trPr>
          <w:trHeight w:val="33"/>
        </w:trPr>
        <w:tc>
          <w:tcPr>
            <w:tcW w:w="40" w:type="dxa"/>
            <w:vAlign w:val="bottom"/>
          </w:tcPr>
          <w:p>
            <w:pPr>
              <w:spacing w:after="0"/>
              <w:rPr>
                <w:sz w:val="2"/>
                <w:szCs w:val="2"/>
                <w:color w:val="auto"/>
              </w:rPr>
            </w:pPr>
          </w:p>
        </w:tc>
        <w:tc>
          <w:tcPr>
            <w:tcW w:w="1100" w:type="dxa"/>
            <w:vAlign w:val="bottom"/>
            <w:tcBorders>
              <w:bottom w:val="single" w:sz="8" w:color="CEFFE7"/>
            </w:tcBorders>
          </w:tcPr>
          <w:p>
            <w:pPr>
              <w:spacing w:after="0"/>
              <w:rPr>
                <w:sz w:val="2"/>
                <w:szCs w:val="2"/>
                <w:color w:val="auto"/>
              </w:rPr>
            </w:pPr>
          </w:p>
        </w:tc>
        <w:tc>
          <w:tcPr>
            <w:tcW w:w="32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 w:type="dxa"/>
            <w:vAlign w:val="bottom"/>
            <w:tcBorders>
              <w:right w:val="single" w:sz="8" w:color="CEFFE7"/>
            </w:tcBorders>
          </w:tcPr>
          <w:p>
            <w:pPr>
              <w:spacing w:after="0"/>
              <w:rPr>
                <w:sz w:val="20"/>
                <w:szCs w:val="20"/>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164,377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164,026</w:t>
            </w:r>
          </w:p>
        </w:tc>
        <w:tc>
          <w:tcPr>
            <w:tcW w:w="4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15,062</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12,428</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(26,147)</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329,746</w:t>
            </w:r>
          </w:p>
        </w:tc>
      </w:tr>
      <w:tr>
        <w:trPr>
          <w:trHeight w:val="224"/>
        </w:trPr>
        <w:tc>
          <w:tcPr>
            <w:tcW w:w="4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Other revenues</w:t>
            </w:r>
          </w:p>
        </w:tc>
        <w:tc>
          <w:tcPr>
            <w:tcW w:w="2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1,977</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1,443</w:t>
            </w:r>
          </w:p>
        </w:tc>
        <w:tc>
          <w:tcPr>
            <w:tcW w:w="4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9,646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(9,541)</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4,142</w:t>
            </w:r>
          </w:p>
        </w:tc>
      </w:tr>
      <w:tr>
        <w:trPr>
          <w:trHeight w:val="33"/>
        </w:trPr>
        <w:tc>
          <w:tcPr>
            <w:tcW w:w="40" w:type="dxa"/>
            <w:vAlign w:val="bottom"/>
          </w:tcPr>
          <w:p>
            <w:pPr>
              <w:spacing w:after="0"/>
              <w:rPr>
                <w:sz w:val="2"/>
                <w:szCs w:val="2"/>
                <w:color w:val="auto"/>
              </w:rPr>
            </w:pPr>
          </w:p>
        </w:tc>
        <w:tc>
          <w:tcPr>
            <w:tcW w:w="1100" w:type="dxa"/>
            <w:vAlign w:val="bottom"/>
            <w:tcBorders>
              <w:bottom w:val="single" w:sz="8" w:color="CEFFE7"/>
            </w:tcBorders>
          </w:tcPr>
          <w:p>
            <w:pPr>
              <w:spacing w:after="0"/>
              <w:rPr>
                <w:sz w:val="2"/>
                <w:szCs w:val="2"/>
                <w:color w:val="auto"/>
              </w:rPr>
            </w:pPr>
          </w:p>
        </w:tc>
        <w:tc>
          <w:tcPr>
            <w:tcW w:w="32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40" w:type="dxa"/>
            <w:vAlign w:val="bottom"/>
            <w:tcBorders>
              <w:right w:val="single" w:sz="8" w:color="CEFFE7"/>
            </w:tcBorders>
          </w:tcPr>
          <w:p>
            <w:pPr>
              <w:spacing w:after="0"/>
              <w:rPr>
                <w:sz w:val="23"/>
                <w:szCs w:val="23"/>
                <w:color w:val="auto"/>
              </w:rPr>
            </w:pPr>
          </w:p>
        </w:tc>
        <w:tc>
          <w:tcPr>
            <w:tcW w:w="436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166,354</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165,469</w:t>
            </w:r>
          </w:p>
        </w:tc>
        <w:tc>
          <w:tcPr>
            <w:tcW w:w="42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24,708</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13,045</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(35,688)</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333,888</w:t>
            </w:r>
          </w:p>
        </w:tc>
      </w:tr>
      <w:tr>
        <w:trPr>
          <w:trHeight w:val="20"/>
        </w:trPr>
        <w:tc>
          <w:tcPr>
            <w:tcW w:w="40" w:type="dxa"/>
            <w:vAlign w:val="bottom"/>
          </w:tcPr>
          <w:p>
            <w:pPr>
              <w:spacing w:after="0" w:line="20" w:lineRule="exact"/>
              <w:rPr>
                <w:sz w:val="1"/>
                <w:szCs w:val="1"/>
                <w:color w:val="auto"/>
              </w:rPr>
            </w:pPr>
          </w:p>
        </w:tc>
        <w:tc>
          <w:tcPr>
            <w:tcW w:w="1100" w:type="dxa"/>
            <w:vAlign w:val="bottom"/>
            <w:tcBorders>
              <w:top w:val="single" w:sz="8" w:color="CEFFE7"/>
            </w:tcBorders>
          </w:tcPr>
          <w:p>
            <w:pPr>
              <w:spacing w:after="0" w:line="20" w:lineRule="exact"/>
              <w:rPr>
                <w:sz w:val="1"/>
                <w:szCs w:val="1"/>
                <w:color w:val="auto"/>
              </w:rPr>
            </w:pPr>
          </w:p>
        </w:tc>
        <w:tc>
          <w:tcPr>
            <w:tcW w:w="32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139" w:lineRule="exact"/>
        <w:rPr>
          <w:sz w:val="20"/>
          <w:szCs w:val="20"/>
          <w:color w:val="auto"/>
        </w:rPr>
      </w:pPr>
    </w:p>
    <w:p>
      <w:pPr>
        <w:ind w:left="140" w:right="960" w:hanging="103"/>
        <w:spacing w:after="0" w:line="425" w:lineRule="auto"/>
        <w:rPr>
          <w:sz w:val="20"/>
          <w:szCs w:val="20"/>
          <w:color w:val="auto"/>
        </w:rPr>
      </w:pPr>
      <w:r>
        <w:rPr>
          <w:rFonts w:ascii="Arial" w:cs="Arial" w:eastAsia="Arial" w:hAnsi="Arial"/>
          <w:sz w:val="14"/>
          <w:szCs w:val="14"/>
          <w:u w:val="single" w:color="auto"/>
          <w:color w:val="auto"/>
        </w:rPr>
        <w:t xml:space="preserve">Timing of Revenue Recognition: </w:t>
      </w:r>
      <w:r>
        <w:rPr>
          <w:rFonts w:ascii="Arial" w:cs="Arial" w:eastAsia="Arial" w:hAnsi="Arial"/>
          <w:sz w:val="14"/>
          <w:szCs w:val="14"/>
          <w:color w:val="auto"/>
        </w:rPr>
        <w:t>Services transferred at a point in time Services transferred over time Revenue from contracts with customers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12,428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(7,041)</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5,387</w:t>
            </w:r>
          </w:p>
        </w:tc>
      </w:tr>
      <w:tr>
        <w:trPr>
          <w:trHeight w:val="257"/>
        </w:trPr>
        <w:tc>
          <w:tcPr>
            <w:tcW w:w="26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164,377</w:t>
            </w: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164,026</w:t>
            </w: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15,062</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(19,106)</w:t>
            </w:r>
          </w:p>
        </w:tc>
        <w:tc>
          <w:tcPr>
            <w:tcW w:w="32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324,359</w:t>
            </w:r>
          </w:p>
        </w:tc>
      </w:tr>
      <w:tr>
        <w:trPr>
          <w:trHeight w:val="33"/>
        </w:trPr>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164,377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164,026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15,062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12,428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(26,147)</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329,746</w:t>
            </w:r>
          </w:p>
        </w:tc>
      </w:tr>
      <w:tr>
        <w:trPr>
          <w:trHeight w:val="33"/>
        </w:trPr>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-368300</wp:posOffset>
            </wp:positionV>
            <wp:extent cx="711517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680" w:space="720"/>
            <w:col w:w="6820"/>
          </w:cols>
          <w:pgMar w:left="320" w:top="126" w:right="35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Electric</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4380" w:type="dxa"/>
            <w:vAlign w:val="bottom"/>
            <w:gridSpan w:val="3"/>
          </w:tcPr>
          <w:p>
            <w:pPr>
              <w:ind w:left="20"/>
              <w:spacing w:after="0"/>
              <w:rPr>
                <w:sz w:val="20"/>
                <w:szCs w:val="20"/>
                <w:color w:val="auto"/>
              </w:rPr>
            </w:pPr>
            <w:r>
              <w:rPr>
                <w:rFonts w:ascii="Arial" w:cs="Arial" w:eastAsia="Arial" w:hAnsi="Arial"/>
                <w:sz w:val="16"/>
                <w:szCs w:val="16"/>
                <w:color w:val="auto"/>
              </w:rPr>
              <w:t>Six Months Ended June 30, 2020</w:t>
            </w:r>
          </w:p>
        </w:tc>
        <w:tc>
          <w:tcPr>
            <w:tcW w:w="20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Utilities</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Gas Utilities</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w w:val="97"/>
              </w:rPr>
              <w:t>Power Generation</w:t>
            </w:r>
          </w:p>
        </w:tc>
        <w:tc>
          <w:tcPr>
            <w:tcW w:w="22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Mining</w:t>
            </w:r>
          </w:p>
        </w:tc>
        <w:tc>
          <w:tcPr>
            <w:tcW w:w="2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w w:val="94"/>
              </w:rPr>
              <w:t>Revenues</w:t>
            </w:r>
          </w:p>
        </w:tc>
        <w:tc>
          <w:tcPr>
            <w:tcW w:w="28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Total</w:t>
            </w:r>
          </w:p>
        </w:tc>
      </w:tr>
      <w:tr>
        <w:trPr>
          <w:trHeight w:val="33"/>
        </w:trPr>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438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Customer types: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gridSpan w:val="3"/>
          </w:tcPr>
          <w:p>
            <w:pPr>
              <w:jc w:val="right"/>
              <w:ind w:right="559"/>
              <w:spacing w:after="0" w:line="183"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37"/>
        </w:trPr>
        <w:tc>
          <w:tcPr>
            <w:tcW w:w="20" w:type="dxa"/>
            <w:vAlign w:val="bottom"/>
            <w:tcBorders>
              <w:bottom w:val="single" w:sz="8" w:color="CEFFE7"/>
            </w:tcBorders>
            <w:shd w:val="clear" w:color="auto" w:fill="CEFFE7"/>
          </w:tcPr>
          <w:p>
            <w:pPr>
              <w:spacing w:after="0"/>
              <w:rPr>
                <w:sz w:val="20"/>
                <w:szCs w:val="20"/>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Retail</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290,444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418,841</w:t>
            </w:r>
          </w:p>
        </w:tc>
        <w:tc>
          <w:tcPr>
            <w:tcW w:w="4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29,249</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(15,755)</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722,779</w:t>
            </w:r>
          </w:p>
        </w:tc>
      </w:tr>
      <w:tr>
        <w:trPr>
          <w:trHeight w:val="224"/>
        </w:trPr>
        <w:tc>
          <w:tcPr>
            <w:tcW w:w="2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Transportation</w:t>
            </w:r>
          </w:p>
        </w:tc>
        <w:tc>
          <w:tcPr>
            <w:tcW w:w="2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74,900</w:t>
            </w:r>
          </w:p>
        </w:tc>
        <w:tc>
          <w:tcPr>
            <w:tcW w:w="4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74,623</w:t>
            </w:r>
          </w:p>
        </w:tc>
      </w:tr>
      <w:tr>
        <w:trPr>
          <w:trHeight w:val="3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20" w:type="dxa"/>
            <w:vAlign w:val="bottom"/>
            <w:tcBorders>
              <w:bottom w:val="single" w:sz="8" w:color="CEFFE7"/>
            </w:tcBorders>
            <w:shd w:val="clear" w:color="auto" w:fill="CEFFE7"/>
          </w:tcPr>
          <w:p>
            <w:pPr>
              <w:spacing w:after="0"/>
              <w:rPr>
                <w:sz w:val="20"/>
                <w:szCs w:val="20"/>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Wholesale</w:t>
            </w:r>
          </w:p>
        </w:tc>
        <w:tc>
          <w:tcPr>
            <w:tcW w:w="20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9,022</w:t>
            </w:r>
          </w:p>
        </w:tc>
        <w:tc>
          <w:tcPr>
            <w:tcW w:w="18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51,185</w:t>
            </w:r>
          </w:p>
        </w:tc>
        <w:tc>
          <w:tcPr>
            <w:tcW w:w="2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(48,088)</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12,119</w:t>
            </w:r>
          </w:p>
        </w:tc>
      </w:tr>
      <w:tr>
        <w:trPr>
          <w:trHeight w:val="224"/>
        </w:trPr>
        <w:tc>
          <w:tcPr>
            <w:tcW w:w="2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Market - off-system sales</w:t>
            </w:r>
          </w:p>
        </w:tc>
        <w:tc>
          <w:tcPr>
            <w:tcW w:w="2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8,405</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4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(4,219)</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4,347</w:t>
            </w:r>
          </w:p>
        </w:tc>
      </w:tr>
      <w:tr>
        <w:trPr>
          <w:trHeight w:val="3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20" w:type="dxa"/>
            <w:vAlign w:val="bottom"/>
            <w:tcBorders>
              <w:bottom w:val="single" w:sz="8" w:color="CEFFE7"/>
            </w:tcBorders>
            <w:shd w:val="clear" w:color="auto" w:fill="CEFFE7"/>
          </w:tcPr>
          <w:p>
            <w:pPr>
              <w:spacing w:after="0"/>
              <w:rPr>
                <w:sz w:val="22"/>
                <w:szCs w:val="22"/>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Transmission/Other</w:t>
            </w:r>
          </w:p>
        </w:tc>
        <w:tc>
          <w:tcPr>
            <w:tcW w:w="20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27,618</w:t>
            </w:r>
          </w:p>
        </w:tc>
        <w:tc>
          <w:tcPr>
            <w:tcW w:w="18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21,761</w:t>
            </w:r>
          </w:p>
        </w:tc>
        <w:tc>
          <w:tcPr>
            <w:tcW w:w="42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(8,845)</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40,534</w:t>
            </w:r>
          </w:p>
        </w:tc>
      </w:tr>
      <w:tr>
        <w:trPr>
          <w:trHeight w:val="217"/>
        </w:trPr>
        <w:tc>
          <w:tcPr>
            <w:tcW w:w="20" w:type="dxa"/>
            <w:vAlign w:val="bottom"/>
          </w:tcPr>
          <w:p>
            <w:pPr>
              <w:spacing w:after="0"/>
              <w:rPr>
                <w:sz w:val="18"/>
                <w:szCs w:val="18"/>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335,489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515,663</w:t>
            </w:r>
          </w:p>
        </w:tc>
        <w:tc>
          <w:tcPr>
            <w:tcW w:w="4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51,185</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29,249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(77,184)</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854,402</w:t>
            </w:r>
          </w:p>
        </w:tc>
      </w:tr>
      <w:tr>
        <w:trPr>
          <w:trHeight w:val="3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20" w:type="dxa"/>
            <w:vAlign w:val="bottom"/>
            <w:tcBorders>
              <w:bottom w:val="single" w:sz="8" w:color="CEFFE7"/>
            </w:tcBorders>
            <w:shd w:val="clear" w:color="auto" w:fill="CEFFE7"/>
          </w:tcPr>
          <w:p>
            <w:pPr>
              <w:spacing w:after="0"/>
              <w:rPr>
                <w:sz w:val="22"/>
                <w:szCs w:val="22"/>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1,850</w:t>
            </w:r>
          </w:p>
        </w:tc>
        <w:tc>
          <w:tcPr>
            <w:tcW w:w="18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6,220</w:t>
            </w:r>
          </w:p>
        </w:tc>
        <w:tc>
          <w:tcPr>
            <w:tcW w:w="42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903</w:t>
            </w:r>
          </w:p>
        </w:tc>
        <w:tc>
          <w:tcPr>
            <w:tcW w:w="2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1,372</w:t>
            </w:r>
          </w:p>
        </w:tc>
        <w:tc>
          <w:tcPr>
            <w:tcW w:w="24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(783)</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9,562</w:t>
            </w:r>
          </w:p>
        </w:tc>
      </w:tr>
      <w:tr>
        <w:trPr>
          <w:trHeight w:val="247"/>
        </w:trPr>
        <w:tc>
          <w:tcPr>
            <w:tcW w:w="4380" w:type="dxa"/>
            <w:vAlign w:val="bottom"/>
            <w:gridSpan w:val="3"/>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337,339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521,883</w:t>
            </w:r>
          </w:p>
        </w:tc>
        <w:tc>
          <w:tcPr>
            <w:tcW w:w="4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52,088</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30,621</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(77,967)</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863,964</w:t>
            </w: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060" w:type="dxa"/>
            <w:vAlign w:val="bottom"/>
            <w:tcBorders>
              <w:bottom w:val="single" w:sz="8" w:color="CEFFE7"/>
            </w:tcBorders>
          </w:tcPr>
          <w:p>
            <w:pPr>
              <w:spacing w:after="0" w:line="20" w:lineRule="exact"/>
              <w:rPr>
                <w:sz w:val="1"/>
                <w:szCs w:val="1"/>
                <w:color w:val="auto"/>
              </w:rPr>
            </w:pPr>
          </w:p>
        </w:tc>
        <w:tc>
          <w:tcPr>
            <w:tcW w:w="3300" w:type="dxa"/>
            <w:vAlign w:val="bottom"/>
            <w:tcBorders>
              <w:bottom w:val="single" w:sz="8" w:color="CEFFE7"/>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9"/>
        </w:trPr>
        <w:tc>
          <w:tcPr>
            <w:tcW w:w="20" w:type="dxa"/>
            <w:vAlign w:val="bottom"/>
            <w:shd w:val="clear" w:color="auto" w:fill="CEFFE7"/>
          </w:tcPr>
          <w:p>
            <w:pPr>
              <w:spacing w:after="0"/>
              <w:rPr>
                <w:sz w:val="10"/>
                <w:szCs w:val="10"/>
                <w:color w:val="auto"/>
              </w:rPr>
            </w:pPr>
          </w:p>
        </w:tc>
        <w:tc>
          <w:tcPr>
            <w:tcW w:w="1060" w:type="dxa"/>
            <w:vAlign w:val="bottom"/>
            <w:shd w:val="clear" w:color="auto" w:fill="CEFFE7"/>
          </w:tcPr>
          <w:p>
            <w:pPr>
              <w:spacing w:after="0"/>
              <w:rPr>
                <w:sz w:val="10"/>
                <w:szCs w:val="10"/>
                <w:color w:val="auto"/>
              </w:rPr>
            </w:pPr>
          </w:p>
        </w:tc>
        <w:tc>
          <w:tcPr>
            <w:tcW w:w="3300" w:type="dxa"/>
            <w:vAlign w:val="bottom"/>
            <w:shd w:val="clear" w:color="auto" w:fill="CEFFE7"/>
          </w:tcPr>
          <w:p>
            <w:pPr>
              <w:spacing w:after="0"/>
              <w:rPr>
                <w:sz w:val="10"/>
                <w:szCs w:val="10"/>
                <w:color w:val="auto"/>
              </w:rPr>
            </w:pPr>
          </w:p>
        </w:tc>
        <w:tc>
          <w:tcPr>
            <w:tcW w:w="200" w:type="dxa"/>
            <w:vAlign w:val="bottom"/>
            <w:shd w:val="clear" w:color="auto" w:fill="CEFFE7"/>
          </w:tcPr>
          <w:p>
            <w:pPr>
              <w:spacing w:after="0"/>
              <w:rPr>
                <w:sz w:val="10"/>
                <w:szCs w:val="10"/>
                <w:color w:val="auto"/>
              </w:rPr>
            </w:pPr>
          </w:p>
        </w:tc>
        <w:tc>
          <w:tcPr>
            <w:tcW w:w="86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920" w:type="dxa"/>
            <w:vAlign w:val="bottom"/>
            <w:shd w:val="clear" w:color="auto" w:fill="CEFFE7"/>
          </w:tcPr>
          <w:p>
            <w:pPr>
              <w:spacing w:after="0"/>
              <w:rPr>
                <w:sz w:val="10"/>
                <w:szCs w:val="10"/>
                <w:color w:val="auto"/>
              </w:rPr>
            </w:pPr>
          </w:p>
        </w:tc>
        <w:tc>
          <w:tcPr>
            <w:tcW w:w="420" w:type="dxa"/>
            <w:vAlign w:val="bottom"/>
            <w:shd w:val="clear" w:color="auto" w:fill="CEFFE7"/>
          </w:tcPr>
          <w:p>
            <w:pPr>
              <w:spacing w:after="0"/>
              <w:rPr>
                <w:sz w:val="10"/>
                <w:szCs w:val="10"/>
                <w:color w:val="auto"/>
              </w:rPr>
            </w:pPr>
          </w:p>
        </w:tc>
        <w:tc>
          <w:tcPr>
            <w:tcW w:w="88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840" w:type="dxa"/>
            <w:vAlign w:val="bottom"/>
            <w:shd w:val="clear" w:color="auto" w:fill="CEFFE7"/>
          </w:tcPr>
          <w:p>
            <w:pPr>
              <w:spacing w:after="0"/>
              <w:rPr>
                <w:sz w:val="10"/>
                <w:szCs w:val="10"/>
                <w:color w:val="auto"/>
              </w:rPr>
            </w:pPr>
          </w:p>
        </w:tc>
        <w:tc>
          <w:tcPr>
            <w:tcW w:w="240" w:type="dxa"/>
            <w:vAlign w:val="bottom"/>
            <w:shd w:val="clear" w:color="auto" w:fill="CEFFE7"/>
          </w:tcPr>
          <w:p>
            <w:pPr>
              <w:spacing w:after="0"/>
              <w:rPr>
                <w:sz w:val="10"/>
                <w:szCs w:val="10"/>
                <w:color w:val="auto"/>
              </w:rPr>
            </w:pPr>
          </w:p>
        </w:tc>
        <w:tc>
          <w:tcPr>
            <w:tcW w:w="920" w:type="dxa"/>
            <w:vAlign w:val="bottom"/>
            <w:shd w:val="clear" w:color="auto" w:fill="CEFFE7"/>
          </w:tcPr>
          <w:p>
            <w:pPr>
              <w:spacing w:after="0"/>
              <w:rPr>
                <w:sz w:val="10"/>
                <w:szCs w:val="10"/>
                <w:color w:val="auto"/>
              </w:rPr>
            </w:pPr>
          </w:p>
        </w:tc>
        <w:tc>
          <w:tcPr>
            <w:tcW w:w="280" w:type="dxa"/>
            <w:vAlign w:val="bottom"/>
            <w:shd w:val="clear" w:color="auto" w:fill="CEFFE7"/>
          </w:tcPr>
          <w:p>
            <w:pPr>
              <w:spacing w:after="0"/>
              <w:rPr>
                <w:sz w:val="10"/>
                <w:szCs w:val="10"/>
                <w:color w:val="auto"/>
              </w:rPr>
            </w:pPr>
          </w:p>
        </w:tc>
        <w:tc>
          <w:tcPr>
            <w:tcW w:w="860" w:type="dxa"/>
            <w:vAlign w:val="bottom"/>
            <w:shd w:val="clear" w:color="auto" w:fill="CEFFE7"/>
          </w:tcPr>
          <w:p>
            <w:pPr>
              <w:spacing w:after="0"/>
              <w:rPr>
                <w:sz w:val="10"/>
                <w:szCs w:val="10"/>
                <w:color w:val="auto"/>
              </w:rPr>
            </w:pPr>
          </w:p>
        </w:tc>
      </w:tr>
    </w:tbl>
    <w:p>
      <w:pPr>
        <w:spacing w:after="0" w:line="17" w:lineRule="exact"/>
        <w:rPr>
          <w:sz w:val="20"/>
          <w:szCs w:val="20"/>
          <w:color w:val="auto"/>
        </w:rPr>
      </w:pPr>
    </w:p>
    <w:p>
      <w:pPr>
        <w:sectPr>
          <w:pgSz w:w="11900" w:h="16838" w:orient="portrait"/>
          <w:cols w:equalWidth="0" w:num="1">
            <w:col w:w="11220"/>
          </w:cols>
          <w:pgMar w:left="320" w:top="126" w:right="359" w:bottom="1440" w:gutter="0" w:footer="0" w:header="0"/>
          <w:type w:val="continuous"/>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Services transferred at a point in time</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over time</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29,249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(15,755)</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13,494</w:t>
            </w:r>
          </w:p>
        </w:tc>
      </w:tr>
      <w:tr>
        <w:trPr>
          <w:trHeight w:val="256"/>
        </w:trPr>
        <w:tc>
          <w:tcPr>
            <w:tcW w:w="26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335,489</w:t>
            </w: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515,663</w:t>
            </w: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51,185</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(61,429)</w:t>
            </w:r>
          </w:p>
        </w:tc>
        <w:tc>
          <w:tcPr>
            <w:tcW w:w="32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840,908</w:t>
            </w:r>
          </w:p>
        </w:tc>
      </w:tr>
      <w:tr>
        <w:trPr>
          <w:trHeight w:val="33"/>
        </w:trPr>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335,489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515,663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51,185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29,249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(77,184)</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854,402</w:t>
            </w:r>
          </w:p>
        </w:tc>
      </w:tr>
      <w:tr>
        <w:trPr>
          <w:trHeight w:val="33"/>
        </w:trPr>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-530860</wp:posOffset>
            </wp:positionV>
            <wp:extent cx="711517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-205105</wp:posOffset>
            </wp:positionV>
            <wp:extent cx="711517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6820"/>
          </w:cols>
          <w:pgMar w:left="320" w:top="126" w:right="35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4400" w:type="dxa"/>
            <w:vAlign w:val="bottom"/>
            <w:gridSpan w:val="3"/>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91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Electric</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6"/>
        </w:trPr>
        <w:tc>
          <w:tcPr>
            <w:tcW w:w="4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Arial" w:cs="Arial" w:eastAsia="Arial" w:hAnsi="Arial"/>
                <w:sz w:val="16"/>
                <w:szCs w:val="16"/>
                <w:color w:val="auto"/>
              </w:rPr>
              <w:t>Six Months Ended June 30, 2019</w:t>
            </w:r>
          </w:p>
        </w:tc>
        <w:tc>
          <w:tcPr>
            <w:tcW w:w="20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Utilities</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Gas Utilities</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w w:val="96"/>
              </w:rPr>
              <w:t>Power Generation</w:t>
            </w:r>
          </w:p>
        </w:tc>
        <w:tc>
          <w:tcPr>
            <w:tcW w:w="22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Mining</w:t>
            </w:r>
          </w:p>
        </w:tc>
        <w:tc>
          <w:tcPr>
            <w:tcW w:w="2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w w:val="94"/>
              </w:rPr>
              <w:t>Revenues</w:t>
            </w:r>
          </w:p>
        </w:tc>
        <w:tc>
          <w:tcPr>
            <w:tcW w:w="28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Total</w:t>
            </w:r>
          </w:p>
        </w:tc>
      </w:tr>
      <w:tr>
        <w:trPr>
          <w:trHeight w:val="33"/>
        </w:trPr>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4360" w:type="dxa"/>
            <w:vAlign w:val="bottom"/>
            <w:gridSpan w:val="2"/>
          </w:tcPr>
          <w:p>
            <w:pPr>
              <w:spacing w:after="0" w:line="183" w:lineRule="exact"/>
              <w:rPr>
                <w:sz w:val="20"/>
                <w:szCs w:val="20"/>
                <w:color w:val="auto"/>
              </w:rPr>
            </w:pPr>
            <w:r>
              <w:rPr>
                <w:rFonts w:ascii="Arial" w:cs="Arial" w:eastAsia="Arial" w:hAnsi="Arial"/>
                <w:sz w:val="16"/>
                <w:szCs w:val="16"/>
                <w:color w:val="auto"/>
              </w:rPr>
              <w:t>Customer Types: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37"/>
        </w:trPr>
        <w:tc>
          <w:tcPr>
            <w:tcW w:w="40" w:type="dxa"/>
            <w:vAlign w:val="bottom"/>
            <w:tcBorders>
              <w:right w:val="single" w:sz="8" w:color="CEFFE7"/>
            </w:tcBorders>
          </w:tcPr>
          <w:p>
            <w:pPr>
              <w:spacing w:after="0"/>
              <w:rPr>
                <w:sz w:val="20"/>
                <w:szCs w:val="20"/>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Retail</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293,195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477,905</w:t>
            </w:r>
          </w:p>
        </w:tc>
        <w:tc>
          <w:tcPr>
            <w:tcW w:w="4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28,257</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(15,169)</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784,188</w:t>
            </w:r>
          </w:p>
        </w:tc>
      </w:tr>
      <w:tr>
        <w:trPr>
          <w:trHeight w:val="224"/>
        </w:trPr>
        <w:tc>
          <w:tcPr>
            <w:tcW w:w="4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Transportation</w:t>
            </w:r>
          </w:p>
        </w:tc>
        <w:tc>
          <w:tcPr>
            <w:tcW w:w="2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73,140</w:t>
            </w:r>
          </w:p>
        </w:tc>
        <w:tc>
          <w:tcPr>
            <w:tcW w:w="4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(708)</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72,432</w:t>
            </w: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0" w:type="dxa"/>
            <w:vAlign w:val="bottom"/>
            <w:tcBorders>
              <w:right w:val="single" w:sz="8" w:color="CEFFE7"/>
            </w:tcBorders>
          </w:tcPr>
          <w:p>
            <w:pPr>
              <w:spacing w:after="0"/>
              <w:rPr>
                <w:sz w:val="20"/>
                <w:szCs w:val="20"/>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Wholesale</w:t>
            </w:r>
          </w:p>
        </w:tc>
        <w:tc>
          <w:tcPr>
            <w:tcW w:w="20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15,124</w:t>
            </w:r>
          </w:p>
        </w:tc>
        <w:tc>
          <w:tcPr>
            <w:tcW w:w="18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30,531</w:t>
            </w:r>
          </w:p>
        </w:tc>
        <w:tc>
          <w:tcPr>
            <w:tcW w:w="2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(26,509)</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19,146</w:t>
            </w:r>
          </w:p>
        </w:tc>
      </w:tr>
      <w:tr>
        <w:trPr>
          <w:trHeight w:val="223"/>
        </w:trPr>
        <w:tc>
          <w:tcPr>
            <w:tcW w:w="40" w:type="dxa"/>
            <w:vAlign w:val="bottom"/>
          </w:tcPr>
          <w:p>
            <w:pPr>
              <w:spacing w:after="0"/>
              <w:rPr>
                <w:sz w:val="19"/>
                <w:szCs w:val="19"/>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Market - off-system sales</w:t>
            </w:r>
          </w:p>
        </w:tc>
        <w:tc>
          <w:tcPr>
            <w:tcW w:w="2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10,140</w:t>
            </w: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4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(3,559)</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6,959</w:t>
            </w: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40" w:type="dxa"/>
            <w:vAlign w:val="bottom"/>
            <w:tcBorders>
              <w:right w:val="single" w:sz="8" w:color="CEFFE7"/>
            </w:tcBorders>
          </w:tcPr>
          <w:p>
            <w:pPr>
              <w:spacing w:after="0"/>
              <w:rPr>
                <w:sz w:val="22"/>
                <w:szCs w:val="22"/>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Transmission/Other</w:t>
            </w:r>
          </w:p>
        </w:tc>
        <w:tc>
          <w:tcPr>
            <w:tcW w:w="20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28,591</w:t>
            </w:r>
          </w:p>
        </w:tc>
        <w:tc>
          <w:tcPr>
            <w:tcW w:w="18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24,802</w:t>
            </w:r>
          </w:p>
        </w:tc>
        <w:tc>
          <w:tcPr>
            <w:tcW w:w="42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(8,402)</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44,991</w:t>
            </w:r>
          </w:p>
        </w:tc>
      </w:tr>
      <w:tr>
        <w:trPr>
          <w:trHeight w:val="217"/>
        </w:trPr>
        <w:tc>
          <w:tcPr>
            <w:tcW w:w="40" w:type="dxa"/>
            <w:vAlign w:val="bottom"/>
          </w:tcPr>
          <w:p>
            <w:pPr>
              <w:spacing w:after="0"/>
              <w:rPr>
                <w:sz w:val="18"/>
                <w:szCs w:val="18"/>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347,050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576,225</w:t>
            </w:r>
          </w:p>
        </w:tc>
        <w:tc>
          <w:tcPr>
            <w:tcW w:w="4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30,531</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28,257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(54,347)</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927,716</w:t>
            </w: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0" w:type="dxa"/>
            <w:vAlign w:val="bottom"/>
            <w:tcBorders>
              <w:right w:val="single" w:sz="8" w:color="CEFFE7"/>
            </w:tcBorders>
          </w:tcPr>
          <w:p>
            <w:pPr>
              <w:spacing w:after="0"/>
              <w:rPr>
                <w:sz w:val="22"/>
                <w:szCs w:val="22"/>
                <w:color w:val="auto"/>
              </w:rPr>
            </w:pPr>
          </w:p>
        </w:tc>
        <w:tc>
          <w:tcPr>
            <w:tcW w:w="436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2,231</w:t>
            </w:r>
          </w:p>
        </w:tc>
        <w:tc>
          <w:tcPr>
            <w:tcW w:w="18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324</w:t>
            </w:r>
          </w:p>
        </w:tc>
        <w:tc>
          <w:tcPr>
            <w:tcW w:w="42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19,422</w:t>
            </w:r>
          </w:p>
        </w:tc>
        <w:tc>
          <w:tcPr>
            <w:tcW w:w="2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1,217</w:t>
            </w:r>
          </w:p>
        </w:tc>
        <w:tc>
          <w:tcPr>
            <w:tcW w:w="24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(19,212)</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3,982</w:t>
            </w:r>
          </w:p>
        </w:tc>
      </w:tr>
      <w:tr>
        <w:trPr>
          <w:trHeight w:val="247"/>
        </w:trPr>
        <w:tc>
          <w:tcPr>
            <w:tcW w:w="4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349,281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576,549</w:t>
            </w:r>
          </w:p>
        </w:tc>
        <w:tc>
          <w:tcPr>
            <w:tcW w:w="4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49,953</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29,474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(73,559)</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931,698</w:t>
            </w:r>
          </w:p>
        </w:tc>
      </w:tr>
      <w:tr>
        <w:trPr>
          <w:trHeight w:val="20"/>
        </w:trPr>
        <w:tc>
          <w:tcPr>
            <w:tcW w:w="40" w:type="dxa"/>
            <w:vAlign w:val="bottom"/>
          </w:tcPr>
          <w:p>
            <w:pPr>
              <w:spacing w:after="0" w:line="20" w:lineRule="exact"/>
              <w:rPr>
                <w:sz w:val="1"/>
                <w:szCs w:val="1"/>
                <w:color w:val="auto"/>
              </w:rPr>
            </w:pPr>
          </w:p>
        </w:tc>
        <w:tc>
          <w:tcPr>
            <w:tcW w:w="1100" w:type="dxa"/>
            <w:vAlign w:val="bottom"/>
            <w:tcBorders>
              <w:bottom w:val="single" w:sz="8" w:color="CEFFE7"/>
            </w:tcBorders>
          </w:tcPr>
          <w:p>
            <w:pPr>
              <w:spacing w:after="0" w:line="20" w:lineRule="exact"/>
              <w:rPr>
                <w:sz w:val="1"/>
                <w:szCs w:val="1"/>
                <w:color w:val="auto"/>
              </w:rPr>
            </w:pPr>
          </w:p>
        </w:tc>
        <w:tc>
          <w:tcPr>
            <w:tcW w:w="3260" w:type="dxa"/>
            <w:vAlign w:val="bottom"/>
            <w:tcBorders>
              <w:bottom w:val="single" w:sz="8" w:color="CEFFE7"/>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8"/>
        </w:trPr>
        <w:tc>
          <w:tcPr>
            <w:tcW w:w="40" w:type="dxa"/>
            <w:vAlign w:val="bottom"/>
            <w:tcBorders>
              <w:right w:val="single" w:sz="8" w:color="CEFFE7"/>
            </w:tcBorders>
          </w:tcPr>
          <w:p>
            <w:pPr>
              <w:spacing w:after="0"/>
              <w:rPr>
                <w:sz w:val="10"/>
                <w:szCs w:val="10"/>
                <w:color w:val="auto"/>
              </w:rPr>
            </w:pPr>
          </w:p>
        </w:tc>
        <w:tc>
          <w:tcPr>
            <w:tcW w:w="1100" w:type="dxa"/>
            <w:vAlign w:val="bottom"/>
            <w:shd w:val="clear" w:color="auto" w:fill="CEFFE7"/>
          </w:tcPr>
          <w:p>
            <w:pPr>
              <w:spacing w:after="0"/>
              <w:rPr>
                <w:sz w:val="10"/>
                <w:szCs w:val="10"/>
                <w:color w:val="auto"/>
              </w:rPr>
            </w:pPr>
          </w:p>
        </w:tc>
        <w:tc>
          <w:tcPr>
            <w:tcW w:w="3260" w:type="dxa"/>
            <w:vAlign w:val="bottom"/>
            <w:shd w:val="clear" w:color="auto" w:fill="CEFFE7"/>
          </w:tcPr>
          <w:p>
            <w:pPr>
              <w:spacing w:after="0"/>
              <w:rPr>
                <w:sz w:val="10"/>
                <w:szCs w:val="10"/>
                <w:color w:val="auto"/>
              </w:rPr>
            </w:pPr>
          </w:p>
        </w:tc>
        <w:tc>
          <w:tcPr>
            <w:tcW w:w="200" w:type="dxa"/>
            <w:vAlign w:val="bottom"/>
            <w:shd w:val="clear" w:color="auto" w:fill="CEFFE7"/>
          </w:tcPr>
          <w:p>
            <w:pPr>
              <w:spacing w:after="0"/>
              <w:rPr>
                <w:sz w:val="10"/>
                <w:szCs w:val="10"/>
                <w:color w:val="auto"/>
              </w:rPr>
            </w:pPr>
          </w:p>
        </w:tc>
        <w:tc>
          <w:tcPr>
            <w:tcW w:w="86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920" w:type="dxa"/>
            <w:vAlign w:val="bottom"/>
            <w:shd w:val="clear" w:color="auto" w:fill="CEFFE7"/>
          </w:tcPr>
          <w:p>
            <w:pPr>
              <w:spacing w:after="0"/>
              <w:rPr>
                <w:sz w:val="10"/>
                <w:szCs w:val="10"/>
                <w:color w:val="auto"/>
              </w:rPr>
            </w:pPr>
          </w:p>
        </w:tc>
        <w:tc>
          <w:tcPr>
            <w:tcW w:w="420" w:type="dxa"/>
            <w:vAlign w:val="bottom"/>
            <w:shd w:val="clear" w:color="auto" w:fill="CEFFE7"/>
          </w:tcPr>
          <w:p>
            <w:pPr>
              <w:spacing w:after="0"/>
              <w:rPr>
                <w:sz w:val="10"/>
                <w:szCs w:val="10"/>
                <w:color w:val="auto"/>
              </w:rPr>
            </w:pPr>
          </w:p>
        </w:tc>
        <w:tc>
          <w:tcPr>
            <w:tcW w:w="88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840" w:type="dxa"/>
            <w:vAlign w:val="bottom"/>
            <w:shd w:val="clear" w:color="auto" w:fill="CEFFE7"/>
          </w:tcPr>
          <w:p>
            <w:pPr>
              <w:spacing w:after="0"/>
              <w:rPr>
                <w:sz w:val="10"/>
                <w:szCs w:val="10"/>
                <w:color w:val="auto"/>
              </w:rPr>
            </w:pPr>
          </w:p>
        </w:tc>
        <w:tc>
          <w:tcPr>
            <w:tcW w:w="240" w:type="dxa"/>
            <w:vAlign w:val="bottom"/>
            <w:shd w:val="clear" w:color="auto" w:fill="CEFFE7"/>
          </w:tcPr>
          <w:p>
            <w:pPr>
              <w:spacing w:after="0"/>
              <w:rPr>
                <w:sz w:val="10"/>
                <w:szCs w:val="10"/>
                <w:color w:val="auto"/>
              </w:rPr>
            </w:pPr>
          </w:p>
        </w:tc>
        <w:tc>
          <w:tcPr>
            <w:tcW w:w="920" w:type="dxa"/>
            <w:vAlign w:val="bottom"/>
            <w:shd w:val="clear" w:color="auto" w:fill="CEFFE7"/>
          </w:tcPr>
          <w:p>
            <w:pPr>
              <w:spacing w:after="0"/>
              <w:rPr>
                <w:sz w:val="10"/>
                <w:szCs w:val="10"/>
                <w:color w:val="auto"/>
              </w:rPr>
            </w:pPr>
          </w:p>
        </w:tc>
        <w:tc>
          <w:tcPr>
            <w:tcW w:w="280" w:type="dxa"/>
            <w:vAlign w:val="bottom"/>
            <w:shd w:val="clear" w:color="auto" w:fill="CEFFE7"/>
          </w:tcPr>
          <w:p>
            <w:pPr>
              <w:spacing w:after="0"/>
              <w:rPr>
                <w:sz w:val="10"/>
                <w:szCs w:val="10"/>
                <w:color w:val="auto"/>
              </w:rPr>
            </w:pPr>
          </w:p>
        </w:tc>
        <w:tc>
          <w:tcPr>
            <w:tcW w:w="860" w:type="dxa"/>
            <w:vAlign w:val="bottom"/>
            <w:shd w:val="clear" w:color="auto" w:fill="CEFFE7"/>
          </w:tcPr>
          <w:p>
            <w:pPr>
              <w:spacing w:after="0"/>
              <w:rPr>
                <w:sz w:val="10"/>
                <w:szCs w:val="10"/>
                <w:color w:val="auto"/>
              </w:rPr>
            </w:pPr>
          </w:p>
        </w:tc>
      </w:tr>
    </w:tbl>
    <w:p>
      <w:pPr>
        <w:spacing w:after="0" w:line="17" w:lineRule="exact"/>
        <w:rPr>
          <w:sz w:val="20"/>
          <w:szCs w:val="20"/>
          <w:color w:val="auto"/>
        </w:rPr>
      </w:pPr>
    </w:p>
    <w:p>
      <w:pPr>
        <w:sectPr>
          <w:pgSz w:w="11900" w:h="16838" w:orient="portrait"/>
          <w:cols w:equalWidth="0" w:num="1">
            <w:col w:w="11240"/>
          </w:cols>
          <w:pgMar w:left="320" w:top="126" w:right="339" w:bottom="1440" w:gutter="0" w:footer="0" w:header="0"/>
        </w:sectPr>
      </w:pPr>
    </w:p>
    <w:p>
      <w:pPr>
        <w:ind w:left="140" w:right="1100" w:hanging="103"/>
        <w:spacing w:after="0" w:line="375" w:lineRule="auto"/>
        <w:rPr>
          <w:sz w:val="20"/>
          <w:szCs w:val="20"/>
          <w:color w:val="auto"/>
        </w:rPr>
      </w:pPr>
      <w:r>
        <w:rPr>
          <w:rFonts w:ascii="Arial" w:cs="Arial" w:eastAsia="Arial" w:hAnsi="Arial"/>
          <w:sz w:val="15"/>
          <w:szCs w:val="15"/>
          <w:u w:val="single" w:color="auto"/>
          <w:color w:val="auto"/>
        </w:rPr>
        <w:t xml:space="preserve">Timing of Revenue Recognition: </w:t>
      </w:r>
      <w:r>
        <w:rPr>
          <w:rFonts w:ascii="Arial" w:cs="Arial" w:eastAsia="Arial" w:hAnsi="Arial"/>
          <w:sz w:val="15"/>
          <w:szCs w:val="15"/>
          <w:color w:val="auto"/>
        </w:rPr>
        <w:t>Services transferred at a point in time Services transferred over time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28,257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(15,169)</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13,088</w:t>
            </w:r>
          </w:p>
        </w:tc>
      </w:tr>
      <w:tr>
        <w:trPr>
          <w:trHeight w:val="257"/>
        </w:trPr>
        <w:tc>
          <w:tcPr>
            <w:tcW w:w="26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347,050</w:t>
            </w: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576,225</w:t>
            </w: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30,531</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(39,178)</w:t>
            </w:r>
          </w:p>
        </w:tc>
        <w:tc>
          <w:tcPr>
            <w:tcW w:w="32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914,628</w:t>
            </w:r>
          </w:p>
        </w:tc>
      </w:tr>
      <w:tr>
        <w:trPr>
          <w:trHeight w:val="33"/>
        </w:trPr>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347,050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576,225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30,531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28,257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(54,347)</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927,716</w:t>
            </w:r>
          </w:p>
        </w:tc>
      </w:tr>
      <w:tr>
        <w:trPr>
          <w:trHeight w:val="33"/>
        </w:trPr>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-530860</wp:posOffset>
            </wp:positionV>
            <wp:extent cx="711517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-205105</wp:posOffset>
            </wp:positionV>
            <wp:extent cx="711517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6840"/>
          </w:cols>
          <w:pgMar w:left="320" w:top="126"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ind w:right="160"/>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w:t>
      </w:r>
      <w:hyperlink w:anchor="page19">
        <w:r>
          <w:rPr>
            <w:rFonts w:ascii="Arial" w:cs="Arial" w:eastAsia="Arial" w:hAnsi="Arial"/>
            <w:sz w:val="16"/>
            <w:szCs w:val="16"/>
            <w:u w:val="single" w:color="auto"/>
            <w:color w:val="0000FF"/>
          </w:rPr>
          <w:t>Note 4</w:t>
        </w:r>
      </w:hyperlink>
      <w:r>
        <w:rPr>
          <w:rFonts w:ascii="Arial" w:cs="Arial" w:eastAsia="Arial" w:hAnsi="Arial"/>
          <w:sz w:val="16"/>
          <w:szCs w:val="16"/>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services and regulation.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our operations and assets are located within the 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252525"/>
        </w:rPr>
        <w:t>Segment and Corporate and Other information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4"/>
          </w:tcPr>
          <w:p>
            <w:pPr>
              <w:ind w:left="480"/>
              <w:spacing w:after="0"/>
              <w:rPr>
                <w:sz w:val="20"/>
                <w:szCs w:val="20"/>
                <w:color w:val="auto"/>
              </w:rPr>
            </w:pPr>
            <w:r>
              <w:rPr>
                <w:rFonts w:ascii="Arial" w:cs="Arial" w:eastAsia="Arial" w:hAnsi="Arial"/>
                <w:sz w:val="18"/>
                <w:szCs w:val="18"/>
                <w:color w:val="auto"/>
              </w:rPr>
              <w:t>External Operating</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Revenue</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5"/>
          </w:tcPr>
          <w:p>
            <w:pPr>
              <w:jc w:val="right"/>
              <w:ind w:right="180"/>
              <w:spacing w:after="0"/>
              <w:rPr>
                <w:sz w:val="20"/>
                <w:szCs w:val="20"/>
                <w:color w:val="auto"/>
              </w:rPr>
            </w:pPr>
            <w:r>
              <w:rPr>
                <w:rFonts w:ascii="Arial" w:cs="Arial" w:eastAsia="Arial" w:hAnsi="Arial"/>
                <w:sz w:val="18"/>
                <w:szCs w:val="18"/>
                <w:color w:val="auto"/>
                <w:w w:val="91"/>
              </w:rPr>
              <w:t>Inter-company Operating Revenue</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4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Contract</w:t>
            </w: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Contract</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June 30, 2020</w:t>
            </w:r>
          </w:p>
        </w:tc>
        <w:tc>
          <w:tcPr>
            <w:tcW w:w="1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89"/>
              </w:rPr>
              <w:t>Customers</w:t>
            </w: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6"/>
              </w:rPr>
              <w:t>Customers</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Other Revenues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Total Revenues</w:t>
            </w:r>
          </w:p>
        </w:tc>
      </w:tr>
      <w:tr>
        <w:trPr>
          <w:trHeight w:val="27"/>
        </w:trPr>
        <w:tc>
          <w:tcPr>
            <w:tcW w:w="4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Segment:</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6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Electric Utilities</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156,197</w:t>
            </w:r>
          </w:p>
        </w:tc>
        <w:tc>
          <w:tcPr>
            <w:tcW w:w="64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1,627</w:t>
            </w:r>
          </w:p>
        </w:tc>
        <w:tc>
          <w:tcPr>
            <w:tcW w:w="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5,376</w:t>
            </w:r>
          </w:p>
        </w:tc>
        <w:tc>
          <w:tcPr>
            <w:tcW w:w="50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gridSpan w:val="2"/>
            <w:shd w:val="clear" w:color="auto" w:fill="CEFFE7"/>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163,200</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Gas Utilities</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159,824</w:t>
            </w:r>
          </w:p>
        </w:tc>
        <w:tc>
          <w:tcPr>
            <w:tcW w:w="64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774</w:t>
            </w:r>
          </w:p>
        </w:tc>
        <w:tc>
          <w:tcPr>
            <w:tcW w:w="5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161,110</w:t>
            </w: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6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Power Generation</w:t>
            </w:r>
          </w:p>
        </w:tc>
        <w:tc>
          <w:tcPr>
            <w:tcW w:w="1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1,242</w:t>
            </w:r>
          </w:p>
        </w:tc>
        <w:tc>
          <w:tcPr>
            <w:tcW w:w="64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349</w:t>
            </w:r>
          </w:p>
        </w:tc>
        <w:tc>
          <w:tcPr>
            <w:tcW w:w="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24,476</w:t>
            </w:r>
          </w:p>
        </w:tc>
        <w:tc>
          <w:tcPr>
            <w:tcW w:w="5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26,122</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Mining</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6,930</w:t>
            </w:r>
          </w:p>
        </w:tc>
        <w:tc>
          <w:tcPr>
            <w:tcW w:w="64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7,916</w:t>
            </w:r>
          </w:p>
        </w:tc>
        <w:tc>
          <w:tcPr>
            <w:tcW w:w="5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15,416</w:t>
            </w: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14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gridSpan w:val="2"/>
            <w:shd w:val="clear" w:color="auto" w:fill="CEFFE7"/>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(38,542)</w:t>
            </w:r>
          </w:p>
        </w:tc>
        <w:tc>
          <w:tcPr>
            <w:tcW w:w="5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EFFE7"/>
            </w:tcBorders>
            <w:shd w:val="clear" w:color="auto" w:fill="CEFFE7"/>
          </w:tcPr>
          <w:p>
            <w:pPr>
              <w:spacing w:after="0"/>
              <w:rPr>
                <w:sz w:val="23"/>
                <w:szCs w:val="23"/>
                <w:color w:val="auto"/>
              </w:rPr>
            </w:pPr>
          </w:p>
        </w:tc>
        <w:tc>
          <w:tcPr>
            <w:tcW w:w="34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(38,934)</w:t>
            </w: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324,193</w:t>
            </w:r>
          </w:p>
        </w:tc>
        <w:tc>
          <w:tcPr>
            <w:tcW w:w="6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2,721</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326,914</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14"/>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8"/>
        </w:trPr>
        <w:tc>
          <w:tcPr>
            <w:tcW w:w="4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80"/>
              <w:spacing w:after="0"/>
              <w:rPr>
                <w:sz w:val="20"/>
                <w:szCs w:val="20"/>
                <w:color w:val="auto"/>
              </w:rPr>
            </w:pPr>
            <w:r>
              <w:rPr>
                <w:rFonts w:ascii="Arial" w:cs="Arial" w:eastAsia="Arial" w:hAnsi="Arial"/>
                <w:sz w:val="18"/>
                <w:szCs w:val="18"/>
                <w:color w:val="auto"/>
              </w:rPr>
              <w:t>External Operating Revenue</w:t>
            </w:r>
          </w:p>
        </w:tc>
        <w:tc>
          <w:tcPr>
            <w:tcW w:w="2720" w:type="dxa"/>
            <w:vAlign w:val="bottom"/>
            <w:gridSpan w:val="5"/>
          </w:tcPr>
          <w:p>
            <w:pPr>
              <w:jc w:val="right"/>
              <w:ind w:right="180"/>
              <w:spacing w:after="0"/>
              <w:rPr>
                <w:sz w:val="20"/>
                <w:szCs w:val="20"/>
                <w:color w:val="auto"/>
              </w:rPr>
            </w:pPr>
            <w:r>
              <w:rPr>
                <w:rFonts w:ascii="Arial" w:cs="Arial" w:eastAsia="Arial" w:hAnsi="Arial"/>
                <w:sz w:val="18"/>
                <w:szCs w:val="18"/>
                <w:color w:val="auto"/>
                <w:w w:val="91"/>
              </w:rPr>
              <w:t>Inter-company Operating Revenue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4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Contract</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Contract</w:t>
            </w: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2C2C2C"/>
              </w:rPr>
              <w:t>Three Months Ended June 30, 2019</w:t>
            </w:r>
          </w:p>
        </w:tc>
        <w:tc>
          <w:tcPr>
            <w:tcW w:w="200" w:type="dxa"/>
            <w:vAlign w:val="bottom"/>
          </w:tcPr>
          <w:p>
            <w:pPr>
              <w:spacing w:after="0"/>
              <w:rPr>
                <w:sz w:val="20"/>
                <w:szCs w:val="20"/>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rPr>
              <w:t>Customers</w:t>
            </w: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6"/>
              </w:rPr>
              <w:t>Customers</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Other Revenues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85"/>
              </w:rPr>
              <w:t>Total Revenues</w:t>
            </w:r>
          </w:p>
        </w:tc>
      </w:tr>
      <w:tr>
        <w:trPr>
          <w:trHeight w:val="27"/>
        </w:trPr>
        <w:tc>
          <w:tcPr>
            <w:tcW w:w="4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Segment:</w:t>
            </w:r>
          </w:p>
        </w:tc>
        <w:tc>
          <w:tcPr>
            <w:tcW w:w="2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8"/>
                <w:szCs w:val="18"/>
                <w:color w:val="auto"/>
              </w:rPr>
              <w:t>Electric Utilities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159,140</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1,977</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5,237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166,354</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Gas Utilities</w:t>
            </w:r>
          </w:p>
        </w:tc>
        <w:tc>
          <w:tcPr>
            <w:tcW w:w="2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163,303</w:t>
            </w:r>
          </w:p>
        </w:tc>
        <w:tc>
          <w:tcPr>
            <w:tcW w:w="4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1,443</w:t>
            </w:r>
          </w:p>
        </w:tc>
        <w:tc>
          <w:tcPr>
            <w:tcW w:w="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723</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gridSpan w:val="2"/>
            <w:shd w:val="clear" w:color="auto" w:fill="CEFFE7"/>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165,469</w:t>
            </w:r>
          </w:p>
        </w:tc>
      </w:tr>
      <w:tr>
        <w:trPr>
          <w:trHeight w:val="243"/>
        </w:trPr>
        <w:tc>
          <w:tcPr>
            <w:tcW w:w="4480" w:type="dxa"/>
            <w:vAlign w:val="bottom"/>
          </w:tcPr>
          <w:p>
            <w:pPr>
              <w:ind w:left="120"/>
              <w:spacing w:after="0"/>
              <w:rPr>
                <w:sz w:val="20"/>
                <w:szCs w:val="20"/>
                <w:color w:val="auto"/>
              </w:rPr>
            </w:pPr>
            <w:r>
              <w:rPr>
                <w:rFonts w:ascii="Arial" w:cs="Arial" w:eastAsia="Arial" w:hAnsi="Arial"/>
                <w:sz w:val="18"/>
                <w:szCs w:val="18"/>
                <w:color w:val="auto"/>
              </w:rPr>
              <w:t>Power Generation</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1,765</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13,297</w:t>
            </w:r>
          </w:p>
        </w:tc>
        <w:tc>
          <w:tcPr>
            <w:tcW w:w="4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9,212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24,708</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Mining</w:t>
            </w:r>
          </w:p>
        </w:tc>
        <w:tc>
          <w:tcPr>
            <w:tcW w:w="2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5,538</w:t>
            </w:r>
          </w:p>
        </w:tc>
        <w:tc>
          <w:tcPr>
            <w:tcW w:w="4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288</w:t>
            </w:r>
          </w:p>
        </w:tc>
        <w:tc>
          <w:tcPr>
            <w:tcW w:w="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6,890</w:t>
            </w:r>
          </w:p>
        </w:tc>
        <w:tc>
          <w:tcPr>
            <w:tcW w:w="4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329</w:t>
            </w:r>
          </w:p>
        </w:tc>
        <w:tc>
          <w:tcPr>
            <w:tcW w:w="1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13,045</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Inter-company eliminations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(26,147)</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(9,541)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(35,688)</w:t>
            </w:r>
          </w:p>
        </w:tc>
      </w:tr>
      <w:tr>
        <w:trPr>
          <w:trHeight w:val="27"/>
        </w:trPr>
        <w:tc>
          <w:tcPr>
            <w:tcW w:w="44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4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329,746</w:t>
            </w:r>
          </w:p>
        </w:tc>
        <w:tc>
          <w:tcPr>
            <w:tcW w:w="44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4,142</w:t>
            </w:r>
          </w:p>
        </w:tc>
        <w:tc>
          <w:tcPr>
            <w:tcW w:w="140" w:type="dxa"/>
            <w:vAlign w:val="bottom"/>
            <w:shd w:val="clear" w:color="auto" w:fill="CEFFE7"/>
          </w:tcPr>
          <w:p>
            <w:pPr>
              <w:spacing w:after="0"/>
              <w:rPr>
                <w:sz w:val="24"/>
                <w:szCs w:val="24"/>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EFFE7"/>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333,888</w:t>
            </w:r>
          </w:p>
        </w:tc>
      </w:tr>
      <w:tr>
        <w:trPr>
          <w:trHeight w:val="20"/>
        </w:trPr>
        <w:tc>
          <w:tcPr>
            <w:tcW w:w="448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258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22"/>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tcPr>
          <w:p>
            <w:pPr>
              <w:ind w:left="80"/>
              <w:spacing w:after="0"/>
              <w:rPr>
                <w:sz w:val="20"/>
                <w:szCs w:val="20"/>
                <w:color w:val="auto"/>
              </w:rPr>
            </w:pPr>
            <w:r>
              <w:rPr>
                <w:rFonts w:ascii="Arial" w:cs="Arial" w:eastAsia="Arial" w:hAnsi="Arial"/>
                <w:sz w:val="18"/>
                <w:szCs w:val="18"/>
                <w:color w:val="auto"/>
              </w:rPr>
              <w:t>External Operating Revenue</w:t>
            </w:r>
          </w:p>
        </w:tc>
        <w:tc>
          <w:tcPr>
            <w:tcW w:w="2720" w:type="dxa"/>
            <w:vAlign w:val="bottom"/>
            <w:gridSpan w:val="5"/>
          </w:tcPr>
          <w:p>
            <w:pPr>
              <w:jc w:val="right"/>
              <w:ind w:right="180"/>
              <w:spacing w:after="0"/>
              <w:rPr>
                <w:sz w:val="20"/>
                <w:szCs w:val="20"/>
                <w:color w:val="auto"/>
              </w:rPr>
            </w:pPr>
            <w:r>
              <w:rPr>
                <w:rFonts w:ascii="Arial" w:cs="Arial" w:eastAsia="Arial" w:hAnsi="Arial"/>
                <w:sz w:val="18"/>
                <w:szCs w:val="18"/>
                <w:color w:val="auto"/>
                <w:w w:val="91"/>
              </w:rPr>
              <w:t>Inter-company Operating Revenue</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4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Contract</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Contract</w:t>
            </w: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Six Months Ended June 30, 2020</w:t>
            </w:r>
          </w:p>
        </w:tc>
        <w:tc>
          <w:tcPr>
            <w:tcW w:w="200" w:type="dxa"/>
            <w:vAlign w:val="bottom"/>
          </w:tcPr>
          <w:p>
            <w:pPr>
              <w:spacing w:after="0"/>
              <w:rPr>
                <w:sz w:val="20"/>
                <w:szCs w:val="20"/>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rPr>
              <w:t>Customers</w:t>
            </w: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6"/>
              </w:rPr>
              <w:t>Customers</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Other Revenues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85"/>
              </w:rPr>
              <w:t>Total Revenues</w:t>
            </w:r>
          </w:p>
        </w:tc>
      </w:tr>
      <w:tr>
        <w:trPr>
          <w:trHeight w:val="27"/>
        </w:trPr>
        <w:tc>
          <w:tcPr>
            <w:tcW w:w="4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Segment:</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323,700</w:t>
            </w:r>
          </w:p>
        </w:tc>
        <w:tc>
          <w:tcPr>
            <w:tcW w:w="44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1,850</w:t>
            </w:r>
          </w:p>
        </w:tc>
        <w:tc>
          <w:tcPr>
            <w:tcW w:w="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11,789</w:t>
            </w:r>
          </w:p>
        </w:tc>
        <w:tc>
          <w:tcPr>
            <w:tcW w:w="40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gridSpan w:val="2"/>
            <w:shd w:val="clear" w:color="auto" w:fill="CEFFE7"/>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337,339</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514,111</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6,220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1,552</w:t>
            </w:r>
          </w:p>
        </w:tc>
        <w:tc>
          <w:tcPr>
            <w:tcW w:w="4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521,883</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3,097</w:t>
            </w:r>
          </w:p>
        </w:tc>
        <w:tc>
          <w:tcPr>
            <w:tcW w:w="4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792</w:t>
            </w:r>
          </w:p>
        </w:tc>
        <w:tc>
          <w:tcPr>
            <w:tcW w:w="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48,088</w:t>
            </w:r>
          </w:p>
        </w:tc>
        <w:tc>
          <w:tcPr>
            <w:tcW w:w="4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52,088</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13,494</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15,755</w:t>
            </w:r>
          </w:p>
        </w:tc>
        <w:tc>
          <w:tcPr>
            <w:tcW w:w="4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30,621</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20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gridSpan w:val="2"/>
            <w:shd w:val="clear" w:color="auto" w:fill="CEFFE7"/>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(77,184)</w:t>
            </w:r>
          </w:p>
        </w:tc>
        <w:tc>
          <w:tcPr>
            <w:tcW w:w="4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(783)</w:t>
            </w:r>
          </w:p>
        </w:tc>
        <w:tc>
          <w:tcPr>
            <w:tcW w:w="14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(77,967)</w:t>
            </w: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854,402</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9,562</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863,964</w:t>
            </w: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50"/>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tcPr>
          <w:p>
            <w:pPr>
              <w:ind w:left="80"/>
              <w:spacing w:after="0"/>
              <w:rPr>
                <w:sz w:val="20"/>
                <w:szCs w:val="20"/>
                <w:color w:val="auto"/>
              </w:rPr>
            </w:pPr>
            <w:r>
              <w:rPr>
                <w:rFonts w:ascii="Arial" w:cs="Arial" w:eastAsia="Arial" w:hAnsi="Arial"/>
                <w:sz w:val="18"/>
                <w:szCs w:val="18"/>
                <w:color w:val="auto"/>
              </w:rPr>
              <w:t>External Operating Revenue</w:t>
            </w:r>
          </w:p>
        </w:tc>
        <w:tc>
          <w:tcPr>
            <w:tcW w:w="2720" w:type="dxa"/>
            <w:vAlign w:val="bottom"/>
            <w:gridSpan w:val="5"/>
          </w:tcPr>
          <w:p>
            <w:pPr>
              <w:jc w:val="right"/>
              <w:ind w:right="180"/>
              <w:spacing w:after="0"/>
              <w:rPr>
                <w:sz w:val="20"/>
                <w:szCs w:val="20"/>
                <w:color w:val="auto"/>
              </w:rPr>
            </w:pPr>
            <w:r>
              <w:rPr>
                <w:rFonts w:ascii="Arial" w:cs="Arial" w:eastAsia="Arial" w:hAnsi="Arial"/>
                <w:sz w:val="18"/>
                <w:szCs w:val="18"/>
                <w:color w:val="auto"/>
                <w:w w:val="91"/>
              </w:rPr>
              <w:t>Inter-company Operating Revenue</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4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Contract</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Contract</w:t>
            </w: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Six Months Ended June 30, 2019</w:t>
            </w:r>
          </w:p>
        </w:tc>
        <w:tc>
          <w:tcPr>
            <w:tcW w:w="200" w:type="dxa"/>
            <w:vAlign w:val="bottom"/>
          </w:tcPr>
          <w:p>
            <w:pPr>
              <w:spacing w:after="0"/>
              <w:rPr>
                <w:sz w:val="20"/>
                <w:szCs w:val="20"/>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rPr>
              <w:t>Customers</w:t>
            </w: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6"/>
              </w:rPr>
              <w:t>Customers</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Other Revenues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85"/>
              </w:rPr>
              <w:t>Total Revenues</w:t>
            </w:r>
          </w:p>
        </w:tc>
      </w:tr>
      <w:tr>
        <w:trPr>
          <w:trHeight w:val="27"/>
        </w:trPr>
        <w:tc>
          <w:tcPr>
            <w:tcW w:w="4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Segment:</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335,803</w:t>
            </w:r>
          </w:p>
        </w:tc>
        <w:tc>
          <w:tcPr>
            <w:tcW w:w="44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2,231</w:t>
            </w:r>
          </w:p>
        </w:tc>
        <w:tc>
          <w:tcPr>
            <w:tcW w:w="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11,247</w:t>
            </w:r>
          </w:p>
        </w:tc>
        <w:tc>
          <w:tcPr>
            <w:tcW w:w="40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gridSpan w:val="2"/>
            <w:shd w:val="clear" w:color="auto" w:fill="CEFFE7"/>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349,281</w:t>
            </w:r>
          </w:p>
        </w:tc>
      </w:tr>
      <w:tr>
        <w:trPr>
          <w:trHeight w:val="243"/>
        </w:trPr>
        <w:tc>
          <w:tcPr>
            <w:tcW w:w="4480" w:type="dxa"/>
            <w:vAlign w:val="bottom"/>
          </w:tcPr>
          <w:p>
            <w:pPr>
              <w:ind w:left="12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574,803</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1,422</w:t>
            </w:r>
          </w:p>
        </w:tc>
        <w:tc>
          <w:tcPr>
            <w:tcW w:w="4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576,549</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4,022</w:t>
            </w:r>
          </w:p>
        </w:tc>
        <w:tc>
          <w:tcPr>
            <w:tcW w:w="4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870</w:t>
            </w:r>
          </w:p>
        </w:tc>
        <w:tc>
          <w:tcPr>
            <w:tcW w:w="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26,509</w:t>
            </w:r>
          </w:p>
        </w:tc>
        <w:tc>
          <w:tcPr>
            <w:tcW w:w="4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18,552</w:t>
            </w:r>
          </w:p>
        </w:tc>
        <w:tc>
          <w:tcPr>
            <w:tcW w:w="1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49,953</w:t>
            </w:r>
          </w:p>
        </w:tc>
      </w:tr>
      <w:tr>
        <w:trPr>
          <w:trHeight w:val="243"/>
        </w:trPr>
        <w:tc>
          <w:tcPr>
            <w:tcW w:w="4480" w:type="dxa"/>
            <w:vAlign w:val="bottom"/>
          </w:tcPr>
          <w:p>
            <w:pPr>
              <w:ind w:left="12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13,088</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15,169</w:t>
            </w:r>
          </w:p>
        </w:tc>
        <w:tc>
          <w:tcPr>
            <w:tcW w:w="4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29,474</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20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gridSpan w:val="2"/>
            <w:shd w:val="clear" w:color="auto" w:fill="CEFFE7"/>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(54,347)</w:t>
            </w:r>
          </w:p>
        </w:tc>
        <w:tc>
          <w:tcPr>
            <w:tcW w:w="4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(19,212)</w:t>
            </w:r>
          </w:p>
        </w:tc>
        <w:tc>
          <w:tcPr>
            <w:tcW w:w="14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(73,559)</w:t>
            </w: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927,716</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3,982</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931,698</w:t>
            </w:r>
          </w:p>
        </w:tc>
      </w:tr>
      <w:tr>
        <w:trPr>
          <w:trHeight w:val="21"/>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44"/>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8"/>
        </w:trPr>
        <w:tc>
          <w:tcPr>
            <w:tcW w:w="4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3"/>
          </w:tcPr>
          <w:p>
            <w:pPr>
              <w:jc w:val="right"/>
              <w:ind w:right="370"/>
              <w:spacing w:after="0"/>
              <w:rPr>
                <w:sz w:val="20"/>
                <w:szCs w:val="20"/>
                <w:color w:val="auto"/>
              </w:rPr>
            </w:pPr>
            <w:r>
              <w:rPr>
                <w:rFonts w:ascii="Arial" w:cs="Arial" w:eastAsia="Arial" w:hAnsi="Arial"/>
                <w:sz w:val="18"/>
                <w:szCs w:val="18"/>
                <w:color w:val="auto"/>
                <w:w w:val="96"/>
              </w:rPr>
              <w:t>Three Months Ended June 30,</w:t>
            </w:r>
          </w:p>
        </w:tc>
        <w:tc>
          <w:tcPr>
            <w:tcW w:w="420" w:type="dxa"/>
            <w:vAlign w:val="bottom"/>
          </w:tcPr>
          <w:p>
            <w:pPr>
              <w:spacing w:after="0"/>
              <w:rPr>
                <w:sz w:val="20"/>
                <w:szCs w:val="20"/>
                <w:color w:val="auto"/>
              </w:rPr>
            </w:pPr>
          </w:p>
        </w:tc>
        <w:tc>
          <w:tcPr>
            <w:tcW w:w="2840" w:type="dxa"/>
            <w:vAlign w:val="bottom"/>
            <w:gridSpan w:val="3"/>
          </w:tcPr>
          <w:p>
            <w:pPr>
              <w:jc w:val="right"/>
              <w:ind w:right="530"/>
              <w:spacing w:after="0"/>
              <w:rPr>
                <w:sz w:val="20"/>
                <w:szCs w:val="20"/>
                <w:color w:val="auto"/>
              </w:rPr>
            </w:pPr>
            <w:r>
              <w:rPr>
                <w:rFonts w:ascii="Arial" w:cs="Arial" w:eastAsia="Arial" w:hAnsi="Arial"/>
                <w:sz w:val="18"/>
                <w:szCs w:val="18"/>
                <w:color w:val="auto"/>
                <w:w w:val="99"/>
              </w:rPr>
              <w:t>Six Months Ended June 30,</w:t>
            </w:r>
          </w:p>
        </w:tc>
      </w:tr>
      <w:tr>
        <w:trPr>
          <w:trHeight w:val="270"/>
        </w:trPr>
        <w:tc>
          <w:tcPr>
            <w:tcW w:w="4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3"/>
                <w:szCs w:val="23"/>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3"/>
                <w:szCs w:val="23"/>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3"/>
                <w:szCs w:val="23"/>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2019</w:t>
            </w:r>
          </w:p>
        </w:tc>
      </w:tr>
      <w:tr>
        <w:trPr>
          <w:trHeight w:val="27"/>
        </w:trPr>
        <w:tc>
          <w:tcPr>
            <w:tcW w:w="4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EFFE7"/>
          </w:tcPr>
          <w:p>
            <w:pPr>
              <w:ind w:left="20"/>
              <w:spacing w:after="0" w:line="223"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3"/>
                <w:szCs w:val="23"/>
                <w:color w:val="auto"/>
                <w:vertAlign w:val="superscript"/>
              </w:rPr>
              <w:t>(a)</w:t>
            </w:r>
            <w:r>
              <w:rPr>
                <w:rFonts w:ascii="Arial" w:cs="Arial" w:eastAsia="Arial" w:hAnsi="Arial"/>
                <w:sz w:val="18"/>
                <w:szCs w:val="18"/>
                <w:color w:val="auto"/>
              </w:rPr>
              <w:t>:</w:t>
            </w:r>
          </w:p>
        </w:tc>
        <w:tc>
          <w:tcPr>
            <w:tcW w:w="320" w:type="dxa"/>
            <w:vAlign w:val="bottom"/>
            <w:shd w:val="clear" w:color="auto" w:fill="CEFFE7"/>
          </w:tcPr>
          <w:p>
            <w:pPr>
              <w:spacing w:after="0"/>
              <w:rPr>
                <w:sz w:val="19"/>
                <w:szCs w:val="19"/>
                <w:color w:val="auto"/>
              </w:rPr>
            </w:pPr>
          </w:p>
        </w:tc>
        <w:tc>
          <w:tcPr>
            <w:tcW w:w="124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1240" w:type="dxa"/>
            <w:vAlign w:val="bottom"/>
            <w:shd w:val="clear" w:color="auto" w:fill="CEFFE7"/>
          </w:tcPr>
          <w:p>
            <w:pPr>
              <w:spacing w:after="0"/>
              <w:rPr>
                <w:sz w:val="19"/>
                <w:szCs w:val="19"/>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8"/>
                <w:szCs w:val="18"/>
                <w:color w:val="auto"/>
              </w:rPr>
              <w:t>Electric Utilities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33,993</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33,546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69,643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74,566</w:t>
            </w: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Gas Utilities</w:t>
            </w:r>
          </w:p>
        </w:tc>
        <w:tc>
          <w:tcPr>
            <w:tcW w:w="3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18,209</w:t>
            </w:r>
          </w:p>
        </w:tc>
        <w:tc>
          <w:tcPr>
            <w:tcW w:w="4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8,557</w:t>
            </w:r>
          </w:p>
        </w:tc>
        <w:tc>
          <w:tcPr>
            <w:tcW w:w="4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121,106</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111,871</w:t>
            </w:r>
          </w:p>
        </w:tc>
      </w:tr>
      <w:tr>
        <w:trPr>
          <w:trHeight w:val="243"/>
        </w:trPr>
        <w:tc>
          <w:tcPr>
            <w:tcW w:w="4480" w:type="dxa"/>
            <w:vAlign w:val="bottom"/>
          </w:tcPr>
          <w:p>
            <w:pPr>
              <w:ind w:left="120"/>
              <w:spacing w:after="0"/>
              <w:rPr>
                <w:sz w:val="20"/>
                <w:szCs w:val="20"/>
                <w:color w:val="auto"/>
              </w:rPr>
            </w:pPr>
            <w:r>
              <w:rPr>
                <w:rFonts w:ascii="Arial" w:cs="Arial" w:eastAsia="Arial" w:hAnsi="Arial"/>
                <w:sz w:val="18"/>
                <w:szCs w:val="18"/>
                <w:color w:val="auto"/>
              </w:rPr>
              <w:t>Power Generation</w:t>
            </w:r>
          </w:p>
        </w:tc>
        <w:tc>
          <w:tcPr>
            <w:tcW w:w="3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11,402</w:t>
            </w: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10,156</w:t>
            </w:r>
          </w:p>
        </w:tc>
        <w:tc>
          <w:tcPr>
            <w:tcW w:w="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22,751</w:t>
            </w:r>
          </w:p>
        </w:tc>
        <w:tc>
          <w:tcPr>
            <w:tcW w:w="4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22,123</w:t>
            </w: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Mining</w:t>
            </w:r>
          </w:p>
        </w:tc>
        <w:tc>
          <w:tcPr>
            <w:tcW w:w="3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3,358</w:t>
            </w:r>
          </w:p>
        </w:tc>
        <w:tc>
          <w:tcPr>
            <w:tcW w:w="4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1,640</w:t>
            </w:r>
          </w:p>
        </w:tc>
        <w:tc>
          <w:tcPr>
            <w:tcW w:w="4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6,487</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5,977</w:t>
            </w:r>
          </w:p>
        </w:tc>
      </w:tr>
      <w:tr>
        <w:trPr>
          <w:trHeight w:val="243"/>
        </w:trPr>
        <w:tc>
          <w:tcPr>
            <w:tcW w:w="44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(405)</w:t>
            </w:r>
          </w:p>
        </w:tc>
      </w:tr>
      <w:tr>
        <w:trPr>
          <w:trHeight w:val="27"/>
        </w:trPr>
        <w:tc>
          <w:tcPr>
            <w:tcW w:w="448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66,933</w:t>
            </w:r>
          </w:p>
        </w:tc>
        <w:tc>
          <w:tcPr>
            <w:tcW w:w="400" w:type="dxa"/>
            <w:vAlign w:val="bottom"/>
            <w:tcBorders>
              <w:bottom w:val="single" w:sz="8" w:color="CEFFE7"/>
            </w:tcBorders>
            <w:shd w:val="clear" w:color="auto" w:fill="CEFFE7"/>
          </w:tcPr>
          <w:p>
            <w:pPr>
              <w:spacing w:after="0"/>
              <w:rPr>
                <w:sz w:val="22"/>
                <w:szCs w:val="22"/>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54,001</w:t>
            </w:r>
          </w:p>
        </w:tc>
        <w:tc>
          <w:tcPr>
            <w:tcW w:w="420" w:type="dxa"/>
            <w:vAlign w:val="bottom"/>
            <w:tcBorders>
              <w:bottom w:val="single" w:sz="8" w:color="CEFFE7"/>
            </w:tcBorders>
            <w:shd w:val="clear" w:color="auto" w:fill="CEFFE7"/>
          </w:tcPr>
          <w:p>
            <w:pPr>
              <w:spacing w:after="0"/>
              <w:rPr>
                <w:sz w:val="22"/>
                <w:szCs w:val="22"/>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220,118</w:t>
            </w:r>
          </w:p>
        </w:tc>
        <w:tc>
          <w:tcPr>
            <w:tcW w:w="42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214,132</w:t>
            </w:r>
          </w:p>
        </w:tc>
      </w:tr>
      <w:tr>
        <w:trPr>
          <w:trHeight w:val="250"/>
        </w:trPr>
        <w:tc>
          <w:tcPr>
            <w:tcW w:w="44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50"/>
        </w:trPr>
        <w:tc>
          <w:tcPr>
            <w:tcW w:w="4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(35,545)</w:t>
            </w:r>
          </w:p>
        </w:tc>
        <w:tc>
          <w:tcPr>
            <w:tcW w:w="4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(34,264)</w:t>
            </w:r>
          </w:p>
        </w:tc>
        <w:tc>
          <w:tcPr>
            <w:tcW w:w="4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(70,998)</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(68,981)</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Impairment of investment</w:t>
            </w:r>
          </w:p>
        </w:tc>
        <w:tc>
          <w:tcPr>
            <w:tcW w:w="3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(6,859)</w:t>
            </w:r>
          </w:p>
        </w:tc>
        <w:tc>
          <w:tcPr>
            <w:tcW w:w="4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(1,863)</w:t>
            </w:r>
          </w:p>
        </w:tc>
        <w:tc>
          <w:tcPr>
            <w:tcW w:w="4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263</w:t>
            </w:r>
          </w:p>
        </w:tc>
        <w:tc>
          <w:tcPr>
            <w:tcW w:w="4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490</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(526)</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(4,831)</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(2,307)</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(20,833)</w:t>
            </w:r>
          </w:p>
        </w:tc>
        <w:tc>
          <w:tcPr>
            <w:tcW w:w="4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(19,570)</w:t>
            </w:r>
          </w:p>
        </w:tc>
      </w:tr>
      <w:tr>
        <w:trPr>
          <w:trHeight w:val="27"/>
        </w:trPr>
        <w:tc>
          <w:tcPr>
            <w:tcW w:w="448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24,694</w:t>
            </w:r>
          </w:p>
        </w:tc>
        <w:tc>
          <w:tcPr>
            <w:tcW w:w="4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17,693</w:t>
            </w:r>
          </w:p>
        </w:tc>
        <w:tc>
          <w:tcPr>
            <w:tcW w:w="4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121,918</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125,055</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(3,728)</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(3,110)</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(7,778)</w:t>
            </w:r>
          </w:p>
        </w:tc>
        <w:tc>
          <w:tcPr>
            <w:tcW w:w="4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(6,664)</w:t>
            </w:r>
          </w:p>
        </w:tc>
      </w:tr>
      <w:tr>
        <w:trPr>
          <w:trHeight w:val="27"/>
        </w:trPr>
        <w:tc>
          <w:tcPr>
            <w:tcW w:w="448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4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20,966</w:t>
            </w:r>
          </w:p>
        </w:tc>
        <w:tc>
          <w:tcPr>
            <w:tcW w:w="40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14,583</w:t>
            </w:r>
          </w:p>
        </w:tc>
        <w:tc>
          <w:tcPr>
            <w:tcW w:w="42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114,140</w:t>
            </w:r>
          </w:p>
        </w:tc>
        <w:tc>
          <w:tcPr>
            <w:tcW w:w="42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118,391</w:t>
            </w:r>
          </w:p>
        </w:tc>
      </w:tr>
      <w:tr>
        <w:trPr>
          <w:trHeight w:val="20"/>
        </w:trPr>
        <w:tc>
          <w:tcPr>
            <w:tcW w:w="4480" w:type="dxa"/>
            <w:vAlign w:val="bottom"/>
            <w:tcBorders>
              <w:top w:val="single" w:sz="8" w:color="CEFFE7"/>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40" w:hanging="332"/>
        <w:spacing w:after="0" w:line="257" w:lineRule="auto"/>
        <w:tabs>
          <w:tab w:leader="none" w:pos="227"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operating income recognizes intersegment revenues and costs for Colorado Electric’s PPA with Black Hills Colorado IPP on an accrual basis rather than as a finance lease. This presentation of segment information does not impact consolidated financial results.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Segment and Corporate and Other balances included in the accompanying Condensed Consolidated Balance Sheets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Total assets (net of inter-company eliminations) as of:</w:t>
            </w:r>
          </w:p>
        </w:tc>
        <w:tc>
          <w:tcPr>
            <w:tcW w:w="280" w:type="dxa"/>
            <w:vAlign w:val="bottom"/>
          </w:tcPr>
          <w:p>
            <w:pPr>
              <w:spacing w:after="0"/>
              <w:rPr>
                <w:sz w:val="20"/>
                <w:szCs w:val="20"/>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color w:val="auto"/>
              </w:rPr>
              <w:t>June 30, 2020</w:t>
            </w:r>
          </w:p>
        </w:tc>
        <w:tc>
          <w:tcPr>
            <w:tcW w:w="32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2019</w:t>
            </w:r>
          </w:p>
        </w:tc>
      </w:tr>
      <w:tr>
        <w:trPr>
          <w:trHeight w:val="27"/>
        </w:trPr>
        <w:tc>
          <w:tcPr>
            <w:tcW w:w="7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Segment:</w:t>
            </w:r>
          </w:p>
        </w:tc>
        <w:tc>
          <w:tcPr>
            <w:tcW w:w="28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r>
      <w:tr>
        <w:trPr>
          <w:trHeight w:val="243"/>
        </w:trPr>
        <w:tc>
          <w:tcPr>
            <w:tcW w:w="7140" w:type="dxa"/>
            <w:vAlign w:val="bottom"/>
          </w:tcPr>
          <w:p>
            <w:pPr>
              <w:ind w:left="100"/>
              <w:spacing w:after="0"/>
              <w:rPr>
                <w:sz w:val="20"/>
                <w:szCs w:val="20"/>
                <w:color w:val="auto"/>
              </w:rPr>
            </w:pPr>
            <w:r>
              <w:rPr>
                <w:rFonts w:ascii="Arial" w:cs="Arial" w:eastAsia="Arial" w:hAnsi="Arial"/>
                <w:sz w:val="18"/>
                <w:szCs w:val="18"/>
                <w:color w:val="auto"/>
              </w:rPr>
              <w:t>Electric Utilities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2,982,841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2,900,983</w:t>
            </w:r>
          </w:p>
        </w:tc>
      </w:tr>
      <w:tr>
        <w:trPr>
          <w:trHeight w:val="27"/>
        </w:trPr>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4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Gas Utilities</w:t>
            </w:r>
          </w:p>
        </w:tc>
        <w:tc>
          <w:tcPr>
            <w:tcW w:w="28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4,052,860</w:t>
            </w:r>
          </w:p>
        </w:tc>
        <w:tc>
          <w:tcPr>
            <w:tcW w:w="32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4,032,339</w:t>
            </w:r>
          </w:p>
        </w:tc>
      </w:tr>
      <w:tr>
        <w:trPr>
          <w:trHeight w:val="243"/>
        </w:trPr>
        <w:tc>
          <w:tcPr>
            <w:tcW w:w="7140" w:type="dxa"/>
            <w:vAlign w:val="bottom"/>
          </w:tcPr>
          <w:p>
            <w:pPr>
              <w:ind w:left="100"/>
              <w:spacing w:after="0"/>
              <w:rPr>
                <w:sz w:val="20"/>
                <w:szCs w:val="20"/>
                <w:color w:val="auto"/>
              </w:rPr>
            </w:pPr>
            <w:r>
              <w:rPr>
                <w:rFonts w:ascii="Arial" w:cs="Arial" w:eastAsia="Arial" w:hAnsi="Arial"/>
                <w:sz w:val="18"/>
                <w:szCs w:val="18"/>
                <w:color w:val="auto"/>
              </w:rPr>
              <w:t>Power Generation</w:t>
            </w:r>
          </w:p>
        </w:tc>
        <w:tc>
          <w:tcPr>
            <w:tcW w:w="28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407,107</w:t>
            </w:r>
          </w:p>
        </w:tc>
        <w:tc>
          <w:tcPr>
            <w:tcW w:w="3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417,715</w:t>
            </w:r>
          </w:p>
        </w:tc>
      </w:tr>
      <w:tr>
        <w:trPr>
          <w:trHeight w:val="27"/>
        </w:trPr>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4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Mining</w:t>
            </w:r>
          </w:p>
        </w:tc>
        <w:tc>
          <w:tcPr>
            <w:tcW w:w="28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79,774</w:t>
            </w:r>
          </w:p>
        </w:tc>
        <w:tc>
          <w:tcPr>
            <w:tcW w:w="32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77,175</w:t>
            </w:r>
          </w:p>
        </w:tc>
      </w:tr>
      <w:tr>
        <w:trPr>
          <w:trHeight w:val="243"/>
        </w:trPr>
        <w:tc>
          <w:tcPr>
            <w:tcW w:w="7140" w:type="dxa"/>
            <w:vAlign w:val="bottom"/>
          </w:tcPr>
          <w:p>
            <w:pPr>
              <w:ind w:left="10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167,350</w:t>
            </w:r>
          </w:p>
        </w:tc>
        <w:tc>
          <w:tcPr>
            <w:tcW w:w="3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130,245</w:t>
            </w:r>
          </w:p>
        </w:tc>
      </w:tr>
      <w:tr>
        <w:trPr>
          <w:trHeight w:val="27"/>
        </w:trPr>
        <w:tc>
          <w:tcPr>
            <w:tcW w:w="71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71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7,689,932</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7,558,457</w:t>
            </w:r>
          </w:p>
        </w:tc>
      </w:tr>
      <w:tr>
        <w:trPr>
          <w:trHeight w:val="20"/>
        </w:trPr>
        <w:tc>
          <w:tcPr>
            <w:tcW w:w="714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66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78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Selected Balance Sheet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Accounts receivable, net included in the accompanying Condensed Consolidated Balance Sheets (in thousands)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Borders>
              <w:bottom w:val="single" w:sz="8" w:color="CEFFE7"/>
            </w:tcBorders>
          </w:tcPr>
          <w:p>
            <w:pPr>
              <w:spacing w:after="0"/>
              <w:rPr>
                <w:sz w:val="2"/>
                <w:szCs w:val="2"/>
                <w:color w:val="auto"/>
              </w:rPr>
            </w:pPr>
          </w:p>
        </w:tc>
        <w:tc>
          <w:tcPr>
            <w:tcW w:w="32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9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Accounts receivable, trade</w:t>
            </w:r>
          </w:p>
        </w:tc>
        <w:tc>
          <w:tcPr>
            <w:tcW w:w="3480" w:type="dxa"/>
            <w:vAlign w:val="bottom"/>
            <w:tcBorders>
              <w:bottom w:val="single" w:sz="8" w:color="CEFFE7"/>
            </w:tcBorders>
            <w:gridSpan w:val="2"/>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122,650</w:t>
            </w:r>
          </w:p>
        </w:tc>
        <w:tc>
          <w:tcPr>
            <w:tcW w:w="1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144,747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Unbilled revenue</w:t>
            </w:r>
          </w:p>
        </w:tc>
        <w:tc>
          <w:tcPr>
            <w:tcW w:w="3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55,915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113,502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Less: Allowance for credit losses</w:t>
            </w:r>
          </w:p>
        </w:tc>
        <w:tc>
          <w:tcPr>
            <w:tcW w:w="320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(7,585)</w:t>
            </w:r>
          </w:p>
        </w:tc>
        <w:tc>
          <w:tcPr>
            <w:tcW w:w="12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1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170,980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255,805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0" w:type="dxa"/>
            <w:vAlign w:val="bottom"/>
            <w:vMerge w:val="restart"/>
          </w:tcPr>
          <w:p>
            <w:pPr>
              <w:jc w:val="right"/>
              <w:ind w:right="1370"/>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Changes to allowance for credit losses for the six months ended June 30, 2020 and 2019, respectively, were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w w:val="99"/>
              </w:rPr>
              <w:t>Balance at Beginning</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Additions Charged to</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Recoveries and Other</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Write-offs and Other</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of Year</w:t>
            </w:r>
          </w:p>
        </w:tc>
        <w:tc>
          <w:tcPr>
            <w:tcW w:w="18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4"/>
              </w:rPr>
              <w:t>Costs and Expenses</w:t>
            </w:r>
          </w:p>
        </w:tc>
        <w:tc>
          <w:tcPr>
            <w:tcW w:w="36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20"/>
                <w:szCs w:val="20"/>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w w:val="87"/>
              </w:rPr>
              <w:t>Balance at June 30,</w:t>
            </w:r>
          </w:p>
        </w:tc>
      </w:tr>
      <w:tr>
        <w:trPr>
          <w:trHeight w:val="27"/>
        </w:trPr>
        <w:tc>
          <w:tcPr>
            <w:tcW w:w="2460" w:type="dxa"/>
            <w:vAlign w:val="bottom"/>
            <w:tcBorders>
              <w:bottom w:val="single" w:sz="8" w:color="CEFEE7"/>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2460" w:type="dxa"/>
            <w:vAlign w:val="bottom"/>
            <w:tcBorders>
              <w:bottom w:val="single" w:sz="8" w:color="CEFEE7"/>
            </w:tcBorders>
            <w:shd w:val="clear" w:color="auto" w:fill="CEFEE7"/>
          </w:tcPr>
          <w:p>
            <w:pPr>
              <w:jc w:val="right"/>
              <w:ind w:right="1990"/>
              <w:spacing w:after="0"/>
              <w:rPr>
                <w:sz w:val="20"/>
                <w:szCs w:val="20"/>
                <w:color w:val="auto"/>
              </w:rPr>
            </w:pPr>
            <w:r>
              <w:rPr>
                <w:rFonts w:ascii="Arial" w:cs="Arial" w:eastAsia="Arial" w:hAnsi="Arial"/>
                <w:sz w:val="18"/>
                <w:szCs w:val="18"/>
                <w:color w:val="auto"/>
                <w:w w:val="89"/>
              </w:rPr>
              <w:t>2020</w:t>
            </w:r>
          </w:p>
        </w:tc>
        <w:tc>
          <w:tcPr>
            <w:tcW w:w="440" w:type="dxa"/>
            <w:vAlign w:val="bottom"/>
            <w:tcBorders>
              <w:bottom w:val="single" w:sz="8" w:color="CEFEE7"/>
            </w:tcBorders>
            <w:shd w:val="clear" w:color="auto" w:fill="CEFEE7"/>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EE7"/>
            </w:tcBorders>
            <w:shd w:val="clear" w:color="auto" w:fill="CEFEE7"/>
          </w:tcPr>
          <w:p>
            <w:pPr>
              <w:jc w:val="right"/>
              <w:ind w:right="110"/>
              <w:spacing w:after="0"/>
              <w:rPr>
                <w:sz w:val="20"/>
                <w:szCs w:val="20"/>
                <w:color w:val="auto"/>
              </w:rPr>
            </w:pPr>
            <w:r>
              <w:rPr>
                <w:rFonts w:ascii="Arial" w:cs="Arial" w:eastAsia="Arial" w:hAnsi="Arial"/>
                <w:sz w:val="18"/>
                <w:szCs w:val="18"/>
                <w:color w:val="auto"/>
              </w:rPr>
              <w:t>2,444</w:t>
            </w:r>
          </w:p>
        </w:tc>
        <w:tc>
          <w:tcPr>
            <w:tcW w:w="18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EE7"/>
            </w:tcBorders>
            <w:shd w:val="clear" w:color="auto" w:fill="CEFEE7"/>
          </w:tcPr>
          <w:p>
            <w:pPr>
              <w:jc w:val="right"/>
              <w:ind w:right="110"/>
              <w:spacing w:after="0"/>
              <w:rPr>
                <w:sz w:val="20"/>
                <w:szCs w:val="20"/>
                <w:color w:val="auto"/>
              </w:rPr>
            </w:pPr>
            <w:r>
              <w:rPr>
                <w:rFonts w:ascii="Arial" w:cs="Arial" w:eastAsia="Arial" w:hAnsi="Arial"/>
                <w:sz w:val="18"/>
                <w:szCs w:val="18"/>
                <w:color w:val="auto"/>
              </w:rPr>
              <w:t>6,715</w:t>
            </w:r>
          </w:p>
        </w:tc>
        <w:tc>
          <w:tcPr>
            <w:tcW w:w="360" w:type="dxa"/>
            <w:vAlign w:val="bottom"/>
            <w:tcBorders>
              <w:bottom w:val="single" w:sz="8" w:color="CEFEE7"/>
            </w:tcBorders>
            <w:shd w:val="clear" w:color="auto" w:fill="CEFEE7"/>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EFEE7"/>
            </w:tcBorders>
            <w:shd w:val="clear" w:color="auto" w:fill="CEFEE7"/>
          </w:tcPr>
          <w:p>
            <w:pPr>
              <w:jc w:val="right"/>
              <w:ind w:right="110"/>
              <w:spacing w:after="0"/>
              <w:rPr>
                <w:sz w:val="20"/>
                <w:szCs w:val="20"/>
                <w:color w:val="auto"/>
              </w:rPr>
            </w:pPr>
            <w:r>
              <w:rPr>
                <w:rFonts w:ascii="Arial" w:cs="Arial" w:eastAsia="Arial" w:hAnsi="Arial"/>
                <w:sz w:val="18"/>
                <w:szCs w:val="18"/>
                <w:color w:val="auto"/>
              </w:rPr>
              <w:t>2,203</w:t>
            </w:r>
          </w:p>
        </w:tc>
        <w:tc>
          <w:tcPr>
            <w:tcW w:w="320" w:type="dxa"/>
            <w:vAlign w:val="bottom"/>
            <w:tcBorders>
              <w:bottom w:val="single" w:sz="8" w:color="CEFEE7"/>
            </w:tcBorders>
            <w:shd w:val="clear" w:color="auto" w:fill="CEFEE7"/>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EFEE7"/>
            </w:tcBorders>
            <w:shd w:val="clear" w:color="auto" w:fill="CEFEE7"/>
          </w:tcPr>
          <w:p>
            <w:pPr>
              <w:jc w:val="right"/>
              <w:ind w:right="50"/>
              <w:spacing w:after="0"/>
              <w:rPr>
                <w:sz w:val="20"/>
                <w:szCs w:val="20"/>
                <w:color w:val="auto"/>
              </w:rPr>
            </w:pPr>
            <w:r>
              <w:rPr>
                <w:rFonts w:ascii="Arial" w:cs="Arial" w:eastAsia="Arial" w:hAnsi="Arial"/>
                <w:sz w:val="18"/>
                <w:szCs w:val="18"/>
                <w:color w:val="auto"/>
              </w:rPr>
              <w:t>(3,777)</w:t>
            </w:r>
          </w:p>
        </w:tc>
        <w:tc>
          <w:tcPr>
            <w:tcW w:w="18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EFEE7"/>
            </w:tcBorders>
            <w:shd w:val="clear" w:color="auto" w:fill="CEFEE7"/>
          </w:tcPr>
          <w:p>
            <w:pPr>
              <w:jc w:val="right"/>
              <w:ind w:right="70"/>
              <w:spacing w:after="0"/>
              <w:rPr>
                <w:sz w:val="20"/>
                <w:szCs w:val="20"/>
                <w:color w:val="auto"/>
              </w:rPr>
            </w:pPr>
            <w:r>
              <w:rPr>
                <w:rFonts w:ascii="Arial" w:cs="Arial" w:eastAsia="Arial" w:hAnsi="Arial"/>
                <w:sz w:val="18"/>
                <w:szCs w:val="18"/>
                <w:color w:val="auto"/>
              </w:rPr>
              <w:t>7,585</w:t>
            </w:r>
          </w:p>
        </w:tc>
      </w:tr>
      <w:tr>
        <w:trPr>
          <w:trHeight w:val="243"/>
        </w:trPr>
        <w:tc>
          <w:tcPr>
            <w:tcW w:w="2460" w:type="dxa"/>
            <w:vAlign w:val="bottom"/>
          </w:tcPr>
          <w:p>
            <w:pPr>
              <w:jc w:val="right"/>
              <w:ind w:right="1990"/>
              <w:spacing w:after="0"/>
              <w:rPr>
                <w:sz w:val="20"/>
                <w:szCs w:val="20"/>
                <w:color w:val="auto"/>
              </w:rPr>
            </w:pPr>
            <w:r>
              <w:rPr>
                <w:rFonts w:ascii="Arial" w:cs="Arial" w:eastAsia="Arial" w:hAnsi="Arial"/>
                <w:sz w:val="18"/>
                <w:szCs w:val="18"/>
                <w:color w:val="auto"/>
                <w:w w:val="89"/>
              </w:rPr>
              <w:t>2019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3,209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4,913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1,870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(4,906)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5,086</w:t>
            </w:r>
          </w:p>
        </w:tc>
      </w:tr>
    </w:tbl>
    <w:p>
      <w:pPr>
        <w:spacing w:after="0" w:line="25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Due to the COVID-19 pandemic, all of our jurisdictions temporarily suspended disconnections for a period of time, which increased our accounts receivable arrears balances. As a result, we increased our allowance for credit losses and bad debt expense for the six months ended June 30, 2020 by $2.0 million.</w:t>
      </w:r>
    </w:p>
    <w:p>
      <w:pPr>
        <w:spacing w:after="0" w:line="21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ongoing credit evaluation of our customers during the COVID-19 pandemic is further discussed in the Credit Risk section of </w:t>
      </w:r>
      <w:hyperlink w:anchor="page24">
        <w:r>
          <w:rPr>
            <w:rFonts w:ascii="Arial" w:cs="Arial" w:eastAsia="Arial" w:hAnsi="Arial"/>
            <w:sz w:val="18"/>
            <w:szCs w:val="18"/>
            <w:u w:val="single" w:color="auto"/>
            <w:color w:val="0000FF"/>
          </w:rPr>
          <w:t>Note 9</w:t>
        </w:r>
      </w:hyperlink>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Materials, Supplies and Fuel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on the accompanying Condensed Consolidated Balance Sheets (in thousands) as of:</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color w:val="auto"/>
              </w:rPr>
              <w:t>June 30, 2020</w:t>
            </w:r>
          </w:p>
        </w:tc>
        <w:tc>
          <w:tcPr>
            <w:tcW w:w="32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2019</w:t>
            </w:r>
          </w:p>
        </w:tc>
      </w:tr>
      <w:tr>
        <w:trPr>
          <w:trHeight w:val="27"/>
        </w:trPr>
        <w:tc>
          <w:tcPr>
            <w:tcW w:w="71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Materials and supplies</w:t>
            </w:r>
          </w:p>
        </w:tc>
        <w:tc>
          <w:tcPr>
            <w:tcW w:w="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92,284</w:t>
            </w:r>
          </w:p>
        </w:tc>
        <w:tc>
          <w:tcPr>
            <w:tcW w:w="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82,809</w:t>
            </w: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Fuel - Electric Utilities</w:t>
            </w:r>
          </w:p>
        </w:tc>
        <w:tc>
          <w:tcPr>
            <w:tcW w:w="28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3,574</w:t>
            </w:r>
          </w:p>
        </w:tc>
        <w:tc>
          <w:tcPr>
            <w:tcW w:w="3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2,425</w:t>
            </w:r>
          </w:p>
        </w:tc>
      </w:tr>
      <w:tr>
        <w:trPr>
          <w:trHeight w:val="27"/>
        </w:trPr>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4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Natural gas in storage</w:t>
            </w:r>
          </w:p>
        </w:tc>
        <w:tc>
          <w:tcPr>
            <w:tcW w:w="280" w:type="dxa"/>
            <w:vAlign w:val="bottom"/>
            <w:tcBorders>
              <w:bottom w:val="single" w:sz="8" w:color="CEFFE7"/>
            </w:tcBorders>
            <w:shd w:val="clear" w:color="auto" w:fill="CEFFE7"/>
          </w:tcPr>
          <w:p>
            <w:pPr>
              <w:spacing w:after="0"/>
              <w:rPr>
                <w:sz w:val="23"/>
                <w:szCs w:val="23"/>
                <w:color w:val="auto"/>
              </w:rPr>
            </w:pPr>
          </w:p>
        </w:tc>
        <w:tc>
          <w:tcPr>
            <w:tcW w:w="16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10,129</w:t>
            </w:r>
          </w:p>
        </w:tc>
        <w:tc>
          <w:tcPr>
            <w:tcW w:w="320" w:type="dxa"/>
            <w:vAlign w:val="bottom"/>
            <w:tcBorders>
              <w:bottom w:val="single" w:sz="8" w:color="CEFFE7"/>
            </w:tcBorders>
            <w:shd w:val="clear" w:color="auto" w:fill="CEFFE7"/>
          </w:tcPr>
          <w:p>
            <w:pPr>
              <w:spacing w:after="0"/>
              <w:rPr>
                <w:sz w:val="23"/>
                <w:szCs w:val="23"/>
                <w:color w:val="auto"/>
              </w:rPr>
            </w:pPr>
          </w:p>
        </w:tc>
        <w:tc>
          <w:tcPr>
            <w:tcW w:w="1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31,938</w:t>
            </w:r>
          </w:p>
        </w:tc>
      </w:tr>
      <w:tr>
        <w:trPr>
          <w:trHeight w:val="264"/>
        </w:trPr>
        <w:tc>
          <w:tcPr>
            <w:tcW w:w="7140" w:type="dxa"/>
            <w:vAlign w:val="bottom"/>
          </w:tcPr>
          <w:p>
            <w:pPr>
              <w:ind w:left="200"/>
              <w:spacing w:after="0"/>
              <w:rPr>
                <w:sz w:val="20"/>
                <w:szCs w:val="20"/>
                <w:color w:val="auto"/>
              </w:rPr>
            </w:pPr>
            <w:r>
              <w:rPr>
                <w:rFonts w:ascii="Arial" w:cs="Arial" w:eastAsia="Arial" w:hAnsi="Arial"/>
                <w:sz w:val="18"/>
                <w:szCs w:val="18"/>
                <w:color w:val="auto"/>
              </w:rPr>
              <w:t>Total materials, supplies and fuel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105,987</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117,172</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Accrued Liabilities</w:t>
      </w:r>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on the accompanying Condensed Consolidated Balance Sheets (in thousands) as of:</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June 30, 2020</w:t>
            </w:r>
          </w:p>
        </w:tc>
        <w:tc>
          <w:tcPr>
            <w:tcW w:w="26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2019</w:t>
            </w:r>
          </w:p>
        </w:tc>
      </w:tr>
      <w:tr>
        <w:trPr>
          <w:trHeight w:val="27"/>
        </w:trPr>
        <w:tc>
          <w:tcPr>
            <w:tcW w:w="72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Accrued employee compensation, benefits and withholdings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59,701</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62,837</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Accrued property taxes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36,832</w:t>
            </w:r>
          </w:p>
        </w:tc>
        <w:tc>
          <w:tcPr>
            <w:tcW w:w="26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44,547</w:t>
            </w:r>
          </w:p>
        </w:tc>
      </w:tr>
      <w:tr>
        <w:trPr>
          <w:trHeight w:val="27"/>
        </w:trPr>
        <w:tc>
          <w:tcPr>
            <w:tcW w:w="7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Customer deposits and prepayments</w:t>
            </w:r>
          </w:p>
        </w:tc>
        <w:tc>
          <w:tcPr>
            <w:tcW w:w="300" w:type="dxa"/>
            <w:vAlign w:val="bottom"/>
            <w:tcBorders>
              <w:bottom w:val="single" w:sz="8" w:color="CEFFE7"/>
            </w:tcBorders>
            <w:shd w:val="clear" w:color="auto" w:fill="CEFFE7"/>
          </w:tcPr>
          <w:p>
            <w:pPr>
              <w:spacing w:after="0"/>
              <w:rPr>
                <w:sz w:val="21"/>
                <w:szCs w:val="21"/>
                <w:color w:val="auto"/>
              </w:rPr>
            </w:pPr>
          </w:p>
        </w:tc>
        <w:tc>
          <w:tcPr>
            <w:tcW w:w="1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45,143</w:t>
            </w:r>
          </w:p>
        </w:tc>
        <w:tc>
          <w:tcPr>
            <w:tcW w:w="26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54,728</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31,757</w:t>
            </w:r>
          </w:p>
        </w:tc>
        <w:tc>
          <w:tcPr>
            <w:tcW w:w="26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31,868</w:t>
            </w:r>
          </w:p>
        </w:tc>
      </w:tr>
      <w:tr>
        <w:trPr>
          <w:trHeight w:val="27"/>
        </w:trPr>
        <w:tc>
          <w:tcPr>
            <w:tcW w:w="7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(none of which is individually significant)</w:t>
            </w:r>
          </w:p>
        </w:tc>
        <w:tc>
          <w:tcPr>
            <w:tcW w:w="300" w:type="dxa"/>
            <w:vAlign w:val="bottom"/>
            <w:tcBorders>
              <w:bottom w:val="single" w:sz="8" w:color="CEFFE7"/>
            </w:tcBorders>
            <w:shd w:val="clear" w:color="auto" w:fill="CEFFE7"/>
          </w:tcPr>
          <w:p>
            <w:pPr>
              <w:spacing w:after="0"/>
              <w:rPr>
                <w:sz w:val="23"/>
                <w:szCs w:val="23"/>
                <w:color w:val="auto"/>
              </w:rPr>
            </w:pPr>
          </w:p>
        </w:tc>
        <w:tc>
          <w:tcPr>
            <w:tcW w:w="1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28,234</w:t>
            </w:r>
          </w:p>
        </w:tc>
        <w:tc>
          <w:tcPr>
            <w:tcW w:w="260" w:type="dxa"/>
            <w:vAlign w:val="bottom"/>
            <w:tcBorders>
              <w:bottom w:val="single" w:sz="8" w:color="CEFFE7"/>
            </w:tcBorders>
            <w:shd w:val="clear" w:color="auto" w:fill="CEFFE7"/>
          </w:tcPr>
          <w:p>
            <w:pPr>
              <w:spacing w:after="0"/>
              <w:rPr>
                <w:sz w:val="23"/>
                <w:szCs w:val="23"/>
                <w:color w:val="auto"/>
              </w:rPr>
            </w:pPr>
          </w:p>
        </w:tc>
        <w:tc>
          <w:tcPr>
            <w:tcW w:w="17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32,787</w:t>
            </w:r>
          </w:p>
        </w:tc>
      </w:tr>
      <w:tr>
        <w:trPr>
          <w:trHeight w:val="263"/>
        </w:trPr>
        <w:tc>
          <w:tcPr>
            <w:tcW w:w="726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201,667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226,767</w:t>
            </w:r>
          </w:p>
        </w:tc>
      </w:tr>
      <w:tr>
        <w:trPr>
          <w:trHeight w:val="21"/>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(5) Regulatory Matters</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280" w:type="dxa"/>
            <w:vAlign w:val="bottom"/>
          </w:tcPr>
          <w:p>
            <w:pPr>
              <w:spacing w:after="0"/>
              <w:rPr>
                <w:sz w:val="20"/>
                <w:szCs w:val="20"/>
                <w:color w:val="auto"/>
              </w:rPr>
            </w:pPr>
            <w:r>
              <w:rPr>
                <w:rFonts w:ascii="Arial" w:cs="Arial" w:eastAsia="Arial" w:hAnsi="Arial"/>
                <w:sz w:val="18"/>
                <w:szCs w:val="18"/>
                <w:color w:val="auto"/>
              </w:rPr>
              <w:t>We had the following regulatory assets and liabilities (in thousands) as of:</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June 30, 2020</w:t>
            </w:r>
          </w:p>
        </w:tc>
        <w:tc>
          <w:tcPr>
            <w:tcW w:w="240" w:type="dxa"/>
            <w:vAlign w:val="bottom"/>
          </w:tcPr>
          <w:p>
            <w:pPr>
              <w:spacing w:after="0"/>
              <w:rPr>
                <w:sz w:val="24"/>
                <w:szCs w:val="24"/>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2019</w:t>
            </w:r>
          </w:p>
        </w:tc>
        <w:tc>
          <w:tcPr>
            <w:tcW w:w="0" w:type="dxa"/>
            <w:vAlign w:val="bottom"/>
          </w:tcPr>
          <w:p>
            <w:pPr>
              <w:spacing w:after="0"/>
              <w:rPr>
                <w:sz w:val="1"/>
                <w:szCs w:val="1"/>
                <w:color w:val="auto"/>
              </w:rPr>
            </w:pPr>
          </w:p>
        </w:tc>
      </w:tr>
      <w:tr>
        <w:trPr>
          <w:trHeight w:val="27"/>
        </w:trPr>
        <w:tc>
          <w:tcPr>
            <w:tcW w:w="7280" w:type="dxa"/>
            <w:vAlign w:val="bottom"/>
            <w:vMerge w:val="restart"/>
          </w:tcPr>
          <w:p>
            <w:pPr>
              <w:ind w:left="20"/>
              <w:spacing w:after="0"/>
              <w:rPr>
                <w:sz w:val="20"/>
                <w:szCs w:val="20"/>
                <w:color w:val="auto"/>
              </w:rPr>
            </w:pPr>
            <w:r>
              <w:rPr>
                <w:rFonts w:ascii="Arial" w:cs="Arial" w:eastAsia="Arial" w:hAnsi="Arial"/>
                <w:sz w:val="18"/>
                <w:szCs w:val="18"/>
                <w:color w:val="auto"/>
              </w:rPr>
              <w:t>Regulatory assets</w:t>
            </w: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shd w:val="clear" w:color="auto" w:fill="CEFFE7"/>
          </w:tcPr>
          <w:p>
            <w:pPr>
              <w:ind w:left="140"/>
              <w:spacing w:after="0"/>
              <w:rPr>
                <w:sz w:val="20"/>
                <w:szCs w:val="20"/>
                <w:color w:val="auto"/>
              </w:rPr>
            </w:pPr>
            <w:r>
              <w:rPr>
                <w:rFonts w:ascii="Arial" w:cs="Arial" w:eastAsia="Arial" w:hAnsi="Arial"/>
                <w:sz w:val="18"/>
                <w:szCs w:val="18"/>
                <w:color w:val="auto"/>
              </w:rPr>
              <w:t xml:space="preserve">Deferred energy and fuel cost adjustments </w:t>
            </w:r>
            <w:r>
              <w:rPr>
                <w:rFonts w:ascii="Arial" w:cs="Arial" w:eastAsia="Arial" w:hAnsi="Arial"/>
                <w:sz w:val="23"/>
                <w:szCs w:val="23"/>
                <w:color w:val="auto"/>
                <w:vertAlign w:val="superscript"/>
              </w:rPr>
              <w:t>(a)</w:t>
            </w:r>
          </w:p>
        </w:tc>
        <w:tc>
          <w:tcPr>
            <w:tcW w:w="2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36,900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34,088</w:t>
            </w:r>
          </w:p>
        </w:tc>
        <w:tc>
          <w:tcPr>
            <w:tcW w:w="0" w:type="dxa"/>
            <w:vAlign w:val="bottom"/>
          </w:tcPr>
          <w:p>
            <w:pPr>
              <w:spacing w:after="0"/>
              <w:rPr>
                <w:sz w:val="1"/>
                <w:szCs w:val="1"/>
                <w:color w:val="auto"/>
              </w:rPr>
            </w:pPr>
          </w:p>
        </w:tc>
      </w:tr>
      <w:tr>
        <w:trPr>
          <w:trHeight w:val="270"/>
        </w:trPr>
        <w:tc>
          <w:tcPr>
            <w:tcW w:w="7280" w:type="dxa"/>
            <w:vAlign w:val="bottom"/>
          </w:tcPr>
          <w:p>
            <w:pPr>
              <w:ind w:left="140"/>
              <w:spacing w:after="0"/>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3"/>
                <w:szCs w:val="23"/>
                <w:color w:val="auto"/>
                <w:vertAlign w:val="superscript"/>
              </w:rPr>
              <w:t>(a)</w:t>
            </w:r>
          </w:p>
        </w:tc>
        <w:tc>
          <w:tcPr>
            <w:tcW w:w="28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23"/>
                <w:szCs w:val="23"/>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70"/>
        </w:trPr>
        <w:tc>
          <w:tcPr>
            <w:tcW w:w="7280" w:type="dxa"/>
            <w:vAlign w:val="bottom"/>
            <w:shd w:val="clear" w:color="auto" w:fill="CEFFE7"/>
          </w:tcPr>
          <w:p>
            <w:pPr>
              <w:ind w:left="140"/>
              <w:spacing w:after="0"/>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3"/>
                <w:szCs w:val="23"/>
                <w:color w:val="auto"/>
                <w:vertAlign w:val="superscript"/>
              </w:rPr>
              <w:t>(a)</w:t>
            </w:r>
          </w:p>
        </w:tc>
        <w:tc>
          <w:tcPr>
            <w:tcW w:w="280" w:type="dxa"/>
            <w:vAlign w:val="bottom"/>
            <w:shd w:val="clear" w:color="auto" w:fill="CEFFE7"/>
          </w:tcPr>
          <w:p>
            <w:pPr>
              <w:spacing w:after="0"/>
              <w:rPr>
                <w:sz w:val="23"/>
                <w:szCs w:val="23"/>
                <w:color w:val="auto"/>
              </w:rPr>
            </w:pPr>
          </w:p>
        </w:tc>
        <w:tc>
          <w:tcPr>
            <w:tcW w:w="16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EFFE7"/>
          </w:tcPr>
          <w:p>
            <w:pPr>
              <w:spacing w:after="0"/>
              <w:rPr>
                <w:sz w:val="23"/>
                <w:szCs w:val="23"/>
                <w:color w:val="auto"/>
              </w:rPr>
            </w:pPr>
          </w:p>
        </w:tc>
        <w:tc>
          <w:tcPr>
            <w:tcW w:w="17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70"/>
        </w:trPr>
        <w:tc>
          <w:tcPr>
            <w:tcW w:w="7280" w:type="dxa"/>
            <w:vAlign w:val="bottom"/>
          </w:tcPr>
          <w:p>
            <w:pPr>
              <w:ind w:left="140"/>
              <w:spacing w:after="0"/>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7,715</w:t>
            </w:r>
          </w:p>
        </w:tc>
        <w:tc>
          <w:tcPr>
            <w:tcW w:w="240" w:type="dxa"/>
            <w:vAlign w:val="bottom"/>
          </w:tcPr>
          <w:p>
            <w:pPr>
              <w:spacing w:after="0"/>
              <w:rPr>
                <w:sz w:val="23"/>
                <w:szCs w:val="23"/>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70"/>
        </w:trPr>
        <w:tc>
          <w:tcPr>
            <w:tcW w:w="7280" w:type="dxa"/>
            <w:vAlign w:val="bottom"/>
            <w:shd w:val="clear" w:color="auto" w:fill="CEFFE7"/>
          </w:tcPr>
          <w:p>
            <w:pPr>
              <w:ind w:left="140"/>
              <w:spacing w:after="0"/>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3"/>
                <w:szCs w:val="23"/>
                <w:color w:val="auto"/>
                <w:vertAlign w:val="superscript"/>
              </w:rPr>
              <w:t>(c)</w:t>
            </w:r>
          </w:p>
        </w:tc>
        <w:tc>
          <w:tcPr>
            <w:tcW w:w="280" w:type="dxa"/>
            <w:vAlign w:val="bottom"/>
            <w:shd w:val="clear" w:color="auto" w:fill="CEFFE7"/>
          </w:tcPr>
          <w:p>
            <w:pPr>
              <w:spacing w:after="0"/>
              <w:rPr>
                <w:sz w:val="23"/>
                <w:szCs w:val="23"/>
                <w:color w:val="auto"/>
              </w:rPr>
            </w:pPr>
          </w:p>
        </w:tc>
        <w:tc>
          <w:tcPr>
            <w:tcW w:w="16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115,416</w:t>
            </w:r>
          </w:p>
        </w:tc>
        <w:tc>
          <w:tcPr>
            <w:tcW w:w="240" w:type="dxa"/>
            <w:vAlign w:val="bottom"/>
            <w:shd w:val="clear" w:color="auto" w:fill="CEFFE7"/>
          </w:tcPr>
          <w:p>
            <w:pPr>
              <w:spacing w:after="0"/>
              <w:rPr>
                <w:sz w:val="23"/>
                <w:szCs w:val="23"/>
                <w:color w:val="auto"/>
              </w:rPr>
            </w:pPr>
          </w:p>
        </w:tc>
        <w:tc>
          <w:tcPr>
            <w:tcW w:w="17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115,900</w:t>
            </w:r>
          </w:p>
        </w:tc>
        <w:tc>
          <w:tcPr>
            <w:tcW w:w="0" w:type="dxa"/>
            <w:vAlign w:val="bottom"/>
          </w:tcPr>
          <w:p>
            <w:pPr>
              <w:spacing w:after="0"/>
              <w:rPr>
                <w:sz w:val="1"/>
                <w:szCs w:val="1"/>
                <w:color w:val="auto"/>
              </w:rPr>
            </w:pPr>
          </w:p>
        </w:tc>
      </w:tr>
      <w:tr>
        <w:trPr>
          <w:trHeight w:val="270"/>
        </w:trPr>
        <w:tc>
          <w:tcPr>
            <w:tcW w:w="7280" w:type="dxa"/>
            <w:vAlign w:val="bottom"/>
          </w:tcPr>
          <w:p>
            <w:pPr>
              <w:ind w:left="140"/>
              <w:spacing w:after="0"/>
              <w:rPr>
                <w:sz w:val="20"/>
                <w:szCs w:val="20"/>
                <w:color w:val="auto"/>
              </w:rPr>
            </w:pPr>
            <w:r>
              <w:rPr>
                <w:rFonts w:ascii="Arial" w:cs="Arial" w:eastAsia="Arial" w:hAnsi="Arial"/>
                <w:sz w:val="18"/>
                <w:szCs w:val="18"/>
                <w:color w:val="auto"/>
              </w:rPr>
              <w:t xml:space="preserve">Environmental </w:t>
            </w:r>
            <w:r>
              <w:rPr>
                <w:rFonts w:ascii="Arial" w:cs="Arial" w:eastAsia="Arial" w:hAnsi="Arial"/>
                <w:sz w:val="23"/>
                <w:szCs w:val="23"/>
                <w:color w:val="auto"/>
                <w:vertAlign w:val="superscript"/>
              </w:rPr>
              <w:t>(a)</w:t>
            </w:r>
          </w:p>
        </w:tc>
        <w:tc>
          <w:tcPr>
            <w:tcW w:w="28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1,426</w:t>
            </w:r>
          </w:p>
        </w:tc>
        <w:tc>
          <w:tcPr>
            <w:tcW w:w="240" w:type="dxa"/>
            <w:vAlign w:val="bottom"/>
          </w:tcPr>
          <w:p>
            <w:pPr>
              <w:spacing w:after="0"/>
              <w:rPr>
                <w:sz w:val="23"/>
                <w:szCs w:val="23"/>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0"/>
        </w:trPr>
        <w:tc>
          <w:tcPr>
            <w:tcW w:w="7280" w:type="dxa"/>
            <w:vAlign w:val="bottom"/>
            <w:shd w:val="clear" w:color="auto" w:fill="CEFFE7"/>
          </w:tcPr>
          <w:p>
            <w:pPr>
              <w:ind w:left="140"/>
              <w:spacing w:after="0"/>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3"/>
                <w:szCs w:val="23"/>
                <w:color w:val="auto"/>
                <w:vertAlign w:val="superscript"/>
              </w:rPr>
              <w:t>(a)</w:t>
            </w:r>
          </w:p>
        </w:tc>
        <w:tc>
          <w:tcPr>
            <w:tcW w:w="280" w:type="dxa"/>
            <w:vAlign w:val="bottom"/>
            <w:shd w:val="clear" w:color="auto" w:fill="CEFFE7"/>
          </w:tcPr>
          <w:p>
            <w:pPr>
              <w:spacing w:after="0"/>
              <w:rPr>
                <w:sz w:val="23"/>
                <w:szCs w:val="23"/>
                <w:color w:val="auto"/>
              </w:rPr>
            </w:pPr>
          </w:p>
        </w:tc>
        <w:tc>
          <w:tcPr>
            <w:tcW w:w="16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23,820</w:t>
            </w:r>
          </w:p>
        </w:tc>
        <w:tc>
          <w:tcPr>
            <w:tcW w:w="240" w:type="dxa"/>
            <w:vAlign w:val="bottom"/>
            <w:shd w:val="clear" w:color="auto" w:fill="CEFFE7"/>
          </w:tcPr>
          <w:p>
            <w:pPr>
              <w:spacing w:after="0"/>
              <w:rPr>
                <w:sz w:val="23"/>
                <w:szCs w:val="23"/>
                <w:color w:val="auto"/>
              </w:rPr>
            </w:pPr>
          </w:p>
        </w:tc>
        <w:tc>
          <w:tcPr>
            <w:tcW w:w="17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70"/>
        </w:trPr>
        <w:tc>
          <w:tcPr>
            <w:tcW w:w="7280" w:type="dxa"/>
            <w:vAlign w:val="bottom"/>
          </w:tcPr>
          <w:p>
            <w:pPr>
              <w:ind w:left="140"/>
              <w:spacing w:after="0"/>
              <w:rPr>
                <w:sz w:val="20"/>
                <w:szCs w:val="20"/>
                <w:color w:val="auto"/>
              </w:rPr>
            </w:pPr>
            <w:r>
              <w:rPr>
                <w:rFonts w:ascii="Arial" w:cs="Arial" w:eastAsia="Arial" w:hAnsi="Arial"/>
                <w:sz w:val="18"/>
                <w:szCs w:val="18"/>
                <w:color w:val="auto"/>
              </w:rPr>
              <w:t xml:space="preserve">Renewable energy standard adjustment </w:t>
            </w:r>
            <w:r>
              <w:rPr>
                <w:rFonts w:ascii="Arial" w:cs="Arial" w:eastAsia="Arial" w:hAnsi="Arial"/>
                <w:sz w:val="23"/>
                <w:szCs w:val="23"/>
                <w:color w:val="auto"/>
                <w:vertAlign w:val="superscript"/>
              </w:rPr>
              <w:t>(a)</w:t>
            </w:r>
          </w:p>
        </w:tc>
        <w:tc>
          <w:tcPr>
            <w:tcW w:w="28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7280" w:type="dxa"/>
            <w:vAlign w:val="bottom"/>
            <w:shd w:val="clear" w:color="auto" w:fill="CEFFE7"/>
          </w:tcPr>
          <w:p>
            <w:pPr>
              <w:ind w:left="140"/>
              <w:spacing w:after="0"/>
              <w:rPr>
                <w:sz w:val="20"/>
                <w:szCs w:val="20"/>
                <w:color w:val="auto"/>
              </w:rPr>
            </w:pPr>
            <w:r>
              <w:rPr>
                <w:rFonts w:ascii="Arial" w:cs="Arial" w:eastAsia="Arial" w:hAnsi="Arial"/>
                <w:sz w:val="18"/>
                <w:szCs w:val="18"/>
                <w:color w:val="auto"/>
              </w:rPr>
              <w:t xml:space="preserve">Deferred taxes on flow through accounting </w:t>
            </w:r>
            <w:r>
              <w:rPr>
                <w:rFonts w:ascii="Arial" w:cs="Arial" w:eastAsia="Arial" w:hAnsi="Arial"/>
                <w:sz w:val="23"/>
                <w:szCs w:val="23"/>
                <w:color w:val="auto"/>
                <w:vertAlign w:val="superscript"/>
              </w:rPr>
              <w:t>(c)</w:t>
            </w:r>
          </w:p>
        </w:tc>
        <w:tc>
          <w:tcPr>
            <w:tcW w:w="280" w:type="dxa"/>
            <w:vAlign w:val="bottom"/>
            <w:shd w:val="clear" w:color="auto" w:fill="CEFFE7"/>
          </w:tcPr>
          <w:p>
            <w:pPr>
              <w:spacing w:after="0"/>
              <w:rPr>
                <w:sz w:val="23"/>
                <w:szCs w:val="23"/>
                <w:color w:val="auto"/>
              </w:rPr>
            </w:pPr>
          </w:p>
        </w:tc>
        <w:tc>
          <w:tcPr>
            <w:tcW w:w="16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44,940</w:t>
            </w:r>
          </w:p>
        </w:tc>
        <w:tc>
          <w:tcPr>
            <w:tcW w:w="240" w:type="dxa"/>
            <w:vAlign w:val="bottom"/>
            <w:shd w:val="clear" w:color="auto" w:fill="CEFFE7"/>
          </w:tcPr>
          <w:p>
            <w:pPr>
              <w:spacing w:after="0"/>
              <w:rPr>
                <w:sz w:val="23"/>
                <w:szCs w:val="23"/>
                <w:color w:val="auto"/>
              </w:rPr>
            </w:pPr>
          </w:p>
        </w:tc>
        <w:tc>
          <w:tcPr>
            <w:tcW w:w="17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41,220</w:t>
            </w:r>
          </w:p>
        </w:tc>
        <w:tc>
          <w:tcPr>
            <w:tcW w:w="0" w:type="dxa"/>
            <w:vAlign w:val="bottom"/>
          </w:tcPr>
          <w:p>
            <w:pPr>
              <w:spacing w:after="0"/>
              <w:rPr>
                <w:sz w:val="1"/>
                <w:szCs w:val="1"/>
                <w:color w:val="auto"/>
              </w:rPr>
            </w:pPr>
          </w:p>
        </w:tc>
      </w:tr>
      <w:tr>
        <w:trPr>
          <w:trHeight w:val="270"/>
        </w:trPr>
        <w:tc>
          <w:tcPr>
            <w:tcW w:w="7280" w:type="dxa"/>
            <w:vAlign w:val="bottom"/>
          </w:tcPr>
          <w:p>
            <w:pPr>
              <w:ind w:left="140"/>
              <w:spacing w:after="0"/>
              <w:rPr>
                <w:sz w:val="20"/>
                <w:szCs w:val="20"/>
                <w:color w:val="auto"/>
              </w:rPr>
            </w:pPr>
            <w:r>
              <w:rPr>
                <w:rFonts w:ascii="Arial" w:cs="Arial" w:eastAsia="Arial" w:hAnsi="Arial"/>
                <w:sz w:val="18"/>
                <w:szCs w:val="18"/>
                <w:color w:val="auto"/>
              </w:rPr>
              <w:t xml:space="preserve">Decommissioning costs </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9,854</w:t>
            </w:r>
          </w:p>
        </w:tc>
        <w:tc>
          <w:tcPr>
            <w:tcW w:w="240" w:type="dxa"/>
            <w:vAlign w:val="bottom"/>
          </w:tcPr>
          <w:p>
            <w:pPr>
              <w:spacing w:after="0"/>
              <w:rPr>
                <w:sz w:val="23"/>
                <w:szCs w:val="23"/>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70"/>
        </w:trPr>
        <w:tc>
          <w:tcPr>
            <w:tcW w:w="7280" w:type="dxa"/>
            <w:vAlign w:val="bottom"/>
            <w:shd w:val="clear" w:color="auto" w:fill="CEFFE7"/>
          </w:tcPr>
          <w:p>
            <w:pPr>
              <w:ind w:left="140"/>
              <w:spacing w:after="0"/>
              <w:rPr>
                <w:sz w:val="20"/>
                <w:szCs w:val="20"/>
                <w:color w:val="auto"/>
              </w:rPr>
            </w:pPr>
            <w:r>
              <w:rPr>
                <w:rFonts w:ascii="Arial" w:cs="Arial" w:eastAsia="Arial" w:hAnsi="Arial"/>
                <w:sz w:val="18"/>
                <w:szCs w:val="18"/>
                <w:color w:val="auto"/>
              </w:rPr>
              <w:t xml:space="preserve">Gas supply contract termination </w:t>
            </w:r>
            <w:r>
              <w:rPr>
                <w:rFonts w:ascii="Arial" w:cs="Arial" w:eastAsia="Arial" w:hAnsi="Arial"/>
                <w:sz w:val="23"/>
                <w:szCs w:val="23"/>
                <w:color w:val="auto"/>
                <w:vertAlign w:val="superscript"/>
              </w:rPr>
              <w:t>(a)</w:t>
            </w:r>
          </w:p>
        </w:tc>
        <w:tc>
          <w:tcPr>
            <w:tcW w:w="280" w:type="dxa"/>
            <w:vAlign w:val="bottom"/>
            <w:shd w:val="clear" w:color="auto" w:fill="CEFFE7"/>
          </w:tcPr>
          <w:p>
            <w:pPr>
              <w:spacing w:after="0"/>
              <w:rPr>
                <w:sz w:val="23"/>
                <w:szCs w:val="23"/>
                <w:color w:val="auto"/>
              </w:rPr>
            </w:pPr>
          </w:p>
        </w:tc>
        <w:tc>
          <w:tcPr>
            <w:tcW w:w="16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5,521</w:t>
            </w:r>
          </w:p>
        </w:tc>
        <w:tc>
          <w:tcPr>
            <w:tcW w:w="240" w:type="dxa"/>
            <w:vAlign w:val="bottom"/>
            <w:shd w:val="clear" w:color="auto" w:fill="CEFFE7"/>
          </w:tcPr>
          <w:p>
            <w:pPr>
              <w:spacing w:after="0"/>
              <w:rPr>
                <w:sz w:val="23"/>
                <w:szCs w:val="23"/>
                <w:color w:val="auto"/>
              </w:rPr>
            </w:pPr>
          </w:p>
        </w:tc>
        <w:tc>
          <w:tcPr>
            <w:tcW w:w="17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8,485</w:t>
            </w:r>
          </w:p>
        </w:tc>
        <w:tc>
          <w:tcPr>
            <w:tcW w:w="0" w:type="dxa"/>
            <w:vAlign w:val="bottom"/>
          </w:tcPr>
          <w:p>
            <w:pPr>
              <w:spacing w:after="0"/>
              <w:rPr>
                <w:sz w:val="1"/>
                <w:szCs w:val="1"/>
                <w:color w:val="auto"/>
              </w:rPr>
            </w:pPr>
          </w:p>
        </w:tc>
      </w:tr>
      <w:tr>
        <w:trPr>
          <w:trHeight w:val="270"/>
        </w:trPr>
        <w:tc>
          <w:tcPr>
            <w:tcW w:w="7280" w:type="dxa"/>
            <w:vAlign w:val="bottom"/>
            <w:tcBorders>
              <w:bottom w:val="single" w:sz="8" w:color="CEFFE7"/>
            </w:tcBorders>
          </w:tcPr>
          <w:p>
            <w:pPr>
              <w:ind w:left="140"/>
              <w:spacing w:after="0"/>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25,831</w:t>
            </w:r>
          </w:p>
        </w:tc>
        <w:tc>
          <w:tcPr>
            <w:tcW w:w="24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44"/>
        </w:trPr>
        <w:tc>
          <w:tcPr>
            <w:tcW w:w="7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regulatory assets</w:t>
            </w:r>
          </w:p>
        </w:tc>
        <w:tc>
          <w:tcPr>
            <w:tcW w:w="28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272,312</w:t>
            </w:r>
          </w:p>
        </w:tc>
        <w:tc>
          <w:tcPr>
            <w:tcW w:w="24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271,344</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Less current regulatory assets</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(51,745)</w:t>
            </w:r>
          </w:p>
        </w:tc>
        <w:tc>
          <w:tcPr>
            <w:tcW w:w="24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(43,282)</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Regulatory assets, non-current</w:t>
            </w:r>
          </w:p>
        </w:tc>
        <w:tc>
          <w:tcPr>
            <w:tcW w:w="2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220,567</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228,062</w:t>
            </w:r>
          </w:p>
        </w:tc>
        <w:tc>
          <w:tcPr>
            <w:tcW w:w="0" w:type="dxa"/>
            <w:vAlign w:val="bottom"/>
          </w:tcPr>
          <w:p>
            <w:pPr>
              <w:spacing w:after="0"/>
              <w:rPr>
                <w:sz w:val="1"/>
                <w:szCs w:val="1"/>
                <w:color w:val="auto"/>
              </w:rPr>
            </w:pPr>
          </w:p>
        </w:tc>
      </w:tr>
      <w:tr>
        <w:trPr>
          <w:trHeight w:val="20"/>
        </w:trPr>
        <w:tc>
          <w:tcPr>
            <w:tcW w:w="728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6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1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151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Regulatory liabilities</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151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Employee benefit plan costs and related deferred taxes </w:t>
      </w:r>
      <w:r>
        <w:rPr>
          <w:rFonts w:ascii="Arial" w:cs="Arial" w:eastAsia="Arial" w:hAnsi="Arial"/>
          <w:sz w:val="19"/>
          <w:szCs w:val="19"/>
          <w:color w:val="auto"/>
          <w:vertAlign w:val="superscript"/>
        </w:rPr>
        <w:t>(c)</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Cost of removal </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151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140"/>
        <w:spacing w:after="0" w:line="225" w:lineRule="auto"/>
        <w:rPr>
          <w:sz w:val="20"/>
          <w:szCs w:val="20"/>
          <w:color w:val="auto"/>
        </w:rPr>
      </w:pPr>
      <w:r>
        <w:rPr>
          <w:rFonts w:ascii="Arial" w:cs="Arial" w:eastAsia="Arial" w:hAnsi="Arial"/>
          <w:sz w:val="18"/>
          <w:szCs w:val="18"/>
          <w:color w:val="auto"/>
        </w:rPr>
        <w:t xml:space="preserve">Excess deferred income taxes </w:t>
      </w:r>
      <w:r>
        <w:rPr>
          <w:rFonts w:ascii="Arial" w:cs="Arial" w:eastAsia="Arial" w:hAnsi="Arial"/>
          <w:sz w:val="23"/>
          <w:szCs w:val="23"/>
          <w:color w:val="auto"/>
          <w:vertAlign w:val="superscript"/>
        </w:rPr>
        <w:t>(c)</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TCJA revenue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3"/>
          <w:szCs w:val="23"/>
          <w:color w:val="auto"/>
          <w:vertAlign w:val="superscript"/>
        </w:rPr>
        <w:t>(c)</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regulatory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current regulatory liabilities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Regulatory liabilities, non-current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28,279</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17,278</w:t>
            </w:r>
          </w:p>
        </w:tc>
      </w:tr>
      <w:tr>
        <w:trPr>
          <w:trHeight w:val="270"/>
        </w:trPr>
        <w:tc>
          <w:tcPr>
            <w:tcW w:w="66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41,025</w:t>
            </w:r>
          </w:p>
        </w:tc>
        <w:tc>
          <w:tcPr>
            <w:tcW w:w="72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43,349</w:t>
            </w:r>
          </w:p>
        </w:tc>
      </w:tr>
      <w:tr>
        <w:trPr>
          <w:trHeight w:val="270"/>
        </w:trPr>
        <w:tc>
          <w:tcPr>
            <w:tcW w:w="66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168,137</w:t>
            </w:r>
          </w:p>
        </w:tc>
        <w:tc>
          <w:tcPr>
            <w:tcW w:w="72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166,727</w:t>
            </w:r>
          </w:p>
        </w:tc>
      </w:tr>
      <w:tr>
        <w:trPr>
          <w:trHeight w:val="270"/>
        </w:trPr>
        <w:tc>
          <w:tcPr>
            <w:tcW w:w="66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288,796</w:t>
            </w:r>
          </w:p>
        </w:tc>
        <w:tc>
          <w:tcPr>
            <w:tcW w:w="72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285,438</w:t>
            </w:r>
          </w:p>
        </w:tc>
      </w:tr>
      <w:tr>
        <w:trPr>
          <w:trHeight w:val="270"/>
        </w:trPr>
        <w:tc>
          <w:tcPr>
            <w:tcW w:w="66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3,027</w:t>
            </w:r>
          </w:p>
        </w:tc>
        <w:tc>
          <w:tcPr>
            <w:tcW w:w="72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3,418</w:t>
            </w:r>
          </w:p>
        </w:tc>
      </w:tr>
      <w:tr>
        <w:trPr>
          <w:trHeight w:val="270"/>
        </w:trPr>
        <w:tc>
          <w:tcPr>
            <w:tcW w:w="66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36,557</w:t>
            </w:r>
          </w:p>
        </w:tc>
        <w:tc>
          <w:tcPr>
            <w:tcW w:w="72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20,442</w:t>
            </w:r>
          </w:p>
        </w:tc>
      </w:tr>
      <w:tr>
        <w:trPr>
          <w:trHeight w:val="27"/>
        </w:trPr>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565,821</w:t>
            </w:r>
          </w:p>
        </w:tc>
        <w:tc>
          <w:tcPr>
            <w:tcW w:w="7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536,652</w:t>
            </w:r>
          </w:p>
        </w:tc>
      </w:tr>
      <w:tr>
        <w:trPr>
          <w:trHeight w:val="270"/>
        </w:trPr>
        <w:tc>
          <w:tcPr>
            <w:tcW w:w="6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(59,428)</w:t>
            </w:r>
          </w:p>
        </w:tc>
        <w:tc>
          <w:tcPr>
            <w:tcW w:w="7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(33,507)</w:t>
            </w:r>
          </w:p>
        </w:tc>
      </w:tr>
      <w:tr>
        <w:trPr>
          <w:trHeight w:val="27"/>
        </w:trPr>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506,393</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503,145</w:t>
            </w:r>
          </w:p>
        </w:tc>
      </w:tr>
      <w:tr>
        <w:trPr>
          <w:trHeight w:val="27"/>
        </w:trPr>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ectPr>
          <w:pgSz w:w="11900" w:h="16838" w:orient="portrait"/>
          <w:cols w:equalWidth="0" w:num="2">
            <w:col w:w="6560" w:space="720"/>
            <w:col w:w="3940"/>
          </w:cols>
          <w:pgMar w:left="320" w:top="126" w:right="35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Recovery of costs, but we are not allowed a rate of return.</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Activity</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discussed below, there have been no other significant changes to our Regulatory Matters from those previously disclosed in Note 13 of the Notes to the Consolidated Financial Statements in our 2019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Nebraska Gas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Jurisdictional Consolidation and Rate Review</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1, 2020, Nebraska Gas filed a rate review with the NPSC to consolidate rates, tariffs, and services of its two existing gas distribution territories. The rate review requests $17 million in new revenue, as well as renewal and expansion of the SSIR, to recover investments in safety, reliability and system integrity. The rate review requests a capital structure of 50% equity and 50% debt and a return on equity of 10% for investments Nebraska Gas made in its natural gas pipeline system. Nebraska statute allows for implementation of interim rates 90 days after filing a rate review. New rates are expected to be effective in early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Black Hills Wyoming and Wyoming Electric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Wygen I FERC Filing</w:t>
      </w:r>
    </w:p>
    <w:p>
      <w:pPr>
        <w:spacing w:after="0" w:line="25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June 1, 2020, Black Hills Wyoming and Wyoming Electric filed a settlement agreement with the FERC. The agreement represents a resolution of all issues in the joint application filed with the FERC on August 2, 2019 for approval of a new 60 MW PPA. On July 10, 2020, a judge certified the settlement to the FERC and a decision is expected by the end of 2020. If approved, Wyoming Electric will continue to receive 60 MW of capacity and energy from the Wygen I power plant. The new agreement would commence on January 1, 2022, replacing the existing PPA, and would continue for 11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Colorado Gas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Jurisdictional Consolidation and Rate Review</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February 1, 2019, Colorado Gas filed a rate review with the CPUC requesting $2.5 million in new revenue to recover investments in safety, reliability and system integrity and approval to consolidate rates, tariffs, and services of its two existing gas distribution territories. Colorado Gas also requested a new rider mechanism to recover future safety and integrity investments in its system. On April 14, 2020 the CPUC deliberated on the application and on May 19, 2020 issued a final order. The order denied the system integrity recovery mechanism and consolidation of rate territories. In addition, the order resulted in an annual revenue decrease of $0.6 million and a return on equity of 9.2%. New rates were effective July 3, 2020. In accordance with the final order, Colorado Gas will file a new system integrity rider proposal prior to the end of 2020. Colorado Gas also plans to file a new rate review by the end of 2020.</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reconciliation of share amounts used to compute earnings per share in the accompanying Condensed Consolidated Statements of Income was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gridSpan w:val="3"/>
          </w:tcPr>
          <w:p>
            <w:pPr>
              <w:jc w:val="right"/>
              <w:ind w:right="670"/>
              <w:spacing w:after="0"/>
              <w:rPr>
                <w:sz w:val="20"/>
                <w:szCs w:val="20"/>
                <w:color w:val="auto"/>
              </w:rPr>
            </w:pPr>
            <w:r>
              <w:rPr>
                <w:rFonts w:ascii="Arial" w:cs="Arial" w:eastAsia="Arial" w:hAnsi="Arial"/>
                <w:sz w:val="18"/>
                <w:szCs w:val="18"/>
                <w:color w:val="auto"/>
              </w:rPr>
              <w:t>Six Months Ended June 30,</w:t>
            </w:r>
          </w:p>
        </w:tc>
      </w:tr>
      <w:tr>
        <w:trPr>
          <w:trHeight w:val="270"/>
        </w:trPr>
        <w:tc>
          <w:tcPr>
            <w:tcW w:w="4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3"/>
                <w:szCs w:val="23"/>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2019</w:t>
            </w:r>
          </w:p>
        </w:tc>
      </w:tr>
      <w:tr>
        <w:trPr>
          <w:trHeight w:val="27"/>
        </w:trPr>
        <w:tc>
          <w:tcPr>
            <w:tcW w:w="4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95"/>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1080" w:type="dxa"/>
            <w:vAlign w:val="bottom"/>
            <w:tcBorders>
              <w:bottom w:val="single" w:sz="8" w:color="auto"/>
            </w:tcBorders>
            <w:shd w:val="clear" w:color="auto" w:fill="CEFFE7"/>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0"/>
              </w:rPr>
              <w:t>20,966</w:t>
            </w:r>
          </w:p>
        </w:tc>
        <w:tc>
          <w:tcPr>
            <w:tcW w:w="1160" w:type="dxa"/>
            <w:vAlign w:val="bottom"/>
            <w:tcBorders>
              <w:bottom w:val="single" w:sz="8" w:color="auto"/>
            </w:tcBorders>
            <w:shd w:val="clear" w:color="auto" w:fill="CEFFE7"/>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87"/>
              </w:rPr>
              <w:t>14,583</w:t>
            </w:r>
          </w:p>
        </w:tc>
        <w:tc>
          <w:tcPr>
            <w:tcW w:w="100" w:type="dxa"/>
            <w:vAlign w:val="bottom"/>
            <w:tcBorders>
              <w:bottom w:val="single" w:sz="8" w:color="CEFFE7"/>
            </w:tcBorders>
            <w:shd w:val="clear" w:color="auto" w:fill="CEFFE7"/>
          </w:tcPr>
          <w:p>
            <w:pPr>
              <w:spacing w:after="0"/>
              <w:rPr>
                <w:sz w:val="24"/>
                <w:szCs w:val="24"/>
                <w:color w:val="auto"/>
              </w:rPr>
            </w:pPr>
          </w:p>
        </w:tc>
        <w:tc>
          <w:tcPr>
            <w:tcW w:w="42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114,140</w:t>
            </w:r>
          </w:p>
        </w:tc>
        <w:tc>
          <w:tcPr>
            <w:tcW w:w="46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118,391</w:t>
            </w:r>
          </w:p>
        </w:tc>
      </w:tr>
      <w:tr>
        <w:trPr>
          <w:trHeight w:val="20"/>
        </w:trPr>
        <w:tc>
          <w:tcPr>
            <w:tcW w:w="4120" w:type="dxa"/>
            <w:vAlign w:val="bottom"/>
            <w:tcBorders>
              <w:top w:val="single" w:sz="8" w:color="CEFFE7"/>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460" w:type="dxa"/>
            <w:vAlign w:val="bottom"/>
            <w:tcBorders>
              <w:top w:val="single" w:sz="8" w:color="CEFFE7"/>
              <w:bottom w:val="single" w:sz="8" w:color="auto"/>
            </w:tcBorders>
          </w:tcPr>
          <w:p>
            <w:pPr>
              <w:spacing w:after="0" w:line="20" w:lineRule="exact"/>
              <w:rPr>
                <w:sz w:val="1"/>
                <w:szCs w:val="1"/>
                <w:color w:val="auto"/>
              </w:rPr>
            </w:pPr>
          </w:p>
        </w:tc>
        <w:tc>
          <w:tcPr>
            <w:tcW w:w="1360" w:type="dxa"/>
            <w:vAlign w:val="bottom"/>
            <w:tcBorders>
              <w:top w:val="single" w:sz="8" w:color="CEFFE7"/>
              <w:bottom w:val="single" w:sz="8" w:color="auto"/>
            </w:tcBorders>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Weighted average shares - basic</w:t>
            </w:r>
          </w:p>
        </w:tc>
        <w:tc>
          <w:tcPr>
            <w:tcW w:w="108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0"/>
              </w:rPr>
              <w:t>62,573</w:t>
            </w:r>
          </w:p>
        </w:tc>
        <w:tc>
          <w:tcPr>
            <w:tcW w:w="11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87"/>
              </w:rPr>
              <w:t>60,467</w:t>
            </w:r>
          </w:p>
        </w:tc>
        <w:tc>
          <w:tcPr>
            <w:tcW w:w="1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62,175</w:t>
            </w:r>
          </w:p>
        </w:tc>
        <w:tc>
          <w:tcPr>
            <w:tcW w:w="46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60,195</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Dilutive effect of:</w:t>
            </w: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Equity compensation</w:t>
            </w:r>
          </w:p>
        </w:tc>
        <w:tc>
          <w:tcPr>
            <w:tcW w:w="1080" w:type="dxa"/>
            <w:vAlign w:val="bottom"/>
            <w:tcBorders>
              <w:bottom w:val="single" w:sz="8" w:color="CEFFE7"/>
            </w:tcBorders>
            <w:shd w:val="clear" w:color="auto" w:fill="CEFFE7"/>
          </w:tcPr>
          <w:p>
            <w:pPr>
              <w:spacing w:after="0"/>
              <w:rPr>
                <w:sz w:val="23"/>
                <w:szCs w:val="23"/>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w:t>
            </w:r>
          </w:p>
        </w:tc>
        <w:tc>
          <w:tcPr>
            <w:tcW w:w="116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EFFE7"/>
            </w:tcBorders>
            <w:shd w:val="clear" w:color="auto" w:fill="CEFFE7"/>
          </w:tcPr>
          <w:p>
            <w:pPr>
              <w:spacing w:after="0"/>
              <w:rPr>
                <w:sz w:val="23"/>
                <w:szCs w:val="23"/>
                <w:color w:val="auto"/>
              </w:rPr>
            </w:pPr>
          </w:p>
        </w:tc>
        <w:tc>
          <w:tcPr>
            <w:tcW w:w="42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138</w:t>
            </w: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color w:val="auto"/>
              </w:rPr>
              <w:t>Weighted average shares - diluted</w:t>
            </w:r>
          </w:p>
        </w:tc>
        <w:tc>
          <w:tcPr>
            <w:tcW w:w="10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62,617</w:t>
            </w:r>
          </w:p>
        </w:tc>
        <w:tc>
          <w:tcPr>
            <w:tcW w:w="1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60,606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62,230</w:t>
            </w:r>
          </w:p>
        </w:tc>
        <w:tc>
          <w:tcPr>
            <w:tcW w:w="4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60,333</w:t>
            </w:r>
          </w:p>
        </w:tc>
      </w:tr>
      <w:tr>
        <w:trPr>
          <w:trHeight w:val="20"/>
        </w:trPr>
        <w:tc>
          <w:tcPr>
            <w:tcW w:w="4120" w:type="dxa"/>
            <w:vAlign w:val="bottom"/>
            <w:tcBorders>
              <w:bottom w:val="single" w:sz="8" w:color="CEFFE7"/>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EFFE7"/>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12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c>
          <w:tcPr>
            <w:tcW w:w="600" w:type="dxa"/>
            <w:vAlign w:val="bottom"/>
            <w:shd w:val="clear" w:color="auto" w:fill="CEFFE7"/>
          </w:tcPr>
          <w:p>
            <w:pPr>
              <w:spacing w:after="0"/>
              <w:rPr>
                <w:sz w:val="20"/>
                <w:szCs w:val="20"/>
                <w:color w:val="auto"/>
              </w:rPr>
            </w:pPr>
          </w:p>
        </w:tc>
        <w:tc>
          <w:tcPr>
            <w:tcW w:w="1160" w:type="dxa"/>
            <w:vAlign w:val="bottom"/>
            <w:shd w:val="clear" w:color="auto" w:fill="CEFFE7"/>
          </w:tcPr>
          <w:p>
            <w:pPr>
              <w:spacing w:after="0"/>
              <w:rPr>
                <w:sz w:val="20"/>
                <w:szCs w:val="20"/>
                <w:color w:val="auto"/>
              </w:rPr>
            </w:pPr>
          </w:p>
        </w:tc>
        <w:tc>
          <w:tcPr>
            <w:tcW w:w="660" w:type="dxa"/>
            <w:vAlign w:val="bottom"/>
            <w:shd w:val="clear" w:color="auto" w:fill="CEFFE7"/>
          </w:tcPr>
          <w:p>
            <w:pPr>
              <w:spacing w:after="0"/>
              <w:rPr>
                <w:sz w:val="20"/>
                <w:szCs w:val="20"/>
                <w:color w:val="auto"/>
              </w:rPr>
            </w:pPr>
          </w:p>
        </w:tc>
        <w:tc>
          <w:tcPr>
            <w:tcW w:w="100" w:type="dxa"/>
            <w:vAlign w:val="bottom"/>
            <w:shd w:val="clear" w:color="auto" w:fill="CEFFE7"/>
          </w:tcPr>
          <w:p>
            <w:pPr>
              <w:spacing w:after="0"/>
              <w:rPr>
                <w:sz w:val="20"/>
                <w:szCs w:val="20"/>
                <w:color w:val="auto"/>
              </w:rPr>
            </w:pPr>
          </w:p>
        </w:tc>
        <w:tc>
          <w:tcPr>
            <w:tcW w:w="420" w:type="dxa"/>
            <w:vAlign w:val="bottom"/>
            <w:shd w:val="clear" w:color="auto" w:fill="CEFFE7"/>
          </w:tcPr>
          <w:p>
            <w:pPr>
              <w:spacing w:after="0"/>
              <w:rPr>
                <w:sz w:val="20"/>
                <w:szCs w:val="20"/>
                <w:color w:val="auto"/>
              </w:rPr>
            </w:pPr>
          </w:p>
        </w:tc>
        <w:tc>
          <w:tcPr>
            <w:tcW w:w="1280" w:type="dxa"/>
            <w:vAlign w:val="bottom"/>
            <w:shd w:val="clear" w:color="auto" w:fill="CEFFE7"/>
          </w:tcPr>
          <w:p>
            <w:pPr>
              <w:spacing w:after="0"/>
              <w:rPr>
                <w:sz w:val="20"/>
                <w:szCs w:val="20"/>
                <w:color w:val="auto"/>
              </w:rPr>
            </w:pPr>
          </w:p>
        </w:tc>
        <w:tc>
          <w:tcPr>
            <w:tcW w:w="460" w:type="dxa"/>
            <w:vAlign w:val="bottom"/>
            <w:shd w:val="clear" w:color="auto" w:fill="CEFFE7"/>
          </w:tcPr>
          <w:p>
            <w:pPr>
              <w:spacing w:after="0"/>
              <w:rPr>
                <w:sz w:val="20"/>
                <w:szCs w:val="20"/>
                <w:color w:val="auto"/>
              </w:rPr>
            </w:pPr>
          </w:p>
        </w:tc>
        <w:tc>
          <w:tcPr>
            <w:tcW w:w="1360" w:type="dxa"/>
            <w:vAlign w:val="bottom"/>
            <w:shd w:val="clear" w:color="auto" w:fill="CEFFE7"/>
          </w:tcPr>
          <w:p>
            <w:pPr>
              <w:spacing w:after="0"/>
              <w:rPr>
                <w:sz w:val="20"/>
                <w:szCs w:val="20"/>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Earnings per share of common stock:</w:t>
            </w: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Earnings per share, Basic</w:t>
            </w:r>
          </w:p>
        </w:tc>
        <w:tc>
          <w:tcPr>
            <w:tcW w:w="108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0.34</w:t>
            </w:r>
          </w:p>
        </w:tc>
        <w:tc>
          <w:tcPr>
            <w:tcW w:w="116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1.84</w:t>
            </w:r>
          </w:p>
        </w:tc>
        <w:tc>
          <w:tcPr>
            <w:tcW w:w="46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1.97</w:t>
            </w:r>
          </w:p>
        </w:tc>
      </w:tr>
      <w:tr>
        <w:trPr>
          <w:trHeight w:val="243"/>
        </w:trPr>
        <w:tc>
          <w:tcPr>
            <w:tcW w:w="4120" w:type="dxa"/>
            <w:vAlign w:val="bottom"/>
          </w:tcPr>
          <w:p>
            <w:pPr>
              <w:ind w:left="120"/>
              <w:spacing w:after="0"/>
              <w:rPr>
                <w:sz w:val="20"/>
                <w:szCs w:val="20"/>
                <w:color w:val="auto"/>
              </w:rPr>
            </w:pPr>
            <w:r>
              <w:rPr>
                <w:rFonts w:ascii="Arial" w:cs="Arial" w:eastAsia="Arial" w:hAnsi="Arial"/>
                <w:sz w:val="18"/>
                <w:szCs w:val="18"/>
                <w:color w:val="auto"/>
              </w:rPr>
              <w:t>Earnings per share, Diluted</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0.33</w:t>
            </w:r>
          </w:p>
        </w:tc>
        <w:tc>
          <w:tcPr>
            <w:tcW w:w="11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1.96</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were excluded from the diluted earnings per share computation because of their anti-dilutive nature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3000" w:type="dxa"/>
            <w:vAlign w:val="bottom"/>
            <w:gridSpan w:val="2"/>
          </w:tcPr>
          <w:p>
            <w:pPr>
              <w:jc w:val="right"/>
              <w:ind w:right="90"/>
              <w:spacing w:after="0"/>
              <w:rPr>
                <w:sz w:val="20"/>
                <w:szCs w:val="20"/>
                <w:color w:val="auto"/>
              </w:rPr>
            </w:pPr>
            <w:r>
              <w:rPr>
                <w:rFonts w:ascii="Arial" w:cs="Arial" w:eastAsia="Arial" w:hAnsi="Arial"/>
                <w:sz w:val="18"/>
                <w:szCs w:val="18"/>
                <w:color w:val="auto"/>
              </w:rPr>
              <w:t>Three Months Ended June 30,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2"/>
          </w:tcPr>
          <w:p>
            <w:pPr>
              <w:jc w:val="right"/>
              <w:ind w:right="670"/>
              <w:spacing w:after="0"/>
              <w:rPr>
                <w:sz w:val="20"/>
                <w:szCs w:val="20"/>
                <w:color w:val="auto"/>
              </w:rPr>
            </w:pPr>
            <w:r>
              <w:rPr>
                <w:rFonts w:ascii="Arial" w:cs="Arial" w:eastAsia="Arial" w:hAnsi="Arial"/>
                <w:sz w:val="18"/>
                <w:szCs w:val="18"/>
                <w:color w:val="auto"/>
              </w:rPr>
              <w:t>Six Months Ended June 30,</w:t>
            </w:r>
          </w:p>
        </w:tc>
      </w:tr>
      <w:tr>
        <w:trPr>
          <w:trHeight w:val="270"/>
        </w:trPr>
        <w:tc>
          <w:tcPr>
            <w:tcW w:w="5320" w:type="dxa"/>
            <w:vAlign w:val="bottom"/>
            <w:gridSpan w:val="2"/>
          </w:tcPr>
          <w:p>
            <w:pPr>
              <w:jc w:val="right"/>
              <w:ind w:right="50"/>
              <w:spacing w:after="0"/>
              <w:rPr>
                <w:sz w:val="20"/>
                <w:szCs w:val="20"/>
                <w:color w:val="auto"/>
              </w:rPr>
            </w:pPr>
            <w:r>
              <w:rPr>
                <w:rFonts w:ascii="Arial" w:cs="Arial" w:eastAsia="Arial" w:hAnsi="Arial"/>
                <w:sz w:val="18"/>
                <w:szCs w:val="18"/>
                <w:color w:val="auto"/>
              </w:rPr>
              <w:t>2020</w:t>
            </w: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jc w:val="right"/>
              <w:ind w:right="870"/>
              <w:spacing w:after="0"/>
              <w:rPr>
                <w:sz w:val="20"/>
                <w:szCs w:val="20"/>
                <w:color w:val="auto"/>
              </w:rPr>
            </w:pPr>
            <w:r>
              <w:rPr>
                <w:rFonts w:ascii="Arial" w:cs="Arial" w:eastAsia="Arial" w:hAnsi="Arial"/>
                <w:sz w:val="18"/>
                <w:szCs w:val="18"/>
                <w:color w:val="auto"/>
              </w:rPr>
              <w:t>2020</w:t>
            </w:r>
          </w:p>
        </w:tc>
        <w:tc>
          <w:tcPr>
            <w:tcW w:w="1500" w:type="dxa"/>
            <w:vAlign w:val="bottom"/>
          </w:tcPr>
          <w:p>
            <w:pPr>
              <w:jc w:val="right"/>
              <w:ind w:right="610"/>
              <w:spacing w:after="0"/>
              <w:rPr>
                <w:sz w:val="20"/>
                <w:szCs w:val="20"/>
                <w:color w:val="auto"/>
              </w:rPr>
            </w:pPr>
            <w:r>
              <w:rPr>
                <w:rFonts w:ascii="Arial" w:cs="Arial" w:eastAsia="Arial" w:hAnsi="Arial"/>
                <w:sz w:val="18"/>
                <w:szCs w:val="18"/>
                <w:color w:val="auto"/>
              </w:rPr>
              <w:t>2019</w:t>
            </w:r>
          </w:p>
        </w:tc>
      </w:tr>
      <w:tr>
        <w:trPr>
          <w:trHeight w:val="27"/>
        </w:trPr>
        <w:tc>
          <w:tcPr>
            <w:tcW w:w="4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4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0"/>
        </w:trPr>
        <w:tc>
          <w:tcPr>
            <w:tcW w:w="53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Equity compensation</w:t>
            </w:r>
          </w:p>
        </w:tc>
        <w:tc>
          <w:tcPr>
            <w:tcW w:w="1800" w:type="dxa"/>
            <w:vAlign w:val="bottom"/>
            <w:tcBorders>
              <w:bottom w:val="single" w:sz="8" w:color="CEFFE7"/>
            </w:tcBorders>
            <w:shd w:val="clear" w:color="auto" w:fill="CEFFE7"/>
          </w:tcPr>
          <w:p>
            <w:pPr>
              <w:jc w:val="right"/>
              <w:ind w:right="1310"/>
              <w:spacing w:after="0"/>
              <w:rPr>
                <w:sz w:val="20"/>
                <w:szCs w:val="20"/>
                <w:color w:val="auto"/>
              </w:rPr>
            </w:pPr>
            <w:r>
              <w:rPr>
                <w:rFonts w:ascii="Arial" w:cs="Arial" w:eastAsia="Arial" w:hAnsi="Arial"/>
                <w:sz w:val="18"/>
                <w:szCs w:val="18"/>
                <w:color w:val="auto"/>
              </w:rPr>
              <w:t>29</w:t>
            </w:r>
          </w:p>
        </w:tc>
        <w:tc>
          <w:tcPr>
            <w:tcW w:w="60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26</w:t>
            </w:r>
          </w:p>
        </w:tc>
        <w:tc>
          <w:tcPr>
            <w:tcW w:w="15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Restricted stock</w:t>
            </w:r>
          </w:p>
        </w:tc>
        <w:tc>
          <w:tcPr>
            <w:tcW w:w="1800" w:type="dxa"/>
            <w:vAlign w:val="bottom"/>
          </w:tcPr>
          <w:p>
            <w:pPr>
              <w:jc w:val="right"/>
              <w:ind w:right="1310"/>
              <w:spacing w:after="0"/>
              <w:rPr>
                <w:sz w:val="20"/>
                <w:szCs w:val="20"/>
                <w:color w:val="auto"/>
              </w:rPr>
            </w:pPr>
            <w:r>
              <w:rPr>
                <w:rFonts w:ascii="Arial" w:cs="Arial" w:eastAsia="Arial" w:hAnsi="Arial"/>
                <w:sz w:val="18"/>
                <w:szCs w:val="18"/>
                <w:color w:val="auto"/>
              </w:rPr>
              <w:t>76</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36</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3"/>
        </w:trPr>
        <w:tc>
          <w:tcPr>
            <w:tcW w:w="5320" w:type="dxa"/>
            <w:vAlign w:val="bottom"/>
            <w:gridSpan w:val="2"/>
            <w:shd w:val="clear" w:color="auto" w:fill="CEFFE7"/>
          </w:tcPr>
          <w:p>
            <w:pPr>
              <w:ind w:left="120"/>
              <w:spacing w:after="0"/>
              <w:rPr>
                <w:sz w:val="20"/>
                <w:szCs w:val="20"/>
                <w:color w:val="auto"/>
              </w:rPr>
            </w:pPr>
            <w:r>
              <w:rPr>
                <w:rFonts w:ascii="Arial" w:cs="Arial" w:eastAsia="Arial" w:hAnsi="Arial"/>
                <w:sz w:val="18"/>
                <w:szCs w:val="18"/>
                <w:color w:val="auto"/>
              </w:rPr>
              <w:t>Anti-dilutive shares</w:t>
            </w:r>
          </w:p>
        </w:tc>
        <w:tc>
          <w:tcPr>
            <w:tcW w:w="1800" w:type="dxa"/>
            <w:vAlign w:val="bottom"/>
            <w:shd w:val="clear" w:color="auto" w:fill="CEFFE7"/>
          </w:tcPr>
          <w:p>
            <w:pPr>
              <w:jc w:val="right"/>
              <w:ind w:right="1310"/>
              <w:spacing w:after="0"/>
              <w:rPr>
                <w:sz w:val="20"/>
                <w:szCs w:val="20"/>
                <w:color w:val="auto"/>
              </w:rPr>
            </w:pPr>
            <w:r>
              <w:rPr>
                <w:rFonts w:ascii="Arial" w:cs="Arial" w:eastAsia="Arial" w:hAnsi="Arial"/>
                <w:sz w:val="18"/>
                <w:szCs w:val="18"/>
                <w:color w:val="auto"/>
              </w:rPr>
              <w:t>105</w:t>
            </w:r>
          </w:p>
        </w:tc>
        <w:tc>
          <w:tcPr>
            <w:tcW w:w="600" w:type="dxa"/>
            <w:vAlign w:val="bottom"/>
            <w:gridSpan w:val="2"/>
            <w:shd w:val="clear" w:color="auto" w:fill="CEFFE7"/>
          </w:tcPr>
          <w:p>
            <w:pPr>
              <w:ind w:left="16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62</w:t>
            </w:r>
          </w:p>
        </w:tc>
        <w:tc>
          <w:tcPr>
            <w:tcW w:w="1500" w:type="dxa"/>
            <w:vAlign w:val="bottom"/>
            <w:shd w:val="clear" w:color="auto" w:fill="CEFFE7"/>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EFFE7"/>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Payable, Current Maturities and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short-term debt outstanding in the accompanying Condensed Consolidated Balance Sheets (in thousands) as of:</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740"/>
              <w:spacing w:after="0"/>
              <w:rPr>
                <w:sz w:val="20"/>
                <w:szCs w:val="20"/>
                <w:color w:val="auto"/>
              </w:rPr>
            </w:pPr>
            <w:r>
              <w:rPr>
                <w:rFonts w:ascii="Arial" w:cs="Arial" w:eastAsia="Arial" w:hAnsi="Arial"/>
                <w:sz w:val="18"/>
                <w:szCs w:val="18"/>
                <w:color w:val="auto"/>
                <w:w w:val="99"/>
              </w:rPr>
              <w:t>June 30, 2020</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ind w:left="540"/>
              <w:spacing w:after="0"/>
              <w:rPr>
                <w:sz w:val="20"/>
                <w:szCs w:val="20"/>
                <w:color w:val="auto"/>
              </w:rPr>
            </w:pPr>
            <w:r>
              <w:rPr>
                <w:rFonts w:ascii="Arial" w:cs="Arial" w:eastAsia="Arial" w:hAnsi="Arial"/>
                <w:sz w:val="18"/>
                <w:szCs w:val="18"/>
                <w:color w:val="auto"/>
                <w:w w:val="91"/>
              </w:rPr>
              <w:t>December 31, 2019</w:t>
            </w:r>
          </w:p>
        </w:tc>
        <w:tc>
          <w:tcPr>
            <w:tcW w:w="6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2"/>
        </w:trPr>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89"/>
              </w:rPr>
              <w:t>Balance</w:t>
            </w: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Balance</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7"/>
        </w:trPr>
        <w:tc>
          <w:tcPr>
            <w:tcW w:w="5520" w:type="dxa"/>
            <w:vAlign w:val="bottom"/>
            <w:tcBorders>
              <w:bottom w:val="single" w:sz="8" w:color="CEFFE7"/>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Outstanding</w:t>
            </w:r>
          </w:p>
        </w:tc>
        <w:tc>
          <w:tcPr>
            <w:tcW w:w="1500" w:type="dxa"/>
            <w:vAlign w:val="bottom"/>
            <w:tcBorders>
              <w:bottom w:val="single" w:sz="8" w:color="auto"/>
            </w:tcBorders>
            <w:gridSpan w:val="2"/>
          </w:tcPr>
          <w:p>
            <w:pPr>
              <w:ind w:left="100"/>
              <w:spacing w:after="0" w:line="257" w:lineRule="exact"/>
              <w:rPr>
                <w:sz w:val="20"/>
                <w:szCs w:val="20"/>
                <w:color w:val="auto"/>
              </w:rPr>
            </w:pPr>
            <w:r>
              <w:rPr>
                <w:rFonts w:ascii="Arial" w:cs="Arial" w:eastAsia="Arial" w:hAnsi="Arial"/>
                <w:sz w:val="18"/>
                <w:szCs w:val="18"/>
                <w:color w:val="auto"/>
                <w:w w:val="90"/>
              </w:rPr>
              <w:t xml:space="preserve">Letters of Credit </w:t>
            </w:r>
            <w:r>
              <w:rPr>
                <w:rFonts w:ascii="Arial" w:cs="Arial" w:eastAsia="Arial" w:hAnsi="Arial"/>
                <w:sz w:val="23"/>
                <w:szCs w:val="23"/>
                <w:color w:val="auto"/>
                <w:w w:val="90"/>
                <w:vertAlign w:val="superscript"/>
              </w:rPr>
              <w:t>(a)</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Outstanding</w:t>
            </w:r>
          </w:p>
        </w:tc>
        <w:tc>
          <w:tcPr>
            <w:tcW w:w="1500" w:type="dxa"/>
            <w:vAlign w:val="bottom"/>
            <w:tcBorders>
              <w:bottom w:val="single" w:sz="8" w:color="auto"/>
            </w:tcBorders>
            <w:gridSpan w:val="2"/>
          </w:tcPr>
          <w:p>
            <w:pPr>
              <w:ind w:left="100"/>
              <w:spacing w:after="0" w:line="257" w:lineRule="exact"/>
              <w:rPr>
                <w:sz w:val="20"/>
                <w:szCs w:val="20"/>
                <w:color w:val="auto"/>
              </w:rPr>
            </w:pPr>
            <w:r>
              <w:rPr>
                <w:rFonts w:ascii="Arial" w:cs="Arial" w:eastAsia="Arial" w:hAnsi="Arial"/>
                <w:sz w:val="18"/>
                <w:szCs w:val="18"/>
                <w:color w:val="auto"/>
                <w:w w:val="90"/>
              </w:rPr>
              <w:t xml:space="preserve">Letters of Credit </w:t>
            </w:r>
            <w:r>
              <w:rPr>
                <w:rFonts w:ascii="Arial" w:cs="Arial" w:eastAsia="Arial" w:hAnsi="Arial"/>
                <w:sz w:val="23"/>
                <w:szCs w:val="23"/>
                <w:color w:val="auto"/>
                <w:w w:val="90"/>
                <w:vertAlign w:val="superscript"/>
              </w:rPr>
              <w:t>(a)</w:t>
            </w:r>
          </w:p>
        </w:tc>
      </w:tr>
      <w:tr>
        <w:trPr>
          <w:trHeight w:val="244"/>
        </w:trPr>
        <w:tc>
          <w:tcPr>
            <w:tcW w:w="5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EFFE7"/>
            </w:tcBorders>
            <w:shd w:val="clear" w:color="auto" w:fill="CEFFE7"/>
          </w:tcPr>
          <w:p>
            <w:pPr>
              <w:ind w:left="9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11,999</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0"/>
              </w:rPr>
              <w:t>30,274</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CP Program</w:t>
            </w:r>
          </w:p>
        </w:tc>
        <w:tc>
          <w:tcPr>
            <w:tcW w:w="1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349,500</w:t>
            </w:r>
          </w:p>
        </w:tc>
        <w:tc>
          <w:tcPr>
            <w:tcW w:w="82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8"/>
        </w:trPr>
        <w:tc>
          <w:tcPr>
            <w:tcW w:w="55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EFFE7"/>
          </w:tcPr>
          <w:p>
            <w:pPr>
              <w:ind w:left="9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11,999</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349,500</w:t>
            </w:r>
          </w:p>
        </w:tc>
        <w:tc>
          <w:tcPr>
            <w:tcW w:w="82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0"/>
              </w:rPr>
              <w:t>30,274</w:t>
            </w: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340" w:right="2480" w:hanging="332"/>
        <w:spacing w:after="0" w:line="257" w:lineRule="auto"/>
        <w:tabs>
          <w:tab w:leader="none" w:pos="236" w:val="left"/>
        </w:tabs>
        <w:numPr>
          <w:ilvl w:val="0"/>
          <w:numId w:val="4"/>
        </w:numPr>
        <w:rPr>
          <w:rFonts w:ascii="Arial" w:cs="Arial" w:eastAsia="Arial" w:hAnsi="Arial"/>
          <w:sz w:val="16"/>
          <w:szCs w:val="16"/>
          <w:color w:val="auto"/>
        </w:rPr>
      </w:pPr>
      <w:r>
        <w:rPr>
          <w:rFonts w:ascii="Arial" w:cs="Arial" w:eastAsia="Arial" w:hAnsi="Arial"/>
          <w:sz w:val="16"/>
          <w:szCs w:val="16"/>
          <w:color w:val="auto"/>
        </w:rPr>
        <w:t>Letters of credit are off-balance sheet commitments that reduce the borrowing capacity available on our corporate Revolving Credit Facility.</w:t>
      </w:r>
    </w:p>
    <w:p>
      <w:pPr>
        <w:spacing w:after="0" w:line="20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the six months ended June 30, 2020, we utilized a combination of our $750 million Revolving Credit Facility and CP Program to meet our business needs and support our capital investment plan. Our net short-term borrowings (payments) during the six months ended June 30, 2020 were $(350) million.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our Revolving Credit Facility and term loan agreement, we are required to maintain a Consolidated Indebtedness to Capitalization Ratio not to exceed 0.65 to 1.00. Our Consolidated Indebtedness to Capitalization Ratio was calculated by dividing (i) consolidated indebtedness, which includes letters of credit and certain guarantees issued, by (ii) capital, which includes consolidated indebtedness plus consolidated net worth, which excludes noncontrolling interest in subsidiaries. Subject to applicable cure periods, a violation of any of these covenants would constitute an event of default that entitles the lenders to terminate their remaining commitments and accelerate all principal and interest outstanding.</w:t>
      </w:r>
    </w:p>
    <w:p>
      <w:pPr>
        <w:spacing w:after="0" w:line="2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Revolving Credit Facility and term loans require compliance with the following financial covenant, which we were in compliance with at June 30, 2020:</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As of June 30, 2020</w:t>
            </w:r>
          </w:p>
        </w:tc>
        <w:tc>
          <w:tcPr>
            <w:tcW w:w="2500" w:type="dxa"/>
            <w:vAlign w:val="bottom"/>
            <w:gridSpan w:val="2"/>
          </w:tcPr>
          <w:p>
            <w:pPr>
              <w:jc w:val="right"/>
              <w:ind w:right="230"/>
              <w:spacing w:after="0"/>
              <w:rPr>
                <w:sz w:val="20"/>
                <w:szCs w:val="20"/>
                <w:color w:val="auto"/>
              </w:rPr>
            </w:pPr>
            <w:r>
              <w:rPr>
                <w:rFonts w:ascii="Arial" w:cs="Arial" w:eastAsia="Arial" w:hAnsi="Arial"/>
                <w:sz w:val="18"/>
                <w:szCs w:val="18"/>
                <w:color w:val="auto"/>
              </w:rPr>
              <w:t>Covenant Requirement</w:t>
            </w:r>
          </w:p>
        </w:tc>
      </w:tr>
      <w:tr>
        <w:trPr>
          <w:trHeight w:val="27"/>
        </w:trPr>
        <w:tc>
          <w:tcPr>
            <w:tcW w:w="6180" w:type="dxa"/>
            <w:vAlign w:val="bottom"/>
            <w:tcBorders>
              <w:bottom w:val="single" w:sz="8" w:color="CEFFE7"/>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Consolidated Indebtedness to Capitalization Ratio</w:t>
            </w:r>
          </w:p>
        </w:tc>
        <w:tc>
          <w:tcPr>
            <w:tcW w:w="2520" w:type="dxa"/>
            <w:vAlign w:val="bottom"/>
            <w:shd w:val="clear" w:color="auto" w:fill="CEFFE7"/>
          </w:tcPr>
          <w:p>
            <w:pPr>
              <w:jc w:val="right"/>
              <w:ind w:right="910"/>
              <w:spacing w:after="0"/>
              <w:rPr>
                <w:sz w:val="20"/>
                <w:szCs w:val="20"/>
                <w:color w:val="auto"/>
              </w:rPr>
            </w:pPr>
            <w:r>
              <w:rPr>
                <w:rFonts w:ascii="Arial" w:cs="Arial" w:eastAsia="Arial" w:hAnsi="Arial"/>
                <w:sz w:val="18"/>
                <w:szCs w:val="18"/>
                <w:color w:val="auto"/>
              </w:rPr>
              <w:t>58.7%</w:t>
            </w:r>
          </w:p>
        </w:tc>
        <w:tc>
          <w:tcPr>
            <w:tcW w:w="1480" w:type="dxa"/>
            <w:vAlign w:val="bottom"/>
            <w:shd w:val="clear" w:color="auto" w:fill="CEFFE7"/>
          </w:tcPr>
          <w:p>
            <w:pPr>
              <w:ind w:left="560"/>
              <w:spacing w:after="0"/>
              <w:rPr>
                <w:sz w:val="20"/>
                <w:szCs w:val="20"/>
                <w:color w:val="auto"/>
              </w:rPr>
            </w:pPr>
            <w:r>
              <w:rPr>
                <w:rFonts w:ascii="Arial" w:cs="Arial" w:eastAsia="Arial" w:hAnsi="Arial"/>
                <w:sz w:val="18"/>
                <w:szCs w:val="18"/>
                <w:color w:val="auto"/>
              </w:rPr>
              <w:t>Less than</w:t>
            </w:r>
          </w:p>
        </w:tc>
        <w:tc>
          <w:tcPr>
            <w:tcW w:w="1020" w:type="dxa"/>
            <w:vAlign w:val="bottom"/>
            <w:shd w:val="clear" w:color="auto" w:fill="CEFFE7"/>
          </w:tcPr>
          <w:p>
            <w:pPr>
              <w:jc w:val="right"/>
              <w:ind w:right="350"/>
              <w:spacing w:after="0"/>
              <w:rPr>
                <w:sz w:val="20"/>
                <w:szCs w:val="20"/>
                <w:color w:val="auto"/>
              </w:rPr>
            </w:pPr>
            <w:r>
              <w:rPr>
                <w:rFonts w:ascii="Arial" w:cs="Arial" w:eastAsia="Arial" w:hAnsi="Arial"/>
                <w:sz w:val="18"/>
                <w:szCs w:val="18"/>
                <w:color w:val="auto"/>
              </w:rPr>
              <w:t>65%</w:t>
            </w:r>
          </w:p>
        </w:tc>
      </w:tr>
      <w:tr>
        <w:trPr>
          <w:trHeight w:val="27"/>
        </w:trPr>
        <w:tc>
          <w:tcPr>
            <w:tcW w:w="6180" w:type="dxa"/>
            <w:vAlign w:val="bottom"/>
            <w:shd w:val="clear" w:color="auto" w:fill="CEFFE7"/>
          </w:tcPr>
          <w:p>
            <w:pPr>
              <w:spacing w:after="0"/>
              <w:rPr>
                <w:sz w:val="2"/>
                <w:szCs w:val="2"/>
                <w:color w:val="auto"/>
              </w:rPr>
            </w:pPr>
          </w:p>
        </w:tc>
        <w:tc>
          <w:tcPr>
            <w:tcW w:w="2520" w:type="dxa"/>
            <w:vAlign w:val="bottom"/>
            <w:shd w:val="clear" w:color="auto" w:fill="CEFFE7"/>
          </w:tcPr>
          <w:p>
            <w:pPr>
              <w:spacing w:after="0"/>
              <w:rPr>
                <w:sz w:val="2"/>
                <w:szCs w:val="2"/>
                <w:color w:val="auto"/>
              </w:rPr>
            </w:pPr>
          </w:p>
        </w:tc>
        <w:tc>
          <w:tcPr>
            <w:tcW w:w="148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Offering</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June 17, 2020, we completed a public debt offering which consisted of $400 million of 2.50% 10-year senior unsecured notes due June 15, 2030. The proceeds were used to repay short-term debt and for working capital and general corporate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 Dakota Electric Series 94A Debt</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March 24, 2020, South Dakota Electric paid off its $2.9 million, Series 94A variable rate notes due June 1, 2024. These notes were tendered by the sole investor on March 17,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February 2020 Equity Issuance</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27, 2020, we issued 1.2 million shares of common stock to a single investor through an underwritten registered transaction at a price of $81.77 per share for proceeds of $99 million, net of $1.0 million of issuance costs. The shares of common stock were offered pursuant to our shelf registration statement filed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Shelf Registration, DRSPP and ATM Activity</w:t>
      </w:r>
    </w:p>
    <w:p>
      <w:pPr>
        <w:spacing w:after="0" w:line="252"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On August 3, 2020, we filed a shelf registration and DRSPP with the SEC. In conjunction with these shelf filings, we renewed the ATM. The renewed ATM program, which allows us to sell shares of our common stock, is the same as the prior program other than the aggregate value increased from $300 million to $400 million and a forward sales option was incorporated. Under the ATM, shares may be offered from time to time pursuant to a sales agreement dated August 3, 2020. Shares of common stock are offered pursuant to our shelf registration statement filed with the SEC.</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did not issue any common shares under the ATM during the three and six months ended June 30, 2020. During the three months ended June 30, 2019, we issued a total of 0.7 million shares of common stock under the ATM for proceeds of $49 million, net of $0.5 million in issuance costs. During the six months ended June 30, 2019, we issued a total of 0.9 million shares of common stock under the ATM for proceeds of $69 million, net of $0.7 million in issuance costs.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8320" w:firstLine="8"/>
        <w:spacing w:after="0" w:line="601" w:lineRule="auto"/>
        <w:tabs>
          <w:tab w:leader="none" w:pos="25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activities in the regulated and non-regulated energy sectors expose us to a number of risks in the normal operations of our businesses. Depending on the activity, we are exposed to varying degrees of market risk and credit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Market risk is the potential loss that may occur as a result of an adverse change in market price, rate or supply. We are exposed to the following market risks, including, but not limited to:</w:t>
      </w:r>
    </w:p>
    <w:p>
      <w:pPr>
        <w:spacing w:after="0" w:line="197" w:lineRule="exact"/>
        <w:rPr>
          <w:sz w:val="20"/>
          <w:szCs w:val="20"/>
          <w:color w:val="auto"/>
        </w:rPr>
      </w:pPr>
    </w:p>
    <w:p>
      <w:pPr>
        <w:jc w:val="both"/>
        <w:ind w:left="500" w:right="280" w:hanging="330"/>
        <w:spacing w:after="0" w:line="286" w:lineRule="auto"/>
        <w:tabs>
          <w:tab w:leader="none" w:pos="495"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Commodity price risk associated with our retail natural gas, wholesale electric power marketing activities and our fuel procurement for several of our gas-fired generation assets which include market fluctuations due to unpredictable factors such as the COVID-19 pandemic, weather, market speculation, pipeline constraints, and other factors that may impact natural gas and electric energy supply and demand;</w:t>
      </w:r>
    </w:p>
    <w:p>
      <w:pPr>
        <w:spacing w:after="0" w:line="192" w:lineRule="exact"/>
        <w:rPr>
          <w:rFonts w:ascii="Arial" w:cs="Arial" w:eastAsia="Arial" w:hAnsi="Arial"/>
          <w:sz w:val="17"/>
          <w:szCs w:val="17"/>
          <w:color w:val="auto"/>
        </w:rPr>
      </w:pPr>
    </w:p>
    <w:p>
      <w:pPr>
        <w:ind w:left="500" w:right="260" w:hanging="330"/>
        <w:spacing w:after="0" w:line="27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risk associated with future debt, including reduced access to liquidity during periods of extreme capital markets volatility, such as the 2008 financial crisis and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5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7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92" w:lineRule="exact"/>
        <w:rPr>
          <w:sz w:val="20"/>
          <w:szCs w:val="20"/>
          <w:color w:val="auto"/>
        </w:rPr>
      </w:pPr>
    </w:p>
    <w:p>
      <w:pPr>
        <w:jc w:val="both"/>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We continue to monitor COVID-19 impacts and changes to customer load, consistency in customer payments, requests for deferred or discounted payments, and requests for changes to credit limits to quantify estimated future financial impacts to the allowance for credit losses. During the three and six months ended June 30, 2020, the potential economic impact of the COVID-19 pandemic was considered in forward looking projections related to write-off </w:t>
      </w:r>
      <w:hyperlink w:anchor="page19">
        <w:r>
          <w:rPr>
            <w:rFonts w:ascii="Arial" w:cs="Arial" w:eastAsia="Arial" w:hAnsi="Arial"/>
            <w:sz w:val="18"/>
            <w:szCs w:val="18"/>
            <w:color w:val="auto"/>
          </w:rPr>
          <w:t xml:space="preserve">and recovery rates, and resulted in increases to the allowance for credit losses and bad debt expense of $1.5 million and $2.0 million, respectively. See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19">
        <w:r>
          <w:rPr>
            <w:rFonts w:ascii="Arial" w:cs="Arial" w:eastAsia="Arial" w:hAnsi="Arial"/>
            <w:sz w:val="18"/>
            <w:szCs w:val="18"/>
            <w:u w:val="single" w:color="auto"/>
            <w:color w:val="0000FF"/>
          </w:rPr>
          <w:t>4</w:t>
        </w:r>
        <w:r>
          <w:rPr>
            <w:rFonts w:ascii="Arial" w:cs="Arial" w:eastAsia="Arial" w:hAnsi="Arial"/>
            <w:sz w:val="18"/>
            <w:szCs w:val="18"/>
            <w:color w:val="0000FF"/>
          </w:rPr>
          <w:t xml:space="preserve"> </w:t>
        </w:r>
        <w:r>
          <w:rPr>
            <w:rFonts w:ascii="Arial" w:cs="Arial" w:eastAsia="Arial" w:hAnsi="Arial"/>
            <w:sz w:val="18"/>
            <w:szCs w:val="18"/>
            <w:color w:val="000000"/>
          </w:rPr>
          <w:t>for further information.</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Activity</w:t>
      </w:r>
    </w:p>
    <w:p>
      <w:pPr>
        <w:spacing w:after="0" w:line="256" w:lineRule="exact"/>
        <w:rPr>
          <w:sz w:val="20"/>
          <w:szCs w:val="20"/>
          <w:color w:val="auto"/>
        </w:rPr>
      </w:pPr>
    </w:p>
    <w:p>
      <w:pPr>
        <w:ind w:right="46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Our derivative and hedging activities included in the accompanying Condensed Consolidated Balance Sheets, Condensed Consolidated Statements of Income and Condensed Consolidated Statements of Comprehensive Income are detailed below and in </w:t>
      </w:r>
      <w:hyperlink w:anchor="page28">
        <w:r>
          <w:rPr>
            <w:rFonts w:ascii="Arial" w:cs="Arial" w:eastAsia="Arial" w:hAnsi="Arial"/>
            <w:sz w:val="17"/>
            <w:szCs w:val="17"/>
            <w:u w:val="single" w:color="auto"/>
            <w:color w:val="0000FF"/>
          </w:rPr>
          <w:t>Note 10</w:t>
        </w:r>
      </w:hyperlink>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operations of our utilities, including natural gas used by our Electric Utilities’ generation plants or those plants under PPAs where our Electric Utilities must provide the generation fuel (tolling agreements) and natural gas sold by our Gas Utilities,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the state utility commission guidelines. When the related costs are recovered through our rates, the hedging activity is recognized in the Condensed Consolidated Statements of Income.</w:t>
      </w:r>
    </w:p>
    <w:p>
      <w:pPr>
        <w:spacing w:after="0" w:line="21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 using over-the-counter and exchange traded options and swaps with counterparties in anticipation of forecasted purchases and/or sales from July 2020 through May 2022. A portion of our over-the-counter swaps have been designated as cash flow hedges to mitigate the commodity price risk associated with deliveries under fixed price forward contracts to deliver gas to our Choice Gas Program customers. The effective portion of the gain or loss on these designated derivatives is reported in AOCI in the accompanying Condensed Consolidated Balance Sheets and the ineffective portion, if any, is reported in Fuel, purchased power and cost of natural gas sold. Effectiveness of our hedging position is evaluated at least quarterly.</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20" w:type="dxa"/>
            <w:vAlign w:val="bottom"/>
            <w:gridSpan w:val="4"/>
          </w:tcPr>
          <w:p>
            <w:pPr>
              <w:ind w:left="820"/>
              <w:spacing w:after="0"/>
              <w:rPr>
                <w:sz w:val="20"/>
                <w:szCs w:val="20"/>
                <w:color w:val="auto"/>
              </w:rPr>
            </w:pPr>
            <w:r>
              <w:rPr>
                <w:rFonts w:ascii="Arial" w:cs="Arial" w:eastAsia="Arial" w:hAnsi="Arial"/>
                <w:sz w:val="16"/>
                <w:szCs w:val="16"/>
                <w:color w:val="auto"/>
              </w:rPr>
              <w:t>June 30, 2020</w:t>
            </w:r>
          </w:p>
        </w:tc>
        <w:tc>
          <w:tcPr>
            <w:tcW w:w="2500" w:type="dxa"/>
            <w:vAlign w:val="bottom"/>
            <w:gridSpan w:val="3"/>
          </w:tcPr>
          <w:p>
            <w:pPr>
              <w:ind w:left="600"/>
              <w:spacing w:after="0"/>
              <w:rPr>
                <w:sz w:val="20"/>
                <w:szCs w:val="20"/>
                <w:color w:val="auto"/>
              </w:rPr>
            </w:pPr>
            <w:r>
              <w:rPr>
                <w:rFonts w:ascii="Arial" w:cs="Arial" w:eastAsia="Arial" w:hAnsi="Arial"/>
                <w:sz w:val="16"/>
                <w:szCs w:val="16"/>
                <w:color w:val="auto"/>
              </w:rPr>
              <w:t>December 31, 2019</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6"/>
                <w:szCs w:val="16"/>
                <w:color w:val="auto"/>
              </w:rPr>
              <w:t>Notional</w:t>
            </w: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6"/>
                <w:szCs w:val="16"/>
                <w:color w:val="auto"/>
                <w:w w:val="98"/>
              </w:rPr>
              <w:t>Maximum</w:t>
            </w:r>
          </w:p>
        </w:tc>
        <w:tc>
          <w:tcPr>
            <w:tcW w:w="1300" w:type="dxa"/>
            <w:vAlign w:val="bottom"/>
            <w:gridSpan w:val="2"/>
            <w:vMerge w:val="restart"/>
          </w:tcPr>
          <w:p>
            <w:pPr>
              <w:ind w:left="300"/>
              <w:spacing w:after="0"/>
              <w:rPr>
                <w:sz w:val="20"/>
                <w:szCs w:val="20"/>
                <w:color w:val="auto"/>
              </w:rPr>
            </w:pPr>
            <w:r>
              <w:rPr>
                <w:rFonts w:ascii="Arial" w:cs="Arial" w:eastAsia="Arial" w:hAnsi="Arial"/>
                <w:sz w:val="16"/>
                <w:szCs w:val="16"/>
                <w:color w:val="auto"/>
              </w:rPr>
              <w:t>Notional</w:t>
            </w:r>
          </w:p>
        </w:tc>
        <w:tc>
          <w:tcPr>
            <w:tcW w:w="1200" w:type="dxa"/>
            <w:vAlign w:val="bottom"/>
          </w:tcPr>
          <w:p>
            <w:pPr>
              <w:jc w:val="center"/>
              <w:spacing w:after="0" w:line="159" w:lineRule="exact"/>
              <w:rPr>
                <w:sz w:val="20"/>
                <w:szCs w:val="20"/>
                <w:color w:val="auto"/>
              </w:rPr>
            </w:pPr>
            <w:r>
              <w:rPr>
                <w:rFonts w:ascii="Arial" w:cs="Arial" w:eastAsia="Arial" w:hAnsi="Arial"/>
                <w:sz w:val="16"/>
                <w:szCs w:val="16"/>
                <w:color w:val="auto"/>
                <w:w w:val="95"/>
              </w:rPr>
              <w:t>Maximum</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8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color w:val="auto"/>
                <w:w w:val="90"/>
              </w:rPr>
              <w:t>Term</w:t>
            </w:r>
          </w:p>
        </w:tc>
        <w:tc>
          <w:tcPr>
            <w:tcW w:w="1300" w:type="dxa"/>
            <w:vAlign w:val="bottom"/>
            <w:gridSpan w:val="2"/>
            <w:vMerge w:val="continue"/>
          </w:tcPr>
          <w:p>
            <w:pPr>
              <w:spacing w:after="0"/>
              <w:rPr>
                <w:sz w:val="11"/>
                <w:szCs w:val="11"/>
                <w:color w:val="auto"/>
              </w:rPr>
            </w:pPr>
          </w:p>
        </w:tc>
        <w:tc>
          <w:tcPr>
            <w:tcW w:w="120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w w:val="90"/>
              </w:rPr>
              <w:t>Term</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8"/>
              </w:rPr>
              <w:t>Units</w:t>
            </w:r>
          </w:p>
        </w:tc>
        <w:tc>
          <w:tcPr>
            <w:tcW w:w="1340" w:type="dxa"/>
            <w:vAlign w:val="bottom"/>
            <w:gridSpan w:val="2"/>
            <w:vMerge w:val="restart"/>
          </w:tcPr>
          <w:p>
            <w:pPr>
              <w:ind w:left="320"/>
              <w:spacing w:after="0"/>
              <w:rPr>
                <w:sz w:val="20"/>
                <w:szCs w:val="20"/>
                <w:color w:val="auto"/>
              </w:rPr>
            </w:pPr>
            <w:r>
              <w:rPr>
                <w:rFonts w:ascii="Arial" w:cs="Arial" w:eastAsia="Arial" w:hAnsi="Arial"/>
                <w:sz w:val="16"/>
                <w:szCs w:val="16"/>
                <w:color w:val="auto"/>
              </w:rPr>
              <w:t>Amounts</w:t>
            </w:r>
          </w:p>
        </w:tc>
        <w:tc>
          <w:tcPr>
            <w:tcW w:w="1280" w:type="dxa"/>
            <w:vAlign w:val="bottom"/>
            <w:gridSpan w:val="2"/>
            <w:vMerge w:val="continue"/>
          </w:tcPr>
          <w:p>
            <w:pPr>
              <w:spacing w:after="0"/>
              <w:rPr>
                <w:sz w:val="2"/>
                <w:szCs w:val="2"/>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6"/>
                <w:szCs w:val="16"/>
                <w:color w:val="auto"/>
              </w:rPr>
              <w:t>Amounts</w:t>
            </w: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80" w:type="dxa"/>
            <w:vAlign w:val="bottom"/>
            <w:gridSpan w:val="2"/>
          </w:tcPr>
          <w:p>
            <w:pPr>
              <w:jc w:val="center"/>
              <w:ind w:right="120"/>
              <w:spacing w:after="0" w:line="213" w:lineRule="exact"/>
              <w:rPr>
                <w:sz w:val="20"/>
                <w:szCs w:val="20"/>
                <w:color w:val="auto"/>
              </w:rPr>
            </w:pPr>
            <w:r>
              <w:rPr>
                <w:rFonts w:ascii="Arial" w:cs="Arial" w:eastAsia="Arial" w:hAnsi="Arial"/>
                <w:sz w:val="16"/>
                <w:szCs w:val="16"/>
                <w:color w:val="auto"/>
                <w:w w:val="84"/>
              </w:rPr>
              <w:t xml:space="preserve">(months) </w:t>
            </w:r>
            <w:r>
              <w:rPr>
                <w:rFonts w:ascii="Arial" w:cs="Arial" w:eastAsia="Arial" w:hAnsi="Arial"/>
                <w:sz w:val="21"/>
                <w:szCs w:val="21"/>
                <w:color w:val="auto"/>
                <w:w w:val="84"/>
                <w:vertAlign w:val="superscript"/>
              </w:rPr>
              <w:t>(a)</w:t>
            </w:r>
          </w:p>
        </w:tc>
        <w:tc>
          <w:tcPr>
            <w:tcW w:w="1300" w:type="dxa"/>
            <w:vAlign w:val="bottom"/>
            <w:gridSpan w:val="2"/>
            <w:vMerge w:val="continue"/>
          </w:tcPr>
          <w:p>
            <w:pPr>
              <w:spacing w:after="0"/>
              <w:rPr>
                <w:sz w:val="18"/>
                <w:szCs w:val="18"/>
                <w:color w:val="auto"/>
              </w:rPr>
            </w:pPr>
          </w:p>
        </w:tc>
        <w:tc>
          <w:tcPr>
            <w:tcW w:w="1200" w:type="dxa"/>
            <w:vAlign w:val="bottom"/>
          </w:tcPr>
          <w:p>
            <w:pPr>
              <w:jc w:val="center"/>
              <w:spacing w:after="0" w:line="213"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c>
          <w:tcPr>
            <w:tcW w:w="0" w:type="dxa"/>
            <w:vAlign w:val="bottom"/>
          </w:tcPr>
          <w:p>
            <w:pPr>
              <w:spacing w:after="0"/>
              <w:rPr>
                <w:sz w:val="1"/>
                <w:szCs w:val="1"/>
                <w:color w:val="auto"/>
              </w:rPr>
            </w:pPr>
          </w:p>
        </w:tc>
      </w:tr>
      <w:tr>
        <w:trPr>
          <w:trHeight w:val="230"/>
        </w:trPr>
        <w:tc>
          <w:tcPr>
            <w:tcW w:w="4800" w:type="dxa"/>
            <w:vAlign w:val="bottom"/>
            <w:tcBorders>
              <w:top w:val="single" w:sz="8" w:color="CEFFE7"/>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futures purchased</w:t>
            </w:r>
          </w:p>
        </w:tc>
        <w:tc>
          <w:tcPr>
            <w:tcW w:w="1260" w:type="dxa"/>
            <w:vAlign w:val="bottom"/>
            <w:tcBorders>
              <w:top w:val="single" w:sz="8" w:color="auto"/>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220" w:type="dxa"/>
            <w:vAlign w:val="bottom"/>
            <w:tcBorders>
              <w:top w:val="single" w:sz="8" w:color="auto"/>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660,000</w:t>
            </w:r>
          </w:p>
        </w:tc>
        <w:tc>
          <w:tcPr>
            <w:tcW w:w="120" w:type="dxa"/>
            <w:vAlign w:val="bottom"/>
            <w:tcBorders>
              <w:top w:val="single" w:sz="8" w:color="CEFFE7"/>
              <w:bottom w:val="single" w:sz="8" w:color="CEFFE7"/>
            </w:tcBorders>
            <w:shd w:val="clear" w:color="auto" w:fill="CEFFE7"/>
          </w:tcPr>
          <w:p>
            <w:pPr>
              <w:spacing w:after="0"/>
              <w:rPr>
                <w:sz w:val="20"/>
                <w:szCs w:val="20"/>
                <w:color w:val="auto"/>
              </w:rPr>
            </w:pPr>
          </w:p>
        </w:tc>
        <w:tc>
          <w:tcPr>
            <w:tcW w:w="1180" w:type="dxa"/>
            <w:vAlign w:val="bottom"/>
            <w:tcBorders>
              <w:top w:val="single" w:sz="8" w:color="auto"/>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tcBorders>
              <w:top w:val="single" w:sz="8" w:color="CEFFE7"/>
              <w:bottom w:val="single" w:sz="8" w:color="CEFFE7"/>
            </w:tcBorders>
            <w:shd w:val="clear" w:color="auto" w:fill="CEFFE7"/>
          </w:tcPr>
          <w:p>
            <w:pPr>
              <w:spacing w:after="0"/>
              <w:rPr>
                <w:sz w:val="20"/>
                <w:szCs w:val="20"/>
                <w:color w:val="auto"/>
              </w:rPr>
            </w:pPr>
          </w:p>
        </w:tc>
        <w:tc>
          <w:tcPr>
            <w:tcW w:w="1200" w:type="dxa"/>
            <w:vAlign w:val="bottom"/>
            <w:tcBorders>
              <w:top w:val="single" w:sz="8" w:color="auto"/>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1,450,000</w:t>
            </w:r>
          </w:p>
        </w:tc>
        <w:tc>
          <w:tcPr>
            <w:tcW w:w="100" w:type="dxa"/>
            <w:vAlign w:val="bottom"/>
            <w:tcBorders>
              <w:top w:val="single" w:sz="8" w:color="CEFFE7"/>
              <w:bottom w:val="single" w:sz="8" w:color="CEFFE7"/>
            </w:tcBorders>
            <w:shd w:val="clear" w:color="auto" w:fill="CEFFE7"/>
          </w:tcPr>
          <w:p>
            <w:pPr>
              <w:spacing w:after="0"/>
              <w:rPr>
                <w:sz w:val="20"/>
                <w:szCs w:val="20"/>
                <w:color w:val="auto"/>
              </w:rPr>
            </w:pPr>
          </w:p>
        </w:tc>
        <w:tc>
          <w:tcPr>
            <w:tcW w:w="1200" w:type="dxa"/>
            <w:vAlign w:val="bottom"/>
            <w:tcBorders>
              <w:top w:val="single" w:sz="8" w:color="auto"/>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260" w:type="dxa"/>
            <w:vAlign w:val="bottom"/>
          </w:tcPr>
          <w:p>
            <w:pPr>
              <w:jc w:val="center"/>
              <w:spacing w:after="0"/>
              <w:rPr>
                <w:sz w:val="20"/>
                <w:szCs w:val="20"/>
                <w:color w:val="auto"/>
              </w:rPr>
            </w:pPr>
            <w:r>
              <w:rPr>
                <w:rFonts w:ascii="Arial" w:cs="Arial" w:eastAsia="Arial" w:hAnsi="Arial"/>
                <w:sz w:val="16"/>
                <w:szCs w:val="16"/>
                <w:color w:val="auto"/>
              </w:rPr>
              <w:t>MMBtus</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950,000</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3,240,000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basis swaps purchased</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2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520,000</w:t>
            </w:r>
          </w:p>
        </w:tc>
        <w:tc>
          <w:tcPr>
            <w:tcW w:w="120" w:type="dxa"/>
            <w:vAlign w:val="bottom"/>
            <w:tcBorders>
              <w:bottom w:val="single" w:sz="8" w:color="CEFFE7"/>
            </w:tcBorders>
            <w:shd w:val="clear" w:color="auto" w:fill="CEFFE7"/>
          </w:tcPr>
          <w:p>
            <w:pPr>
              <w:spacing w:after="0"/>
              <w:rPr>
                <w:sz w:val="20"/>
                <w:szCs w:val="20"/>
                <w:color w:val="auto"/>
              </w:rPr>
            </w:pPr>
          </w:p>
        </w:tc>
        <w:tc>
          <w:tcPr>
            <w:tcW w:w="11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1,290,000</w:t>
            </w:r>
          </w:p>
        </w:tc>
        <w:tc>
          <w:tcPr>
            <w:tcW w:w="10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57"/>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260" w:type="dxa"/>
            <w:vAlign w:val="bottom"/>
          </w:tcPr>
          <w:p>
            <w:pPr>
              <w:jc w:val="center"/>
              <w:spacing w:after="0"/>
              <w:rPr>
                <w:sz w:val="20"/>
                <w:szCs w:val="20"/>
                <w:color w:val="auto"/>
              </w:rPr>
            </w:pPr>
            <w:r>
              <w:rPr>
                <w:rFonts w:ascii="Arial" w:cs="Arial" w:eastAsia="Arial" w:hAnsi="Arial"/>
                <w:sz w:val="16"/>
                <w:szCs w:val="16"/>
                <w:color w:val="auto"/>
              </w:rPr>
              <w:t>MMBtus</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6,480,000</w:t>
            </w:r>
          </w:p>
        </w:tc>
        <w:tc>
          <w:tcPr>
            <w:tcW w:w="12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0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4,600,000</w:t>
            </w:r>
          </w:p>
        </w:tc>
        <w:tc>
          <w:tcPr>
            <w:tcW w:w="10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56"/>
        </w:trPr>
        <w:tc>
          <w:tcPr>
            <w:tcW w:w="4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26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2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8,085,376</w:t>
            </w:r>
          </w:p>
        </w:tc>
        <w:tc>
          <w:tcPr>
            <w:tcW w:w="120" w:type="dxa"/>
            <w:vAlign w:val="bottom"/>
            <w:shd w:val="clear" w:color="auto" w:fill="CEFFE7"/>
          </w:tcPr>
          <w:p>
            <w:pPr>
              <w:spacing w:after="0"/>
              <w:rPr>
                <w:sz w:val="22"/>
                <w:szCs w:val="22"/>
                <w:color w:val="auto"/>
              </w:rPr>
            </w:pPr>
          </w:p>
        </w:tc>
        <w:tc>
          <w:tcPr>
            <w:tcW w:w="11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EFFE7"/>
          </w:tcPr>
          <w:p>
            <w:pPr>
              <w:spacing w:after="0"/>
              <w:rPr>
                <w:sz w:val="22"/>
                <w:szCs w:val="22"/>
                <w:color w:val="auto"/>
              </w:rPr>
            </w:pPr>
          </w:p>
        </w:tc>
        <w:tc>
          <w:tcPr>
            <w:tcW w:w="12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13,548,235</w:t>
            </w:r>
          </w:p>
        </w:tc>
        <w:tc>
          <w:tcPr>
            <w:tcW w:w="100" w:type="dxa"/>
            <w:vAlign w:val="bottom"/>
            <w:shd w:val="clear" w:color="auto" w:fill="CEFFE7"/>
          </w:tcPr>
          <w:p>
            <w:pPr>
              <w:spacing w:after="0"/>
              <w:rPr>
                <w:sz w:val="22"/>
                <w:szCs w:val="22"/>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319"/>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Electric wholesale contracts </w:t>
            </w:r>
            <w:r>
              <w:rPr>
                <w:rFonts w:ascii="Arial" w:cs="Arial" w:eastAsia="Arial" w:hAnsi="Arial"/>
                <w:sz w:val="21"/>
                <w:szCs w:val="21"/>
                <w:color w:val="auto"/>
                <w:vertAlign w:val="superscript"/>
              </w:rPr>
              <w:t>(c)</w:t>
            </w:r>
          </w:p>
        </w:tc>
        <w:tc>
          <w:tcPr>
            <w:tcW w:w="1260" w:type="dxa"/>
            <w:vAlign w:val="bottom"/>
          </w:tcPr>
          <w:p>
            <w:pPr>
              <w:jc w:val="center"/>
              <w:spacing w:after="0"/>
              <w:rPr>
                <w:sz w:val="20"/>
                <w:szCs w:val="20"/>
                <w:color w:val="auto"/>
              </w:rPr>
            </w:pPr>
            <w:r>
              <w:rPr>
                <w:rFonts w:ascii="Arial" w:cs="Arial" w:eastAsia="Arial" w:hAnsi="Arial"/>
                <w:sz w:val="16"/>
                <w:szCs w:val="16"/>
                <w:color w:val="auto"/>
              </w:rPr>
              <w:t>MWh</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141,225</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9"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June 30, 2020, 1,776,900 MMBtus of natural gas over-the-counter swaps purchases were designated as cash flow hedges.</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Volumes exclude contracts that qualify for the normal purchases and normal sales exception.</w:t>
      </w:r>
    </w:p>
    <w:p>
      <w:pPr>
        <w:spacing w:after="0" w:line="230"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have certain derivative contracts which contain credit provisions. These credit provisions may require the Company to post collateral when credit exposure to the Company is in excess of a negotiated line of unsecured credit. At June 30, 2020, the Company posted $0.5 million related to such provisions, which is included in Other current assets on the Condensed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by Balance Sheet Classification</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and balance sheet classification of our derivative instruments (in thousands) as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3700" w:type="dxa"/>
            <w:vAlign w:val="bottom"/>
          </w:tcPr>
          <w:p>
            <w:pPr>
              <w:ind w:left="1020"/>
              <w:spacing w:after="0"/>
              <w:rPr>
                <w:sz w:val="20"/>
                <w:szCs w:val="20"/>
                <w:color w:val="auto"/>
              </w:rPr>
            </w:pPr>
            <w:r>
              <w:rPr>
                <w:rFonts w:ascii="Arial" w:cs="Arial" w:eastAsia="Arial" w:hAnsi="Arial"/>
                <w:sz w:val="16"/>
                <w:szCs w:val="16"/>
                <w:color w:val="auto"/>
              </w:rPr>
              <w:t>Balance Sheet Location</w:t>
            </w:r>
          </w:p>
        </w:tc>
        <w:tc>
          <w:tcPr>
            <w:tcW w:w="260" w:type="dxa"/>
            <w:vAlign w:val="bottom"/>
          </w:tcPr>
          <w:p>
            <w:pPr>
              <w:spacing w:after="0"/>
              <w:rPr>
                <w:sz w:val="20"/>
                <w:szCs w:val="20"/>
                <w:color w:val="auto"/>
              </w:rPr>
            </w:pPr>
          </w:p>
        </w:tc>
        <w:tc>
          <w:tcPr>
            <w:tcW w:w="1540" w:type="dxa"/>
            <w:vAlign w:val="bottom"/>
          </w:tcPr>
          <w:p>
            <w:pPr>
              <w:jc w:val="right"/>
              <w:ind w:right="298"/>
              <w:spacing w:after="0"/>
              <w:rPr>
                <w:sz w:val="20"/>
                <w:szCs w:val="20"/>
                <w:color w:val="auto"/>
              </w:rPr>
            </w:pPr>
            <w:r>
              <w:rPr>
                <w:rFonts w:ascii="Arial" w:cs="Arial" w:eastAsia="Arial" w:hAnsi="Arial"/>
                <w:sz w:val="18"/>
                <w:szCs w:val="18"/>
                <w:color w:val="auto"/>
                <w:w w:val="99"/>
              </w:rPr>
              <w:t>June 30, 2020</w:t>
            </w:r>
          </w:p>
        </w:tc>
        <w:tc>
          <w:tcPr>
            <w:tcW w:w="200" w:type="dxa"/>
            <w:vAlign w:val="bottom"/>
          </w:tcPr>
          <w:p>
            <w:pPr>
              <w:spacing w:after="0"/>
              <w:rPr>
                <w:sz w:val="20"/>
                <w:szCs w:val="20"/>
                <w:color w:val="auto"/>
              </w:rPr>
            </w:pPr>
          </w:p>
        </w:tc>
        <w:tc>
          <w:tcPr>
            <w:tcW w:w="1720" w:type="dxa"/>
            <w:vAlign w:val="bottom"/>
          </w:tcPr>
          <w:p>
            <w:pPr>
              <w:jc w:val="right"/>
              <w:ind w:right="158"/>
              <w:spacing w:after="0"/>
              <w:rPr>
                <w:sz w:val="20"/>
                <w:szCs w:val="20"/>
                <w:color w:val="auto"/>
              </w:rPr>
            </w:pPr>
            <w:r>
              <w:rPr>
                <w:rFonts w:ascii="Arial" w:cs="Arial" w:eastAsia="Arial" w:hAnsi="Arial"/>
                <w:sz w:val="18"/>
                <w:szCs w:val="18"/>
                <w:color w:val="auto"/>
                <w:w w:val="92"/>
              </w:rPr>
              <w:t>December 31, 2019</w:t>
            </w:r>
          </w:p>
        </w:tc>
        <w:tc>
          <w:tcPr>
            <w:tcW w:w="0" w:type="dxa"/>
            <w:vAlign w:val="bottom"/>
          </w:tcPr>
          <w:p>
            <w:pPr>
              <w:spacing w:after="0"/>
              <w:rPr>
                <w:sz w:val="1"/>
                <w:szCs w:val="1"/>
                <w:color w:val="auto"/>
              </w:rPr>
            </w:pPr>
          </w:p>
        </w:tc>
      </w:tr>
      <w:tr>
        <w:trPr>
          <w:trHeight w:val="27"/>
        </w:trPr>
        <w:tc>
          <w:tcPr>
            <w:tcW w:w="3820" w:type="dxa"/>
            <w:vAlign w:val="bottom"/>
            <w:vMerge w:val="restart"/>
          </w:tcPr>
          <w:p>
            <w:pPr>
              <w:ind w:left="20"/>
              <w:spacing w:after="0"/>
              <w:rPr>
                <w:sz w:val="20"/>
                <w:szCs w:val="20"/>
                <w:color w:val="auto"/>
              </w:rPr>
            </w:pPr>
            <w:r>
              <w:rPr>
                <w:rFonts w:ascii="Arial" w:cs="Arial" w:eastAsia="Arial" w:hAnsi="Arial"/>
                <w:sz w:val="16"/>
                <w:szCs w:val="16"/>
                <w:color w:val="auto"/>
              </w:rPr>
              <w:t>Derivatives designated as hedges:</w:t>
            </w:r>
          </w:p>
        </w:tc>
        <w:tc>
          <w:tcPr>
            <w:tcW w:w="3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20" w:type="dxa"/>
            <w:vAlign w:val="bottom"/>
            <w:vMerge w:val="continue"/>
          </w:tcPr>
          <w:p>
            <w:pPr>
              <w:spacing w:after="0"/>
              <w:rPr>
                <w:sz w:val="17"/>
                <w:szCs w:val="17"/>
                <w:color w:val="auto"/>
              </w:rPr>
            </w:pPr>
          </w:p>
        </w:tc>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70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spacing w:after="0"/>
              <w:rPr>
                <w:sz w:val="20"/>
                <w:szCs w:val="20"/>
                <w:color w:val="auto"/>
              </w:rPr>
            </w:pPr>
          </w:p>
        </w:tc>
        <w:tc>
          <w:tcPr>
            <w:tcW w:w="200" w:type="dxa"/>
            <w:vAlign w:val="bottom"/>
            <w:tcBorders>
              <w:bottom w:val="single" w:sz="8" w:color="CEFFE7"/>
            </w:tcBorders>
            <w:shd w:val="clear" w:color="auto" w:fill="CEFFE7"/>
          </w:tcPr>
          <w:p>
            <w:pPr>
              <w:spacing w:after="0"/>
              <w:rPr>
                <w:sz w:val="20"/>
                <w:szCs w:val="20"/>
                <w:color w:val="auto"/>
              </w:rPr>
            </w:pPr>
          </w:p>
        </w:tc>
        <w:tc>
          <w:tcPr>
            <w:tcW w:w="172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70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8"/>
              <w:spacing w:after="0"/>
              <w:rPr>
                <w:sz w:val="20"/>
                <w:szCs w:val="20"/>
                <w:color w:val="auto"/>
              </w:rPr>
            </w:pPr>
            <w:r>
              <w:rPr>
                <w:rFonts w:ascii="Arial" w:cs="Arial" w:eastAsia="Arial" w:hAnsi="Arial"/>
                <w:sz w:val="16"/>
                <w:szCs w:val="16"/>
                <w:color w:val="auto"/>
              </w:rPr>
              <w:t>66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Borders>
              <w:bottom w:val="single" w:sz="8" w:color="CEFFE7"/>
            </w:tcBorders>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7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26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8"/>
              <w:spacing w:after="0"/>
              <w:rPr>
                <w:sz w:val="20"/>
                <w:szCs w:val="20"/>
                <w:color w:val="auto"/>
              </w:rPr>
            </w:pPr>
            <w:r>
              <w:rPr>
                <w:rFonts w:ascii="Arial" w:cs="Arial" w:eastAsia="Arial" w:hAnsi="Arial"/>
                <w:sz w:val="16"/>
                <w:szCs w:val="16"/>
                <w:color w:val="auto"/>
              </w:rPr>
              <w:t>83</w:t>
            </w:r>
          </w:p>
        </w:tc>
        <w:tc>
          <w:tcPr>
            <w:tcW w:w="200" w:type="dxa"/>
            <w:vAlign w:val="bottom"/>
            <w:tcBorders>
              <w:bottom w:val="single" w:sz="8" w:color="CEFFE7"/>
            </w:tcBorders>
            <w:shd w:val="clear" w:color="auto" w:fill="CEFFE7"/>
          </w:tcPr>
          <w:p>
            <w:pPr>
              <w:spacing w:after="0"/>
              <w:rPr>
                <w:sz w:val="20"/>
                <w:szCs w:val="20"/>
                <w:color w:val="auto"/>
              </w:rPr>
            </w:pPr>
          </w:p>
        </w:tc>
        <w:tc>
          <w:tcPr>
            <w:tcW w:w="1720" w:type="dxa"/>
            <w:vAlign w:val="bottom"/>
            <w:tcBorders>
              <w:bottom w:val="single" w:sz="8" w:color="CEFFE7"/>
            </w:tcBorders>
            <w:shd w:val="clear" w:color="auto" w:fill="CEFFE7"/>
          </w:tcPr>
          <w:p>
            <w:pPr>
              <w:jc w:val="right"/>
              <w:ind w:right="78"/>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4"/>
        </w:trPr>
        <w:tc>
          <w:tcPr>
            <w:tcW w:w="382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tcBorders>
              <w:bottom w:val="single" w:sz="8" w:color="CEFFE7"/>
            </w:tcBorders>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7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26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(324)</w:t>
            </w:r>
          </w:p>
        </w:tc>
        <w:tc>
          <w:tcPr>
            <w:tcW w:w="200" w:type="dxa"/>
            <w:vAlign w:val="bottom"/>
            <w:tcBorders>
              <w:bottom w:val="single" w:sz="8" w:color="CEFFE7"/>
            </w:tcBorders>
            <w:shd w:val="clear" w:color="auto" w:fill="CEFFE7"/>
          </w:tcPr>
          <w:p>
            <w:pPr>
              <w:spacing w:after="0"/>
              <w:rPr>
                <w:sz w:val="20"/>
                <w:szCs w:val="20"/>
                <w:color w:val="auto"/>
              </w:rPr>
            </w:pPr>
          </w:p>
        </w:tc>
        <w:tc>
          <w:tcPr>
            <w:tcW w:w="1720" w:type="dxa"/>
            <w:vAlign w:val="bottom"/>
            <w:tcBorders>
              <w:bottom w:val="single" w:sz="8" w:color="CEFFE7"/>
            </w:tcBorders>
            <w:shd w:val="clear" w:color="auto" w:fill="CEFFE7"/>
          </w:tcPr>
          <w:p>
            <w:pPr>
              <w:jc w:val="right"/>
              <w:ind w:right="38"/>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23"/>
        </w:trPr>
        <w:tc>
          <w:tcPr>
            <w:tcW w:w="3820" w:type="dxa"/>
            <w:vAlign w:val="bottom"/>
          </w:tcPr>
          <w:p>
            <w:pPr>
              <w:ind w:left="300"/>
              <w:spacing w:after="0"/>
              <w:rPr>
                <w:sz w:val="20"/>
                <w:szCs w:val="20"/>
                <w:color w:val="auto"/>
              </w:rPr>
            </w:pPr>
            <w:r>
              <w:rPr>
                <w:rFonts w:ascii="Arial" w:cs="Arial" w:eastAsia="Arial" w:hAnsi="Arial"/>
                <w:sz w:val="16"/>
                <w:szCs w:val="16"/>
                <w:color w:val="auto"/>
              </w:rPr>
              <w:t>Noncurrent commodity derivatives</w:t>
            </w:r>
          </w:p>
        </w:tc>
        <w:tc>
          <w:tcPr>
            <w:tcW w:w="3700" w:type="dxa"/>
            <w:vAlign w:val="bottom"/>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60" w:type="dxa"/>
            <w:vAlign w:val="bottom"/>
          </w:tcPr>
          <w:p>
            <w:pPr>
              <w:spacing w:after="0"/>
              <w:rPr>
                <w:sz w:val="19"/>
                <w:szCs w:val="19"/>
                <w:color w:val="auto"/>
              </w:rPr>
            </w:pPr>
          </w:p>
        </w:tc>
        <w:tc>
          <w:tcPr>
            <w:tcW w:w="15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370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70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EFFE7"/>
          </w:tcPr>
          <w:p>
            <w:pPr>
              <w:jc w:val="right"/>
              <w:ind w:right="38"/>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370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7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Derivatives not designated as hedges:</w:t>
            </w:r>
          </w:p>
        </w:tc>
        <w:tc>
          <w:tcPr>
            <w:tcW w:w="370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spacing w:after="0"/>
              <w:rPr>
                <w:sz w:val="20"/>
                <w:szCs w:val="20"/>
                <w:color w:val="auto"/>
              </w:rPr>
            </w:pPr>
          </w:p>
        </w:tc>
        <w:tc>
          <w:tcPr>
            <w:tcW w:w="200" w:type="dxa"/>
            <w:vAlign w:val="bottom"/>
            <w:tcBorders>
              <w:bottom w:val="single" w:sz="8" w:color="CEFFE7"/>
            </w:tcBorders>
            <w:shd w:val="clear" w:color="auto" w:fill="CEFFE7"/>
          </w:tcPr>
          <w:p>
            <w:pPr>
              <w:spacing w:after="0"/>
              <w:rPr>
                <w:sz w:val="20"/>
                <w:szCs w:val="20"/>
                <w:color w:val="auto"/>
              </w:rPr>
            </w:pPr>
          </w:p>
        </w:tc>
        <w:tc>
          <w:tcPr>
            <w:tcW w:w="172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20" w:type="dxa"/>
            <w:vAlign w:val="bottom"/>
          </w:tcPr>
          <w:p>
            <w:pPr>
              <w:ind w:left="180"/>
              <w:spacing w:after="0"/>
              <w:rPr>
                <w:sz w:val="20"/>
                <w:szCs w:val="20"/>
                <w:color w:val="auto"/>
              </w:rPr>
            </w:pPr>
            <w:r>
              <w:rPr>
                <w:rFonts w:ascii="Arial" w:cs="Arial" w:eastAsia="Arial" w:hAnsi="Arial"/>
                <w:sz w:val="16"/>
                <w:szCs w:val="16"/>
                <w:color w:val="auto"/>
              </w:rPr>
              <w:t>Asset derivative instruments:</w:t>
            </w:r>
          </w:p>
        </w:tc>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Borders>
              <w:bottom w:val="single" w:sz="8" w:color="CEFFE7"/>
            </w:tcBorders>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7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Derivative assets, current</w:t>
            </w:r>
          </w:p>
        </w:tc>
        <w:tc>
          <w:tcPr>
            <w:tcW w:w="26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EFFE7"/>
            </w:tcBorders>
            <w:shd w:val="clear" w:color="auto" w:fill="CEFFE7"/>
          </w:tcPr>
          <w:p>
            <w:pPr>
              <w:jc w:val="right"/>
              <w:ind w:right="18"/>
              <w:spacing w:after="0"/>
              <w:rPr>
                <w:sz w:val="20"/>
                <w:szCs w:val="20"/>
                <w:color w:val="auto"/>
              </w:rPr>
            </w:pPr>
            <w:r>
              <w:rPr>
                <w:rFonts w:ascii="Arial" w:cs="Arial" w:eastAsia="Arial" w:hAnsi="Arial"/>
                <w:sz w:val="16"/>
                <w:szCs w:val="16"/>
                <w:color w:val="auto"/>
              </w:rPr>
              <w:t>1,515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EFFE7"/>
            </w:tcBorders>
            <w:shd w:val="clear" w:color="auto" w:fill="CEFFE7"/>
          </w:tcPr>
          <w:p>
            <w:pPr>
              <w:jc w:val="right"/>
              <w:ind w:right="78"/>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24"/>
        </w:trPr>
        <w:tc>
          <w:tcPr>
            <w:tcW w:w="3820" w:type="dxa"/>
            <w:vAlign w:val="bottom"/>
          </w:tcPr>
          <w:p>
            <w:pPr>
              <w:ind w:left="300"/>
              <w:spacing w:after="0"/>
              <w:rPr>
                <w:sz w:val="20"/>
                <w:szCs w:val="20"/>
                <w:color w:val="auto"/>
              </w:rPr>
            </w:pPr>
            <w:r>
              <w:rPr>
                <w:rFonts w:ascii="Arial" w:cs="Arial" w:eastAsia="Arial" w:hAnsi="Arial"/>
                <w:sz w:val="16"/>
                <w:szCs w:val="16"/>
                <w:color w:val="auto"/>
              </w:rPr>
              <w:t>Noncurrent commodity derivatives</w:t>
            </w:r>
          </w:p>
        </w:tc>
        <w:tc>
          <w:tcPr>
            <w:tcW w:w="3700" w:type="dxa"/>
            <w:vAlign w:val="bottom"/>
          </w:tcPr>
          <w:p>
            <w:pPr>
              <w:ind w:left="20"/>
              <w:spacing w:after="0"/>
              <w:rPr>
                <w:sz w:val="20"/>
                <w:szCs w:val="20"/>
                <w:color w:val="auto"/>
              </w:rPr>
            </w:pPr>
            <w:r>
              <w:rPr>
                <w:rFonts w:ascii="Arial" w:cs="Arial" w:eastAsia="Arial" w:hAnsi="Arial"/>
                <w:sz w:val="16"/>
                <w:szCs w:val="16"/>
                <w:color w:val="auto"/>
              </w:rPr>
              <w:t>Other assets, non-current</w:t>
            </w:r>
          </w:p>
        </w:tc>
        <w:tc>
          <w:tcPr>
            <w:tcW w:w="260" w:type="dxa"/>
            <w:vAlign w:val="bottom"/>
          </w:tcPr>
          <w:p>
            <w:pPr>
              <w:spacing w:after="0"/>
              <w:rPr>
                <w:sz w:val="19"/>
                <w:szCs w:val="19"/>
                <w:color w:val="auto"/>
              </w:rPr>
            </w:pPr>
          </w:p>
        </w:tc>
        <w:tc>
          <w:tcPr>
            <w:tcW w:w="1540" w:type="dxa"/>
            <w:vAlign w:val="bottom"/>
          </w:tcPr>
          <w:p>
            <w:pPr>
              <w:jc w:val="right"/>
              <w:ind w:right="18"/>
              <w:spacing w:after="0"/>
              <w:rPr>
                <w:sz w:val="20"/>
                <w:szCs w:val="20"/>
                <w:color w:val="auto"/>
              </w:rPr>
            </w:pPr>
            <w:r>
              <w:rPr>
                <w:rFonts w:ascii="Arial" w:cs="Arial" w:eastAsia="Arial" w:hAnsi="Arial"/>
                <w:sz w:val="16"/>
                <w:szCs w:val="16"/>
                <w:color w:val="auto"/>
              </w:rPr>
              <w:t>191</w:t>
            </w:r>
          </w:p>
        </w:tc>
        <w:tc>
          <w:tcPr>
            <w:tcW w:w="200" w:type="dxa"/>
            <w:vAlign w:val="bottom"/>
          </w:tcPr>
          <w:p>
            <w:pPr>
              <w:spacing w:after="0"/>
              <w:rPr>
                <w:sz w:val="19"/>
                <w:szCs w:val="19"/>
                <w:color w:val="auto"/>
              </w:rPr>
            </w:pPr>
          </w:p>
        </w:tc>
        <w:tc>
          <w:tcPr>
            <w:tcW w:w="1720" w:type="dxa"/>
            <w:vAlign w:val="bottom"/>
          </w:tcPr>
          <w:p>
            <w:pPr>
              <w:jc w:val="right"/>
              <w:ind w:right="7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Liability derivative instruments:</w:t>
            </w:r>
          </w:p>
        </w:tc>
        <w:tc>
          <w:tcPr>
            <w:tcW w:w="370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spacing w:after="0"/>
              <w:rPr>
                <w:sz w:val="20"/>
                <w:szCs w:val="20"/>
                <w:color w:val="auto"/>
              </w:rPr>
            </w:pPr>
          </w:p>
        </w:tc>
        <w:tc>
          <w:tcPr>
            <w:tcW w:w="200" w:type="dxa"/>
            <w:vAlign w:val="bottom"/>
            <w:tcBorders>
              <w:bottom w:val="single" w:sz="8" w:color="CEFFE7"/>
            </w:tcBorders>
            <w:shd w:val="clear" w:color="auto" w:fill="CEFFE7"/>
          </w:tcPr>
          <w:p>
            <w:pPr>
              <w:spacing w:after="0"/>
              <w:rPr>
                <w:sz w:val="20"/>
                <w:szCs w:val="20"/>
                <w:color w:val="auto"/>
              </w:rPr>
            </w:pPr>
          </w:p>
        </w:tc>
        <w:tc>
          <w:tcPr>
            <w:tcW w:w="172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2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700" w:type="dxa"/>
            <w:vAlign w:val="bottom"/>
          </w:tcPr>
          <w:p>
            <w:pPr>
              <w:ind w:left="20"/>
              <w:spacing w:after="0"/>
              <w:rPr>
                <w:sz w:val="20"/>
                <w:szCs w:val="20"/>
                <w:color w:val="auto"/>
              </w:rPr>
            </w:pPr>
            <w:r>
              <w:rPr>
                <w:rFonts w:ascii="Arial" w:cs="Arial" w:eastAsia="Arial" w:hAnsi="Arial"/>
                <w:sz w:val="16"/>
                <w:szCs w:val="16"/>
                <w:color w:val="auto"/>
              </w:rPr>
              <w:t>Derivative liabilities, current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(297)</w:t>
            </w:r>
          </w:p>
        </w:tc>
        <w:tc>
          <w:tcPr>
            <w:tcW w:w="200" w:type="dxa"/>
            <w:vAlign w:val="bottom"/>
          </w:tcPr>
          <w:p>
            <w:pPr>
              <w:spacing w:after="0"/>
              <w:rPr>
                <w:sz w:val="19"/>
                <w:szCs w:val="19"/>
                <w:color w:val="auto"/>
              </w:rPr>
            </w:pPr>
          </w:p>
        </w:tc>
        <w:tc>
          <w:tcPr>
            <w:tcW w:w="1720" w:type="dxa"/>
            <w:vAlign w:val="bottom"/>
          </w:tcPr>
          <w:p>
            <w:pPr>
              <w:jc w:val="right"/>
              <w:ind w:right="38"/>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20" w:type="dxa"/>
            <w:vAlign w:val="bottom"/>
            <w:tcBorders>
              <w:bottom w:val="single" w:sz="8" w:color="CEFFE7"/>
            </w:tcBorders>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7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6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EFFE7"/>
            </w:tcBorders>
            <w:shd w:val="clear" w:color="auto" w:fill="CEFFE7"/>
          </w:tcPr>
          <w:p>
            <w:pPr>
              <w:spacing w:after="0"/>
              <w:rPr>
                <w:sz w:val="22"/>
                <w:szCs w:val="22"/>
                <w:color w:val="auto"/>
              </w:rPr>
            </w:pPr>
          </w:p>
        </w:tc>
        <w:tc>
          <w:tcPr>
            <w:tcW w:w="1720" w:type="dxa"/>
            <w:vAlign w:val="bottom"/>
            <w:tcBorders>
              <w:bottom w:val="single" w:sz="8" w:color="CEFFE7"/>
            </w:tcBorders>
            <w:shd w:val="clear" w:color="auto" w:fill="CEFFE7"/>
          </w:tcPr>
          <w:p>
            <w:pPr>
              <w:jc w:val="right"/>
              <w:ind w:right="38"/>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7"/>
        </w:trPr>
        <w:tc>
          <w:tcPr>
            <w:tcW w:w="3820" w:type="dxa"/>
            <w:vAlign w:val="bottom"/>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7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1,394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Hedges</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impacts of cash flow hedges on our Condensed Consolidated Statements of Comprehensive Income and Condensed Consolidated Statements of Income are presented below for the three and six months ended June 30, 2020 and 2019.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tcPr>
          <w:p>
            <w:pPr>
              <w:jc w:val="center"/>
              <w:ind w:right="39"/>
              <w:spacing w:after="0"/>
              <w:rPr>
                <w:sz w:val="20"/>
                <w:szCs w:val="20"/>
                <w:color w:val="auto"/>
              </w:rPr>
            </w:pPr>
            <w:r>
              <w:rPr>
                <w:rFonts w:ascii="Arial" w:cs="Arial" w:eastAsia="Arial" w:hAnsi="Arial"/>
                <w:sz w:val="16"/>
                <w:szCs w:val="16"/>
                <w:color w:val="auto"/>
                <w:w w:val="90"/>
              </w:rPr>
              <w:t>Three Months Ended June</w:t>
            </w:r>
          </w:p>
        </w:tc>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3"/>
          </w:tcPr>
          <w:p>
            <w:pPr>
              <w:jc w:val="center"/>
              <w:ind w:right="39"/>
              <w:spacing w:after="0"/>
              <w:rPr>
                <w:sz w:val="20"/>
                <w:szCs w:val="20"/>
                <w:color w:val="auto"/>
              </w:rPr>
            </w:pPr>
            <w:r>
              <w:rPr>
                <w:rFonts w:ascii="Arial" w:cs="Arial" w:eastAsia="Arial" w:hAnsi="Arial"/>
                <w:sz w:val="16"/>
                <w:szCs w:val="16"/>
                <w:color w:val="auto"/>
                <w:w w:val="90"/>
              </w:rPr>
              <w:t>Three Months Ended June</w:t>
            </w:r>
          </w:p>
        </w:tc>
      </w:tr>
      <w:tr>
        <w:trPr>
          <w:trHeight w:val="206"/>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w w:val="89"/>
              </w:rPr>
              <w:t>30,</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ind w:right="99"/>
              <w:spacing w:after="0"/>
              <w:rPr>
                <w:sz w:val="20"/>
                <w:szCs w:val="20"/>
                <w:color w:val="auto"/>
              </w:rPr>
            </w:pPr>
            <w:r>
              <w:rPr>
                <w:rFonts w:ascii="Arial" w:cs="Arial" w:eastAsia="Arial" w:hAnsi="Arial"/>
                <w:sz w:val="16"/>
                <w:szCs w:val="16"/>
                <w:color w:val="auto"/>
                <w:w w:val="89"/>
              </w:rPr>
              <w:t>30,</w:t>
            </w:r>
          </w:p>
        </w:tc>
        <w:tc>
          <w:tcPr>
            <w:tcW w:w="700" w:type="dxa"/>
            <w:vAlign w:val="bottom"/>
          </w:tcPr>
          <w:p>
            <w:pPr>
              <w:spacing w:after="0"/>
              <w:rPr>
                <w:sz w:val="17"/>
                <w:szCs w:val="17"/>
                <w:color w:val="auto"/>
              </w:rPr>
            </w:pPr>
          </w:p>
        </w:tc>
      </w:tr>
      <w:tr>
        <w:trPr>
          <w:trHeight w:val="33"/>
        </w:trPr>
        <w:tc>
          <w:tcPr>
            <w:tcW w:w="4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8"/>
                <w:szCs w:val="18"/>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2020</w:t>
            </w:r>
          </w:p>
        </w:tc>
        <w:tc>
          <w:tcPr>
            <w:tcW w:w="400" w:type="dxa"/>
            <w:vAlign w:val="bottom"/>
          </w:tcPr>
          <w:p>
            <w:pPr>
              <w:spacing w:after="0"/>
              <w:rPr>
                <w:sz w:val="18"/>
                <w:szCs w:val="18"/>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color w:val="auto"/>
                <w:w w:val="95"/>
              </w:rPr>
              <w:t>2019</w:t>
            </w:r>
          </w:p>
        </w:tc>
      </w:tr>
      <w:tr>
        <w:trPr>
          <w:trHeight w:val="33"/>
        </w:trPr>
        <w:tc>
          <w:tcPr>
            <w:tcW w:w="4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r>
      <w:tr>
        <w:trPr>
          <w:trHeight w:val="213"/>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right="19"/>
              <w:spacing w:after="0"/>
              <w:rPr>
                <w:sz w:val="20"/>
                <w:szCs w:val="20"/>
                <w:color w:val="auto"/>
              </w:rPr>
            </w:pPr>
            <w:r>
              <w:rPr>
                <w:rFonts w:ascii="Arial" w:cs="Arial" w:eastAsia="Arial" w:hAnsi="Arial"/>
                <w:sz w:val="16"/>
                <w:szCs w:val="16"/>
                <w:color w:val="auto"/>
                <w:w w:val="94"/>
              </w:rPr>
              <w:t>Amount of Gain/(Loss)</w:t>
            </w:r>
          </w:p>
        </w:tc>
      </w:tr>
      <w:tr>
        <w:trPr>
          <w:trHeight w:val="203"/>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tcPr>
          <w:p>
            <w:pPr>
              <w:jc w:val="center"/>
              <w:ind w:right="19"/>
              <w:spacing w:after="0"/>
              <w:rPr>
                <w:sz w:val="20"/>
                <w:szCs w:val="20"/>
                <w:color w:val="auto"/>
              </w:rPr>
            </w:pPr>
            <w:r>
              <w:rPr>
                <w:rFonts w:ascii="Arial" w:cs="Arial" w:eastAsia="Arial" w:hAnsi="Arial"/>
                <w:sz w:val="16"/>
                <w:szCs w:val="16"/>
                <w:color w:val="auto"/>
                <w:w w:val="94"/>
              </w:rPr>
              <w:t>Amount of (Gain)/Loss</w:t>
            </w:r>
          </w:p>
        </w:tc>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80" w:type="dxa"/>
            <w:vAlign w:val="bottom"/>
            <w:gridSpan w:val="4"/>
          </w:tcPr>
          <w:p>
            <w:pPr>
              <w:jc w:val="center"/>
              <w:spacing w:after="0"/>
              <w:rPr>
                <w:sz w:val="20"/>
                <w:szCs w:val="20"/>
                <w:color w:val="auto"/>
              </w:rPr>
            </w:pPr>
            <w:r>
              <w:rPr>
                <w:rFonts w:ascii="Arial" w:cs="Arial" w:eastAsia="Arial" w:hAnsi="Arial"/>
                <w:sz w:val="16"/>
                <w:szCs w:val="16"/>
                <w:color w:val="auto"/>
                <w:w w:val="95"/>
              </w:rPr>
              <w:t>Reclassified from AOCI into</w:t>
            </w:r>
          </w:p>
        </w:tc>
      </w:tr>
      <w:tr>
        <w:trPr>
          <w:trHeight w:val="206"/>
        </w:trPr>
        <w:tc>
          <w:tcPr>
            <w:tcW w:w="4200" w:type="dxa"/>
            <w:vAlign w:val="bottom"/>
          </w:tcPr>
          <w:p>
            <w:pPr>
              <w:ind w:left="520"/>
              <w:spacing w:after="0"/>
              <w:rPr>
                <w:sz w:val="20"/>
                <w:szCs w:val="20"/>
                <w:color w:val="auto"/>
              </w:rPr>
            </w:pPr>
            <w:r>
              <w:rPr>
                <w:rFonts w:ascii="Arial" w:cs="Arial" w:eastAsia="Arial" w:hAnsi="Arial"/>
                <w:sz w:val="16"/>
                <w:szCs w:val="16"/>
                <w:color w:val="auto"/>
              </w:rPr>
              <w:t>Derivatives in Cash Flow Hedging Relationships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tcPr>
          <w:p>
            <w:pPr>
              <w:jc w:val="center"/>
              <w:ind w:right="39"/>
              <w:spacing w:after="0"/>
              <w:rPr>
                <w:sz w:val="20"/>
                <w:szCs w:val="20"/>
                <w:color w:val="auto"/>
              </w:rPr>
            </w:pPr>
            <w:r>
              <w:rPr>
                <w:rFonts w:ascii="Arial" w:cs="Arial" w:eastAsia="Arial" w:hAnsi="Arial"/>
                <w:sz w:val="16"/>
                <w:szCs w:val="16"/>
                <w:color w:val="auto"/>
                <w:w w:val="93"/>
              </w:rPr>
              <w:t>Recognized in OCI</w:t>
            </w:r>
          </w:p>
        </w:tc>
        <w:tc>
          <w:tcPr>
            <w:tcW w:w="20" w:type="dxa"/>
            <w:vAlign w:val="bottom"/>
          </w:tcPr>
          <w:p>
            <w:pPr>
              <w:spacing w:after="0"/>
              <w:rPr>
                <w:sz w:val="17"/>
                <w:szCs w:val="17"/>
                <w:color w:val="auto"/>
              </w:rPr>
            </w:pPr>
          </w:p>
        </w:tc>
        <w:tc>
          <w:tcPr>
            <w:tcW w:w="3060" w:type="dxa"/>
            <w:vAlign w:val="bottom"/>
          </w:tcPr>
          <w:p>
            <w:pPr>
              <w:ind w:left="620"/>
              <w:spacing w:after="0"/>
              <w:rPr>
                <w:sz w:val="20"/>
                <w:szCs w:val="20"/>
                <w:color w:val="auto"/>
              </w:rPr>
            </w:pPr>
            <w:r>
              <w:rPr>
                <w:rFonts w:ascii="Arial" w:cs="Arial" w:eastAsia="Arial" w:hAnsi="Arial"/>
                <w:sz w:val="16"/>
                <w:szCs w:val="16"/>
                <w:color w:val="auto"/>
              </w:rPr>
              <w:t>Income Statement Location</w:t>
            </w:r>
          </w:p>
        </w:tc>
        <w:tc>
          <w:tcPr>
            <w:tcW w:w="120" w:type="dxa"/>
            <w:vAlign w:val="bottom"/>
          </w:tcPr>
          <w:p>
            <w:pPr>
              <w:spacing w:after="0"/>
              <w:rPr>
                <w:sz w:val="17"/>
                <w:szCs w:val="17"/>
                <w:color w:val="auto"/>
              </w:rPr>
            </w:pPr>
          </w:p>
        </w:tc>
        <w:tc>
          <w:tcPr>
            <w:tcW w:w="1160" w:type="dxa"/>
            <w:vAlign w:val="bottom"/>
            <w:gridSpan w:val="2"/>
          </w:tcPr>
          <w:p>
            <w:pPr>
              <w:jc w:val="center"/>
              <w:ind w:left="519"/>
              <w:spacing w:after="0"/>
              <w:rPr>
                <w:sz w:val="20"/>
                <w:szCs w:val="20"/>
                <w:color w:val="auto"/>
              </w:rPr>
            </w:pPr>
            <w:r>
              <w:rPr>
                <w:rFonts w:ascii="Arial" w:cs="Arial" w:eastAsia="Arial" w:hAnsi="Arial"/>
                <w:sz w:val="16"/>
                <w:szCs w:val="16"/>
                <w:color w:val="auto"/>
                <w:w w:val="91"/>
              </w:rPr>
              <w:t>Income</w:t>
            </w:r>
          </w:p>
        </w:tc>
        <w:tc>
          <w:tcPr>
            <w:tcW w:w="700" w:type="dxa"/>
            <w:vAlign w:val="bottom"/>
          </w:tcPr>
          <w:p>
            <w:pPr>
              <w:spacing w:after="0"/>
              <w:rPr>
                <w:sz w:val="17"/>
                <w:szCs w:val="17"/>
                <w:color w:val="auto"/>
              </w:rPr>
            </w:pPr>
          </w:p>
        </w:tc>
      </w:tr>
      <w:tr>
        <w:trPr>
          <w:trHeight w:val="33"/>
        </w:trPr>
        <w:tc>
          <w:tcPr>
            <w:tcW w:w="4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r>
      <w:tr>
        <w:trPr>
          <w:trHeight w:val="217"/>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19"/>
              <w:spacing w:after="0"/>
              <w:rPr>
                <w:sz w:val="20"/>
                <w:szCs w:val="20"/>
                <w:color w:val="auto"/>
              </w:rPr>
            </w:pPr>
            <w:r>
              <w:rPr>
                <w:rFonts w:ascii="Arial" w:cs="Arial" w:eastAsia="Arial" w:hAnsi="Arial"/>
                <w:sz w:val="16"/>
                <w:szCs w:val="16"/>
                <w:color w:val="auto"/>
                <w:w w:val="90"/>
              </w:rPr>
              <w:t>(in thousands)</w:t>
            </w: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right="19"/>
              <w:spacing w:after="0"/>
              <w:rPr>
                <w:sz w:val="20"/>
                <w:szCs w:val="20"/>
                <w:color w:val="auto"/>
              </w:rPr>
            </w:pPr>
            <w:r>
              <w:rPr>
                <w:rFonts w:ascii="Arial" w:cs="Arial" w:eastAsia="Arial" w:hAnsi="Arial"/>
                <w:sz w:val="16"/>
                <w:szCs w:val="16"/>
                <w:color w:val="auto"/>
                <w:w w:val="90"/>
              </w:rPr>
              <w:t>(in thousands)</w:t>
            </w:r>
          </w:p>
        </w:tc>
      </w:tr>
      <w:tr>
        <w:trPr>
          <w:trHeight w:val="33"/>
        </w:trPr>
        <w:tc>
          <w:tcPr>
            <w:tcW w:w="420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713</w:t>
            </w:r>
          </w:p>
        </w:tc>
        <w:tc>
          <w:tcPr>
            <w:tcW w:w="20" w:type="dxa"/>
            <w:vAlign w:val="bottom"/>
            <w:tcBorders>
              <w:bottom w:val="single" w:sz="8" w:color="CEFFE7"/>
            </w:tcBorders>
            <w:shd w:val="clear" w:color="auto" w:fill="CEFFE7"/>
          </w:tcPr>
          <w:p>
            <w:pPr>
              <w:spacing w:after="0"/>
              <w:rPr>
                <w:sz w:val="20"/>
                <w:szCs w:val="20"/>
                <w:color w:val="auto"/>
              </w:rPr>
            </w:pPr>
          </w:p>
        </w:tc>
        <w:tc>
          <w:tcPr>
            <w:tcW w:w="306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4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(713)</w:t>
            </w:r>
          </w:p>
        </w:tc>
      </w:tr>
      <w:tr>
        <w:trPr>
          <w:trHeight w:val="220"/>
        </w:trPr>
        <w:tc>
          <w:tcPr>
            <w:tcW w:w="4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6"/>
                <w:szCs w:val="16"/>
                <w:color w:val="auto"/>
                <w:w w:val="92"/>
              </w:rPr>
              <w:t>Fuel, purchased power and cost of natural gas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420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6"/>
                <w:szCs w:val="16"/>
                <w:color w:val="auto"/>
              </w:rPr>
              <w:t>sold</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w:t>
            </w:r>
          </w:p>
        </w:tc>
        <w:tc>
          <w:tcPr>
            <w:tcW w:w="40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83</w:t>
            </w:r>
          </w:p>
        </w:tc>
      </w:tr>
      <w:tr>
        <w:trPr>
          <w:trHeight w:val="33"/>
        </w:trPr>
        <w:tc>
          <w:tcPr>
            <w:tcW w:w="420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2"/>
        </w:trPr>
        <w:tc>
          <w:tcPr>
            <w:tcW w:w="420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724</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112</w:t>
            </w:r>
          </w:p>
        </w:tc>
        <w:tc>
          <w:tcPr>
            <w:tcW w:w="20" w:type="dxa"/>
            <w:vAlign w:val="bottom"/>
            <w:tcBorders>
              <w:bottom w:val="single" w:sz="8" w:color="CEFFE7"/>
            </w:tcBorders>
            <w:shd w:val="clear" w:color="auto" w:fill="CEFFE7"/>
          </w:tcPr>
          <w:p>
            <w:pPr>
              <w:spacing w:after="0"/>
              <w:rPr>
                <w:sz w:val="23"/>
                <w:szCs w:val="23"/>
                <w:color w:val="auto"/>
              </w:rPr>
            </w:pPr>
          </w:p>
        </w:tc>
        <w:tc>
          <w:tcPr>
            <w:tcW w:w="306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(783)</w:t>
            </w:r>
          </w:p>
        </w:tc>
        <w:tc>
          <w:tcPr>
            <w:tcW w:w="4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(630)</w:t>
            </w:r>
          </w:p>
        </w:tc>
      </w:tr>
      <w:tr>
        <w:trPr>
          <w:trHeight w:val="20"/>
        </w:trPr>
        <w:tc>
          <w:tcPr>
            <w:tcW w:w="420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1960" w:type="dxa"/>
            <w:vAlign w:val="bottom"/>
            <w:tcBorders>
              <w:top w:val="single" w:sz="8" w:color="CEFFE7"/>
              <w:bottom w:val="single" w:sz="8" w:color="auto"/>
            </w:tcBorders>
            <w:gridSpan w:val="4"/>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3060" w:type="dxa"/>
            <w:vAlign w:val="bottom"/>
            <w:tcBorders>
              <w:top w:val="single" w:sz="8" w:color="CEFFE7"/>
            </w:tcBorders>
          </w:tcPr>
          <w:p>
            <w:pPr>
              <w:spacing w:after="0" w:line="20" w:lineRule="exact"/>
              <w:rPr>
                <w:sz w:val="1"/>
                <w:szCs w:val="1"/>
                <w:color w:val="auto"/>
              </w:rPr>
            </w:pPr>
          </w:p>
        </w:tc>
        <w:tc>
          <w:tcPr>
            <w:tcW w:w="1980" w:type="dxa"/>
            <w:vAlign w:val="bottom"/>
            <w:tcBorders>
              <w:top w:val="single" w:sz="8" w:color="CEFFE7"/>
              <w:bottom w:val="single" w:sz="8" w:color="auto"/>
            </w:tcBorders>
            <w:gridSpan w:val="4"/>
          </w:tcPr>
          <w:p>
            <w:pPr>
              <w:spacing w:after="0" w:line="20" w:lineRule="exact"/>
              <w:rPr>
                <w:sz w:val="1"/>
                <w:szCs w:val="1"/>
                <w:color w:val="auto"/>
              </w:rPr>
            </w:pPr>
          </w:p>
        </w:tc>
      </w:tr>
      <w:tr>
        <w:trPr>
          <w:trHeight w:val="484"/>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color w:val="auto"/>
                <w:w w:val="90"/>
              </w:rPr>
              <w:t>Six Months Ended June 30,</w:t>
            </w: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80" w:type="dxa"/>
            <w:vAlign w:val="bottom"/>
            <w:gridSpan w:val="4"/>
          </w:tcPr>
          <w:p>
            <w:pPr>
              <w:jc w:val="center"/>
              <w:spacing w:after="0"/>
              <w:rPr>
                <w:sz w:val="20"/>
                <w:szCs w:val="20"/>
                <w:color w:val="auto"/>
              </w:rPr>
            </w:pPr>
            <w:r>
              <w:rPr>
                <w:rFonts w:ascii="Arial" w:cs="Arial" w:eastAsia="Arial" w:hAnsi="Arial"/>
                <w:sz w:val="16"/>
                <w:szCs w:val="16"/>
                <w:color w:val="auto"/>
                <w:w w:val="90"/>
              </w:rPr>
              <w:t>Six Months Ended June 30,</w:t>
            </w:r>
          </w:p>
        </w:tc>
      </w:tr>
      <w:tr>
        <w:trPr>
          <w:trHeight w:val="33"/>
        </w:trPr>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2020</w:t>
            </w:r>
          </w:p>
        </w:tc>
        <w:tc>
          <w:tcPr>
            <w:tcW w:w="400" w:type="dxa"/>
            <w:vAlign w:val="bottom"/>
          </w:tcPr>
          <w:p>
            <w:pPr>
              <w:spacing w:after="0"/>
              <w:rPr>
                <w:sz w:val="18"/>
                <w:szCs w:val="18"/>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color w:val="auto"/>
                <w:w w:val="95"/>
              </w:rPr>
              <w:t>2019</w:t>
            </w:r>
          </w:p>
        </w:tc>
      </w:tr>
      <w:tr>
        <w:trPr>
          <w:trHeight w:val="33"/>
        </w:trPr>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r>
      <w:tr>
        <w:trPr>
          <w:trHeight w:val="213"/>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right="19"/>
              <w:spacing w:after="0"/>
              <w:rPr>
                <w:sz w:val="20"/>
                <w:szCs w:val="20"/>
                <w:color w:val="auto"/>
              </w:rPr>
            </w:pPr>
            <w:r>
              <w:rPr>
                <w:rFonts w:ascii="Arial" w:cs="Arial" w:eastAsia="Arial" w:hAnsi="Arial"/>
                <w:sz w:val="16"/>
                <w:szCs w:val="16"/>
                <w:color w:val="auto"/>
                <w:w w:val="94"/>
              </w:rPr>
              <w:t>Amount of Gain/(Loss)</w:t>
            </w:r>
          </w:p>
        </w:tc>
      </w:tr>
      <w:tr>
        <w:trPr>
          <w:trHeight w:val="203"/>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tcPr>
          <w:p>
            <w:pPr>
              <w:jc w:val="center"/>
              <w:ind w:right="19"/>
              <w:spacing w:after="0"/>
              <w:rPr>
                <w:sz w:val="20"/>
                <w:szCs w:val="20"/>
                <w:color w:val="auto"/>
              </w:rPr>
            </w:pPr>
            <w:r>
              <w:rPr>
                <w:rFonts w:ascii="Arial" w:cs="Arial" w:eastAsia="Arial" w:hAnsi="Arial"/>
                <w:sz w:val="16"/>
                <w:szCs w:val="16"/>
                <w:color w:val="auto"/>
                <w:w w:val="94"/>
              </w:rPr>
              <w:t>Amount of (Gain)/Loss</w:t>
            </w:r>
          </w:p>
        </w:tc>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80" w:type="dxa"/>
            <w:vAlign w:val="bottom"/>
            <w:gridSpan w:val="4"/>
          </w:tcPr>
          <w:p>
            <w:pPr>
              <w:jc w:val="center"/>
              <w:spacing w:after="0"/>
              <w:rPr>
                <w:sz w:val="20"/>
                <w:szCs w:val="20"/>
                <w:color w:val="auto"/>
              </w:rPr>
            </w:pPr>
            <w:r>
              <w:rPr>
                <w:rFonts w:ascii="Arial" w:cs="Arial" w:eastAsia="Arial" w:hAnsi="Arial"/>
                <w:sz w:val="16"/>
                <w:szCs w:val="16"/>
                <w:color w:val="auto"/>
                <w:w w:val="95"/>
              </w:rPr>
              <w:t>Reclassified from AOCI into</w:t>
            </w:r>
          </w:p>
        </w:tc>
      </w:tr>
      <w:tr>
        <w:trPr>
          <w:trHeight w:val="206"/>
        </w:trPr>
        <w:tc>
          <w:tcPr>
            <w:tcW w:w="4200" w:type="dxa"/>
            <w:vAlign w:val="bottom"/>
          </w:tcPr>
          <w:p>
            <w:pPr>
              <w:ind w:left="520"/>
              <w:spacing w:after="0"/>
              <w:rPr>
                <w:sz w:val="20"/>
                <w:szCs w:val="20"/>
                <w:color w:val="auto"/>
              </w:rPr>
            </w:pPr>
            <w:r>
              <w:rPr>
                <w:rFonts w:ascii="Arial" w:cs="Arial" w:eastAsia="Arial" w:hAnsi="Arial"/>
                <w:sz w:val="16"/>
                <w:szCs w:val="16"/>
                <w:color w:val="auto"/>
              </w:rPr>
              <w:t>Derivatives in Cash Flow Hedging Relationships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tcPr>
          <w:p>
            <w:pPr>
              <w:jc w:val="center"/>
              <w:spacing w:after="0"/>
              <w:rPr>
                <w:sz w:val="20"/>
                <w:szCs w:val="20"/>
                <w:color w:val="auto"/>
              </w:rPr>
            </w:pPr>
            <w:r>
              <w:rPr>
                <w:rFonts w:ascii="Arial" w:cs="Arial" w:eastAsia="Arial" w:hAnsi="Arial"/>
                <w:sz w:val="16"/>
                <w:szCs w:val="16"/>
                <w:color w:val="auto"/>
                <w:w w:val="93"/>
              </w:rPr>
              <w:t>Recognized in OCI</w:t>
            </w:r>
          </w:p>
        </w:tc>
        <w:tc>
          <w:tcPr>
            <w:tcW w:w="20" w:type="dxa"/>
            <w:vAlign w:val="bottom"/>
          </w:tcPr>
          <w:p>
            <w:pPr>
              <w:spacing w:after="0"/>
              <w:rPr>
                <w:sz w:val="17"/>
                <w:szCs w:val="17"/>
                <w:color w:val="auto"/>
              </w:rPr>
            </w:pPr>
          </w:p>
        </w:tc>
        <w:tc>
          <w:tcPr>
            <w:tcW w:w="3060" w:type="dxa"/>
            <w:vAlign w:val="bottom"/>
          </w:tcPr>
          <w:p>
            <w:pPr>
              <w:ind w:left="640"/>
              <w:spacing w:after="0"/>
              <w:rPr>
                <w:sz w:val="20"/>
                <w:szCs w:val="20"/>
                <w:color w:val="auto"/>
              </w:rPr>
            </w:pPr>
            <w:r>
              <w:rPr>
                <w:rFonts w:ascii="Arial" w:cs="Arial" w:eastAsia="Arial" w:hAnsi="Arial"/>
                <w:sz w:val="16"/>
                <w:szCs w:val="16"/>
                <w:color w:val="auto"/>
              </w:rPr>
              <w:t>Income Statement Location</w:t>
            </w:r>
          </w:p>
        </w:tc>
        <w:tc>
          <w:tcPr>
            <w:tcW w:w="120" w:type="dxa"/>
            <w:vAlign w:val="bottom"/>
          </w:tcPr>
          <w:p>
            <w:pPr>
              <w:spacing w:after="0"/>
              <w:rPr>
                <w:sz w:val="17"/>
                <w:szCs w:val="17"/>
                <w:color w:val="auto"/>
              </w:rPr>
            </w:pPr>
          </w:p>
        </w:tc>
        <w:tc>
          <w:tcPr>
            <w:tcW w:w="1160" w:type="dxa"/>
            <w:vAlign w:val="bottom"/>
            <w:gridSpan w:val="2"/>
          </w:tcPr>
          <w:p>
            <w:pPr>
              <w:jc w:val="center"/>
              <w:ind w:left="519"/>
              <w:spacing w:after="0"/>
              <w:rPr>
                <w:sz w:val="20"/>
                <w:szCs w:val="20"/>
                <w:color w:val="auto"/>
              </w:rPr>
            </w:pPr>
            <w:r>
              <w:rPr>
                <w:rFonts w:ascii="Arial" w:cs="Arial" w:eastAsia="Arial" w:hAnsi="Arial"/>
                <w:sz w:val="16"/>
                <w:szCs w:val="16"/>
                <w:color w:val="auto"/>
                <w:w w:val="91"/>
              </w:rPr>
              <w:t>Income</w:t>
            </w:r>
          </w:p>
        </w:tc>
        <w:tc>
          <w:tcPr>
            <w:tcW w:w="700" w:type="dxa"/>
            <w:vAlign w:val="bottom"/>
          </w:tcPr>
          <w:p>
            <w:pPr>
              <w:spacing w:after="0"/>
              <w:rPr>
                <w:sz w:val="17"/>
                <w:szCs w:val="17"/>
                <w:color w:val="auto"/>
              </w:rPr>
            </w:pPr>
          </w:p>
        </w:tc>
      </w:tr>
      <w:tr>
        <w:trPr>
          <w:trHeight w:val="33"/>
        </w:trPr>
        <w:tc>
          <w:tcPr>
            <w:tcW w:w="4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r>
      <w:tr>
        <w:trPr>
          <w:trHeight w:val="217"/>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19"/>
              <w:spacing w:after="0"/>
              <w:rPr>
                <w:sz w:val="20"/>
                <w:szCs w:val="20"/>
                <w:color w:val="auto"/>
              </w:rPr>
            </w:pPr>
            <w:r>
              <w:rPr>
                <w:rFonts w:ascii="Arial" w:cs="Arial" w:eastAsia="Arial" w:hAnsi="Arial"/>
                <w:sz w:val="16"/>
                <w:szCs w:val="16"/>
                <w:color w:val="auto"/>
                <w:w w:val="90"/>
              </w:rPr>
              <w:t>(in thousands)</w:t>
            </w: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right="19"/>
              <w:spacing w:after="0"/>
              <w:rPr>
                <w:sz w:val="20"/>
                <w:szCs w:val="20"/>
                <w:color w:val="auto"/>
              </w:rPr>
            </w:pPr>
            <w:r>
              <w:rPr>
                <w:rFonts w:ascii="Arial" w:cs="Arial" w:eastAsia="Arial" w:hAnsi="Arial"/>
                <w:sz w:val="16"/>
                <w:szCs w:val="16"/>
                <w:color w:val="auto"/>
                <w:w w:val="90"/>
              </w:rPr>
              <w:t>(in thousands)</w:t>
            </w:r>
          </w:p>
        </w:tc>
      </w:tr>
      <w:tr>
        <w:trPr>
          <w:trHeight w:val="33"/>
        </w:trPr>
        <w:tc>
          <w:tcPr>
            <w:tcW w:w="420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1,426</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1,426</w:t>
            </w:r>
          </w:p>
        </w:tc>
        <w:tc>
          <w:tcPr>
            <w:tcW w:w="20" w:type="dxa"/>
            <w:vAlign w:val="bottom"/>
            <w:tcBorders>
              <w:bottom w:val="single" w:sz="8" w:color="CEFFE7"/>
            </w:tcBorders>
            <w:shd w:val="clear" w:color="auto" w:fill="CEFFE7"/>
          </w:tcPr>
          <w:p>
            <w:pPr>
              <w:spacing w:after="0"/>
              <w:rPr>
                <w:sz w:val="20"/>
                <w:szCs w:val="20"/>
                <w:color w:val="auto"/>
              </w:rPr>
            </w:pPr>
          </w:p>
        </w:tc>
        <w:tc>
          <w:tcPr>
            <w:tcW w:w="306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(1,426)</w:t>
            </w:r>
          </w:p>
        </w:tc>
        <w:tc>
          <w:tcPr>
            <w:tcW w:w="4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(1,426)</w:t>
            </w:r>
          </w:p>
        </w:tc>
      </w:tr>
      <w:tr>
        <w:trPr>
          <w:trHeight w:val="220"/>
        </w:trPr>
        <w:tc>
          <w:tcPr>
            <w:tcW w:w="4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6"/>
                <w:szCs w:val="16"/>
                <w:color w:val="auto"/>
                <w:w w:val="92"/>
              </w:rPr>
              <w:t>Fuel, purchased power and cost of natural gas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420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w:t>
            </w:r>
          </w:p>
        </w:tc>
        <w:tc>
          <w:tcPr>
            <w:tcW w:w="3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(921)</w:t>
            </w:r>
          </w:p>
        </w:tc>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6"/>
                <w:szCs w:val="16"/>
                <w:color w:val="auto"/>
              </w:rPr>
              <w:t>sold</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(556)</w:t>
            </w:r>
          </w:p>
        </w:tc>
        <w:tc>
          <w:tcPr>
            <w:tcW w:w="40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637</w:t>
            </w:r>
          </w:p>
        </w:tc>
      </w:tr>
      <w:tr>
        <w:trPr>
          <w:trHeight w:val="33"/>
        </w:trPr>
        <w:tc>
          <w:tcPr>
            <w:tcW w:w="420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7"/>
        </w:trPr>
        <w:tc>
          <w:tcPr>
            <w:tcW w:w="4200" w:type="dxa"/>
            <w:vAlign w:val="bottom"/>
            <w:shd w:val="clear" w:color="auto" w:fill="CEFFE7"/>
          </w:tcPr>
          <w:p>
            <w:pPr>
              <w:ind w:left="340"/>
              <w:spacing w:after="0"/>
              <w:rPr>
                <w:sz w:val="20"/>
                <w:szCs w:val="20"/>
                <w:color w:val="auto"/>
              </w:rPr>
            </w:pPr>
            <w:r>
              <w:rPr>
                <w:rFonts w:ascii="Arial" w:cs="Arial" w:eastAsia="Arial" w:hAnsi="Arial"/>
                <w:sz w:val="16"/>
                <w:szCs w:val="16"/>
                <w:color w:val="auto"/>
              </w:rPr>
              <w:t>Total</w:t>
            </w:r>
          </w:p>
        </w:tc>
        <w:tc>
          <w:tcPr>
            <w:tcW w:w="1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1,694</w:t>
            </w:r>
          </w:p>
        </w:tc>
        <w:tc>
          <w:tcPr>
            <w:tcW w:w="3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505</w:t>
            </w:r>
          </w:p>
        </w:tc>
        <w:tc>
          <w:tcPr>
            <w:tcW w:w="20" w:type="dxa"/>
            <w:vAlign w:val="bottom"/>
            <w:shd w:val="clear" w:color="auto" w:fill="CEFFE7"/>
          </w:tcPr>
          <w:p>
            <w:pPr>
              <w:spacing w:after="0"/>
              <w:rPr>
                <w:sz w:val="23"/>
                <w:szCs w:val="23"/>
                <w:color w:val="auto"/>
              </w:rPr>
            </w:pPr>
          </w:p>
        </w:tc>
        <w:tc>
          <w:tcPr>
            <w:tcW w:w="3060" w:type="dxa"/>
            <w:vAlign w:val="bottom"/>
            <w:shd w:val="clear" w:color="auto" w:fill="CEFFE7"/>
          </w:tcPr>
          <w:p>
            <w:pPr>
              <w:spacing w:after="0"/>
              <w:rPr>
                <w:sz w:val="23"/>
                <w:szCs w:val="23"/>
                <w:color w:val="auto"/>
              </w:rPr>
            </w:pP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(1,982)</w:t>
            </w:r>
          </w:p>
        </w:tc>
        <w:tc>
          <w:tcPr>
            <w:tcW w:w="4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(789)</w:t>
            </w:r>
          </w:p>
        </w:tc>
      </w:tr>
      <w:tr>
        <w:trPr>
          <w:trHeight w:val="20"/>
        </w:trPr>
        <w:tc>
          <w:tcPr>
            <w:tcW w:w="420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Based on June 30, 2020 prices, a $0.2 million gain would be realized, reported in pre-tax earnings and reclassified from AOCI during the next 12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market prices fluctuate, estimated and actual realized gains or losses will change during future periods.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Not Designated as Hedges</w:t>
      </w:r>
    </w:p>
    <w:p>
      <w:pPr>
        <w:spacing w:after="0" w:line="25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Condensed Consolidated Statements of Income for the three and six months ended June 30, 2020 and 2019.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1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3"/>
          </w:tcPr>
          <w:p>
            <w:pPr>
              <w:jc w:val="center"/>
              <w:ind w:right="19"/>
              <w:spacing w:after="0"/>
              <w:rPr>
                <w:sz w:val="20"/>
                <w:szCs w:val="20"/>
                <w:color w:val="auto"/>
              </w:rPr>
            </w:pPr>
            <w:r>
              <w:rPr>
                <w:rFonts w:ascii="Arial" w:cs="Arial" w:eastAsia="Arial" w:hAnsi="Arial"/>
                <w:sz w:val="16"/>
                <w:szCs w:val="16"/>
                <w:color w:val="auto"/>
                <w:w w:val="90"/>
              </w:rPr>
              <w:t>Three Months Ended June 30,</w:t>
            </w:r>
          </w:p>
        </w:tc>
      </w:tr>
      <w:tr>
        <w:trPr>
          <w:trHeight w:val="257"/>
        </w:trPr>
        <w:tc>
          <w:tcPr>
            <w:tcW w:w="31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right"/>
              <w:ind w:right="579"/>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22"/>
                <w:szCs w:val="22"/>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color w:val="auto"/>
              </w:rPr>
              <w:t>2019</w:t>
            </w:r>
          </w:p>
        </w:tc>
      </w:tr>
      <w:tr>
        <w:trPr>
          <w:trHeight w:val="33"/>
        </w:trPr>
        <w:tc>
          <w:tcPr>
            <w:tcW w:w="3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r>
      <w:tr>
        <w:trPr>
          <w:trHeight w:val="213"/>
        </w:trPr>
        <w:tc>
          <w:tcPr>
            <w:tcW w:w="3120" w:type="dxa"/>
            <w:vAlign w:val="bottom"/>
          </w:tcPr>
          <w:p>
            <w:pPr>
              <w:jc w:val="center"/>
              <w:ind w:left="99"/>
              <w:spacing w:after="0"/>
              <w:rPr>
                <w:sz w:val="20"/>
                <w:szCs w:val="20"/>
                <w:color w:val="auto"/>
              </w:rPr>
            </w:pPr>
            <w:r>
              <w:rPr>
                <w:rFonts w:ascii="Arial" w:cs="Arial" w:eastAsia="Arial" w:hAnsi="Arial"/>
                <w:sz w:val="16"/>
                <w:szCs w:val="16"/>
                <w:color w:val="auto"/>
                <w:w w:val="92"/>
              </w:rPr>
              <w:t>Derivatives Not Designated as Hedging</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gridSpan w:val="3"/>
          </w:tcPr>
          <w:p>
            <w:pPr>
              <w:jc w:val="center"/>
              <w:ind w:right="19"/>
              <w:spacing w:after="0"/>
              <w:rPr>
                <w:sz w:val="20"/>
                <w:szCs w:val="20"/>
                <w:color w:val="auto"/>
              </w:rPr>
            </w:pPr>
            <w:r>
              <w:rPr>
                <w:rFonts w:ascii="Arial" w:cs="Arial" w:eastAsia="Arial" w:hAnsi="Arial"/>
                <w:sz w:val="16"/>
                <w:szCs w:val="16"/>
                <w:color w:val="auto"/>
                <w:w w:val="92"/>
              </w:rPr>
              <w:t>Amount of Gain/(Loss) on Derivatives Recognized</w:t>
            </w:r>
          </w:p>
        </w:tc>
      </w:tr>
      <w:tr>
        <w:trPr>
          <w:trHeight w:val="206"/>
        </w:trPr>
        <w:tc>
          <w:tcPr>
            <w:tcW w:w="3120" w:type="dxa"/>
            <w:vAlign w:val="bottom"/>
          </w:tcPr>
          <w:p>
            <w:pPr>
              <w:jc w:val="center"/>
              <w:ind w:left="99"/>
              <w:spacing w:after="0"/>
              <w:rPr>
                <w:sz w:val="20"/>
                <w:szCs w:val="20"/>
                <w:color w:val="auto"/>
              </w:rPr>
            </w:pPr>
            <w:r>
              <w:rPr>
                <w:rFonts w:ascii="Arial" w:cs="Arial" w:eastAsia="Arial" w:hAnsi="Arial"/>
                <w:sz w:val="16"/>
                <w:szCs w:val="16"/>
                <w:color w:val="auto"/>
                <w:w w:val="93"/>
              </w:rPr>
              <w:t>Instruments</w:t>
            </w:r>
          </w:p>
        </w:tc>
        <w:tc>
          <w:tcPr>
            <w:tcW w:w="4580" w:type="dxa"/>
            <w:vAlign w:val="bottom"/>
          </w:tcPr>
          <w:p>
            <w:pPr>
              <w:ind w:left="1480"/>
              <w:spacing w:after="0"/>
              <w:rPr>
                <w:sz w:val="20"/>
                <w:szCs w:val="20"/>
                <w:color w:val="auto"/>
              </w:rPr>
            </w:pPr>
            <w:r>
              <w:rPr>
                <w:rFonts w:ascii="Arial" w:cs="Arial" w:eastAsia="Arial" w:hAnsi="Arial"/>
                <w:sz w:val="16"/>
                <w:szCs w:val="16"/>
                <w:color w:val="auto"/>
              </w:rPr>
              <w:t>Income Statement Location</w:t>
            </w:r>
          </w:p>
        </w:tc>
        <w:tc>
          <w:tcPr>
            <w:tcW w:w="100" w:type="dxa"/>
            <w:vAlign w:val="bottom"/>
          </w:tcPr>
          <w:p>
            <w:pPr>
              <w:spacing w:after="0"/>
              <w:rPr>
                <w:sz w:val="17"/>
                <w:szCs w:val="17"/>
                <w:color w:val="auto"/>
              </w:rPr>
            </w:pPr>
          </w:p>
        </w:tc>
        <w:tc>
          <w:tcPr>
            <w:tcW w:w="2240" w:type="dxa"/>
            <w:vAlign w:val="bottom"/>
            <w:gridSpan w:val="2"/>
          </w:tcPr>
          <w:p>
            <w:pPr>
              <w:jc w:val="center"/>
              <w:ind w:left="979"/>
              <w:spacing w:after="0"/>
              <w:rPr>
                <w:sz w:val="20"/>
                <w:szCs w:val="20"/>
                <w:color w:val="auto"/>
              </w:rPr>
            </w:pPr>
            <w:r>
              <w:rPr>
                <w:rFonts w:ascii="Arial" w:cs="Arial" w:eastAsia="Arial" w:hAnsi="Arial"/>
                <w:sz w:val="16"/>
                <w:szCs w:val="16"/>
                <w:color w:val="auto"/>
                <w:w w:val="95"/>
              </w:rPr>
              <w:t>in Income</w:t>
            </w:r>
          </w:p>
        </w:tc>
        <w:tc>
          <w:tcPr>
            <w:tcW w:w="1160" w:type="dxa"/>
            <w:vAlign w:val="bottom"/>
          </w:tcPr>
          <w:p>
            <w:pPr>
              <w:spacing w:after="0"/>
              <w:rPr>
                <w:sz w:val="17"/>
                <w:szCs w:val="17"/>
                <w:color w:val="auto"/>
              </w:rPr>
            </w:pPr>
          </w:p>
        </w:tc>
      </w:tr>
      <w:tr>
        <w:trPr>
          <w:trHeight w:val="33"/>
        </w:trPr>
        <w:tc>
          <w:tcPr>
            <w:tcW w:w="31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31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7"/>
        </w:trPr>
        <w:tc>
          <w:tcPr>
            <w:tcW w:w="3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458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Fuel, purchased power and cost of natural gas sold</w:t>
            </w:r>
          </w:p>
        </w:tc>
        <w:tc>
          <w:tcPr>
            <w:tcW w:w="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(204)</w:t>
            </w:r>
          </w:p>
        </w:tc>
        <w:tc>
          <w:tcPr>
            <w:tcW w:w="640" w:type="dxa"/>
            <w:vAlign w:val="bottom"/>
            <w:tcBorders>
              <w:bottom w:val="single" w:sz="8" w:color="CEFFE7"/>
            </w:tcBorders>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3120" w:type="dxa"/>
            <w:vAlign w:val="bottom"/>
          </w:tcPr>
          <w:p>
            <w:pPr>
              <w:ind w:left="20"/>
              <w:spacing w:after="0"/>
              <w:rPr>
                <w:sz w:val="20"/>
                <w:szCs w:val="20"/>
                <w:color w:val="auto"/>
              </w:rPr>
            </w:pPr>
            <w:r>
              <w:rPr>
                <w:rFonts w:ascii="Arial" w:cs="Arial" w:eastAsia="Arial" w:hAnsi="Arial"/>
                <w:sz w:val="16"/>
                <w:szCs w:val="16"/>
                <w:color w:val="auto"/>
              </w:rPr>
              <w:t>Commodity derivatives - Natural Gas</w:t>
            </w:r>
          </w:p>
        </w:tc>
        <w:tc>
          <w:tcPr>
            <w:tcW w:w="4580" w:type="dxa"/>
            <w:vAlign w:val="bottom"/>
          </w:tcPr>
          <w:p>
            <w:pPr>
              <w:ind w:left="200"/>
              <w:spacing w:after="0"/>
              <w:rPr>
                <w:sz w:val="20"/>
                <w:szCs w:val="20"/>
                <w:color w:val="auto"/>
              </w:rPr>
            </w:pPr>
            <w:r>
              <w:rPr>
                <w:rFonts w:ascii="Arial" w:cs="Arial" w:eastAsia="Arial" w:hAnsi="Arial"/>
                <w:sz w:val="16"/>
                <w:szCs w:val="16"/>
                <w:color w:val="auto"/>
              </w:rPr>
              <w:t>Fuel, purchased power and cost of natural gas sold</w:t>
            </w:r>
          </w:p>
        </w:tc>
        <w:tc>
          <w:tcPr>
            <w:tcW w:w="1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6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(1,185)</w:t>
            </w:r>
          </w:p>
        </w:tc>
      </w:tr>
      <w:tr>
        <w:trPr>
          <w:trHeight w:val="33"/>
        </w:trPr>
        <w:tc>
          <w:tcPr>
            <w:tcW w:w="3120" w:type="dxa"/>
            <w:vAlign w:val="bottom"/>
            <w:tcBorders>
              <w:bottom w:val="single" w:sz="8" w:color="CEFFE7"/>
            </w:tcBorders>
          </w:tcPr>
          <w:p>
            <w:pPr>
              <w:spacing w:after="0"/>
              <w:rPr>
                <w:sz w:val="2"/>
                <w:szCs w:val="2"/>
                <w:color w:val="auto"/>
              </w:rPr>
            </w:pPr>
          </w:p>
        </w:tc>
        <w:tc>
          <w:tcPr>
            <w:tcW w:w="458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5"/>
        </w:trPr>
        <w:tc>
          <w:tcPr>
            <w:tcW w:w="3120" w:type="dxa"/>
            <w:vAlign w:val="bottom"/>
            <w:tcBorders>
              <w:bottom w:val="single" w:sz="8" w:color="CEFFE7"/>
            </w:tcBorders>
            <w:shd w:val="clear" w:color="auto" w:fill="CEFFE7"/>
          </w:tcPr>
          <w:p>
            <w:pPr>
              <w:spacing w:after="0"/>
              <w:rPr>
                <w:sz w:val="23"/>
                <w:szCs w:val="23"/>
                <w:color w:val="auto"/>
              </w:rPr>
            </w:pPr>
          </w:p>
        </w:tc>
        <w:tc>
          <w:tcPr>
            <w:tcW w:w="458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245</w:t>
            </w:r>
          </w:p>
        </w:tc>
        <w:tc>
          <w:tcPr>
            <w:tcW w:w="640" w:type="dxa"/>
            <w:vAlign w:val="bottom"/>
            <w:tcBorders>
              <w:bottom w:val="single" w:sz="8" w:color="CEFFE7"/>
            </w:tcBorders>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(1,185)</w:t>
            </w:r>
          </w:p>
        </w:tc>
      </w:tr>
      <w:tr>
        <w:trPr>
          <w:trHeight w:val="20"/>
        </w:trPr>
        <w:tc>
          <w:tcPr>
            <w:tcW w:w="3120" w:type="dxa"/>
            <w:vAlign w:val="bottom"/>
            <w:tcBorders>
              <w:top w:val="single" w:sz="8" w:color="CEFFE7"/>
            </w:tcBorders>
          </w:tcPr>
          <w:p>
            <w:pPr>
              <w:spacing w:after="0" w:line="20" w:lineRule="exact"/>
              <w:rPr>
                <w:sz w:val="1"/>
                <w:szCs w:val="1"/>
                <w:color w:val="auto"/>
              </w:rPr>
            </w:pPr>
          </w:p>
        </w:tc>
        <w:tc>
          <w:tcPr>
            <w:tcW w:w="458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top w:val="single" w:sz="8" w:color="auto"/>
              <w:bottom w:val="single" w:sz="8" w:color="auto"/>
            </w:tcBorders>
            <w:gridSpan w:val="3"/>
          </w:tcPr>
          <w:p>
            <w:pPr>
              <w:spacing w:after="0" w:line="20" w:lineRule="exact"/>
              <w:rPr>
                <w:sz w:val="1"/>
                <w:szCs w:val="1"/>
                <w:color w:val="auto"/>
              </w:rPr>
            </w:pPr>
          </w:p>
        </w:tc>
      </w:tr>
      <w:tr>
        <w:trPr>
          <w:trHeight w:val="306"/>
        </w:trPr>
        <w:tc>
          <w:tcPr>
            <w:tcW w:w="3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3"/>
          </w:tcPr>
          <w:p>
            <w:pPr>
              <w:jc w:val="center"/>
              <w:ind w:right="19"/>
              <w:spacing w:after="0"/>
              <w:rPr>
                <w:sz w:val="20"/>
                <w:szCs w:val="20"/>
                <w:color w:val="auto"/>
              </w:rPr>
            </w:pPr>
            <w:r>
              <w:rPr>
                <w:rFonts w:ascii="Arial" w:cs="Arial" w:eastAsia="Arial" w:hAnsi="Arial"/>
                <w:sz w:val="16"/>
                <w:szCs w:val="16"/>
                <w:color w:val="auto"/>
                <w:w w:val="90"/>
              </w:rPr>
              <w:t>Six Months Ended June 30,</w:t>
            </w:r>
          </w:p>
        </w:tc>
      </w:tr>
      <w:tr>
        <w:trPr>
          <w:trHeight w:val="257"/>
        </w:trPr>
        <w:tc>
          <w:tcPr>
            <w:tcW w:w="31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right"/>
              <w:ind w:right="579"/>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22"/>
                <w:szCs w:val="22"/>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color w:val="auto"/>
              </w:rPr>
              <w:t>2019</w:t>
            </w:r>
          </w:p>
        </w:tc>
      </w:tr>
      <w:tr>
        <w:trPr>
          <w:trHeight w:val="33"/>
        </w:trPr>
        <w:tc>
          <w:tcPr>
            <w:tcW w:w="3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r>
      <w:tr>
        <w:trPr>
          <w:trHeight w:val="213"/>
        </w:trPr>
        <w:tc>
          <w:tcPr>
            <w:tcW w:w="3120" w:type="dxa"/>
            <w:vAlign w:val="bottom"/>
          </w:tcPr>
          <w:p>
            <w:pPr>
              <w:jc w:val="center"/>
              <w:ind w:left="99"/>
              <w:spacing w:after="0"/>
              <w:rPr>
                <w:sz w:val="20"/>
                <w:szCs w:val="20"/>
                <w:color w:val="auto"/>
              </w:rPr>
            </w:pPr>
            <w:r>
              <w:rPr>
                <w:rFonts w:ascii="Arial" w:cs="Arial" w:eastAsia="Arial" w:hAnsi="Arial"/>
                <w:sz w:val="16"/>
                <w:szCs w:val="16"/>
                <w:color w:val="auto"/>
                <w:w w:val="92"/>
              </w:rPr>
              <w:t>Derivatives Not Designated as Hedging</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gridSpan w:val="3"/>
          </w:tcPr>
          <w:p>
            <w:pPr>
              <w:jc w:val="center"/>
              <w:ind w:right="19"/>
              <w:spacing w:after="0"/>
              <w:rPr>
                <w:sz w:val="20"/>
                <w:szCs w:val="20"/>
                <w:color w:val="auto"/>
              </w:rPr>
            </w:pPr>
            <w:r>
              <w:rPr>
                <w:rFonts w:ascii="Arial" w:cs="Arial" w:eastAsia="Arial" w:hAnsi="Arial"/>
                <w:sz w:val="16"/>
                <w:szCs w:val="16"/>
                <w:color w:val="auto"/>
                <w:w w:val="92"/>
              </w:rPr>
              <w:t>Amount of Gain/(Loss) on Derivatives Recognized</w:t>
            </w:r>
          </w:p>
        </w:tc>
      </w:tr>
      <w:tr>
        <w:trPr>
          <w:trHeight w:val="206"/>
        </w:trPr>
        <w:tc>
          <w:tcPr>
            <w:tcW w:w="3120" w:type="dxa"/>
            <w:vAlign w:val="bottom"/>
          </w:tcPr>
          <w:p>
            <w:pPr>
              <w:jc w:val="center"/>
              <w:ind w:left="99"/>
              <w:spacing w:after="0"/>
              <w:rPr>
                <w:sz w:val="20"/>
                <w:szCs w:val="20"/>
                <w:color w:val="auto"/>
              </w:rPr>
            </w:pPr>
            <w:r>
              <w:rPr>
                <w:rFonts w:ascii="Arial" w:cs="Arial" w:eastAsia="Arial" w:hAnsi="Arial"/>
                <w:sz w:val="16"/>
                <w:szCs w:val="16"/>
                <w:color w:val="auto"/>
                <w:w w:val="93"/>
              </w:rPr>
              <w:t>Instruments</w:t>
            </w:r>
          </w:p>
        </w:tc>
        <w:tc>
          <w:tcPr>
            <w:tcW w:w="4580" w:type="dxa"/>
            <w:vAlign w:val="bottom"/>
          </w:tcPr>
          <w:p>
            <w:pPr>
              <w:ind w:left="1480"/>
              <w:spacing w:after="0"/>
              <w:rPr>
                <w:sz w:val="20"/>
                <w:szCs w:val="20"/>
                <w:color w:val="auto"/>
              </w:rPr>
            </w:pPr>
            <w:r>
              <w:rPr>
                <w:rFonts w:ascii="Arial" w:cs="Arial" w:eastAsia="Arial" w:hAnsi="Arial"/>
                <w:sz w:val="16"/>
                <w:szCs w:val="16"/>
                <w:color w:val="auto"/>
              </w:rPr>
              <w:t>Income Statement Location</w:t>
            </w:r>
          </w:p>
        </w:tc>
        <w:tc>
          <w:tcPr>
            <w:tcW w:w="100" w:type="dxa"/>
            <w:vAlign w:val="bottom"/>
          </w:tcPr>
          <w:p>
            <w:pPr>
              <w:spacing w:after="0"/>
              <w:rPr>
                <w:sz w:val="17"/>
                <w:szCs w:val="17"/>
                <w:color w:val="auto"/>
              </w:rPr>
            </w:pPr>
          </w:p>
        </w:tc>
        <w:tc>
          <w:tcPr>
            <w:tcW w:w="2240" w:type="dxa"/>
            <w:vAlign w:val="bottom"/>
            <w:gridSpan w:val="2"/>
          </w:tcPr>
          <w:p>
            <w:pPr>
              <w:jc w:val="center"/>
              <w:ind w:left="979"/>
              <w:spacing w:after="0"/>
              <w:rPr>
                <w:sz w:val="20"/>
                <w:szCs w:val="20"/>
                <w:color w:val="auto"/>
              </w:rPr>
            </w:pPr>
            <w:r>
              <w:rPr>
                <w:rFonts w:ascii="Arial" w:cs="Arial" w:eastAsia="Arial" w:hAnsi="Arial"/>
                <w:sz w:val="16"/>
                <w:szCs w:val="16"/>
                <w:color w:val="auto"/>
                <w:w w:val="95"/>
              </w:rPr>
              <w:t>in Income</w:t>
            </w:r>
          </w:p>
        </w:tc>
        <w:tc>
          <w:tcPr>
            <w:tcW w:w="1160" w:type="dxa"/>
            <w:vAlign w:val="bottom"/>
          </w:tcPr>
          <w:p>
            <w:pPr>
              <w:spacing w:after="0"/>
              <w:rPr>
                <w:sz w:val="17"/>
                <w:szCs w:val="17"/>
                <w:color w:val="auto"/>
              </w:rPr>
            </w:pPr>
          </w:p>
        </w:tc>
      </w:tr>
      <w:tr>
        <w:trPr>
          <w:trHeight w:val="33"/>
        </w:trPr>
        <w:tc>
          <w:tcPr>
            <w:tcW w:w="31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3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left="999"/>
              <w:spacing w:after="0"/>
              <w:rPr>
                <w:sz w:val="20"/>
                <w:szCs w:val="20"/>
                <w:color w:val="auto"/>
              </w:rPr>
            </w:pPr>
            <w:r>
              <w:rPr>
                <w:rFonts w:ascii="Arial" w:cs="Arial" w:eastAsia="Arial" w:hAnsi="Arial"/>
                <w:sz w:val="16"/>
                <w:szCs w:val="16"/>
                <w:color w:val="auto"/>
                <w:w w:val="90"/>
              </w:rPr>
              <w:t>(in thousands)</w:t>
            </w:r>
          </w:p>
        </w:tc>
        <w:tc>
          <w:tcPr>
            <w:tcW w:w="1160" w:type="dxa"/>
            <w:vAlign w:val="bottom"/>
          </w:tcPr>
          <w:p>
            <w:pPr>
              <w:spacing w:after="0"/>
              <w:rPr>
                <w:sz w:val="18"/>
                <w:szCs w:val="18"/>
                <w:color w:val="auto"/>
              </w:rPr>
            </w:pPr>
          </w:p>
        </w:tc>
      </w:tr>
      <w:tr>
        <w:trPr>
          <w:trHeight w:val="33"/>
        </w:trPr>
        <w:tc>
          <w:tcPr>
            <w:tcW w:w="3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458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Fuel, purchased power and cost of natural gas sold</w:t>
            </w:r>
          </w:p>
        </w:tc>
        <w:tc>
          <w:tcPr>
            <w:tcW w:w="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1,158</w:t>
            </w:r>
          </w:p>
        </w:tc>
        <w:tc>
          <w:tcPr>
            <w:tcW w:w="640" w:type="dxa"/>
            <w:vAlign w:val="bottom"/>
            <w:tcBorders>
              <w:bottom w:val="single" w:sz="8" w:color="CEFFE7"/>
            </w:tcBorders>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3120" w:type="dxa"/>
            <w:vAlign w:val="bottom"/>
          </w:tcPr>
          <w:p>
            <w:pPr>
              <w:ind w:left="20"/>
              <w:spacing w:after="0"/>
              <w:rPr>
                <w:sz w:val="20"/>
                <w:szCs w:val="20"/>
                <w:color w:val="auto"/>
              </w:rPr>
            </w:pPr>
            <w:r>
              <w:rPr>
                <w:rFonts w:ascii="Arial" w:cs="Arial" w:eastAsia="Arial" w:hAnsi="Arial"/>
                <w:sz w:val="16"/>
                <w:szCs w:val="16"/>
                <w:color w:val="auto"/>
              </w:rPr>
              <w:t>Commodity derivatives - Natural Gas</w:t>
            </w:r>
          </w:p>
        </w:tc>
        <w:tc>
          <w:tcPr>
            <w:tcW w:w="4580" w:type="dxa"/>
            <w:vAlign w:val="bottom"/>
          </w:tcPr>
          <w:p>
            <w:pPr>
              <w:ind w:left="200"/>
              <w:spacing w:after="0"/>
              <w:rPr>
                <w:sz w:val="20"/>
                <w:szCs w:val="20"/>
                <w:color w:val="auto"/>
              </w:rPr>
            </w:pPr>
            <w:r>
              <w:rPr>
                <w:rFonts w:ascii="Arial" w:cs="Arial" w:eastAsia="Arial" w:hAnsi="Arial"/>
                <w:sz w:val="16"/>
                <w:szCs w:val="16"/>
                <w:color w:val="auto"/>
              </w:rPr>
              <w:t>Fuel, purchased power and cost of natural gas sold</w:t>
            </w:r>
          </w:p>
        </w:tc>
        <w:tc>
          <w:tcPr>
            <w:tcW w:w="1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1,215</w:t>
            </w:r>
          </w:p>
        </w:tc>
        <w:tc>
          <w:tcPr>
            <w:tcW w:w="6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(1,160)</w:t>
            </w:r>
          </w:p>
        </w:tc>
      </w:tr>
      <w:tr>
        <w:trPr>
          <w:trHeight w:val="33"/>
        </w:trPr>
        <w:tc>
          <w:tcPr>
            <w:tcW w:w="3120" w:type="dxa"/>
            <w:vAlign w:val="bottom"/>
            <w:tcBorders>
              <w:bottom w:val="single" w:sz="8" w:color="CEFFE7"/>
            </w:tcBorders>
          </w:tcPr>
          <w:p>
            <w:pPr>
              <w:spacing w:after="0"/>
              <w:rPr>
                <w:sz w:val="2"/>
                <w:szCs w:val="2"/>
                <w:color w:val="auto"/>
              </w:rPr>
            </w:pPr>
          </w:p>
        </w:tc>
        <w:tc>
          <w:tcPr>
            <w:tcW w:w="458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5"/>
        </w:trPr>
        <w:tc>
          <w:tcPr>
            <w:tcW w:w="3120" w:type="dxa"/>
            <w:vAlign w:val="bottom"/>
            <w:tcBorders>
              <w:bottom w:val="single" w:sz="8" w:color="CEFFE7"/>
            </w:tcBorders>
            <w:shd w:val="clear" w:color="auto" w:fill="CEFFE7"/>
          </w:tcPr>
          <w:p>
            <w:pPr>
              <w:spacing w:after="0"/>
              <w:rPr>
                <w:sz w:val="23"/>
                <w:szCs w:val="23"/>
                <w:color w:val="auto"/>
              </w:rPr>
            </w:pPr>
          </w:p>
        </w:tc>
        <w:tc>
          <w:tcPr>
            <w:tcW w:w="458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2,373</w:t>
            </w:r>
          </w:p>
        </w:tc>
        <w:tc>
          <w:tcPr>
            <w:tcW w:w="640" w:type="dxa"/>
            <w:vAlign w:val="bottom"/>
            <w:tcBorders>
              <w:bottom w:val="single" w:sz="8" w:color="CEFFE7"/>
            </w:tcBorders>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(1,160)</w:t>
            </w:r>
          </w:p>
        </w:tc>
      </w:tr>
      <w:tr>
        <w:trPr>
          <w:trHeight w:val="20"/>
        </w:trPr>
        <w:tc>
          <w:tcPr>
            <w:tcW w:w="3120" w:type="dxa"/>
            <w:vAlign w:val="bottom"/>
            <w:tcBorders>
              <w:top w:val="single" w:sz="8" w:color="CEFFE7"/>
            </w:tcBorders>
          </w:tcPr>
          <w:p>
            <w:pPr>
              <w:spacing w:after="0" w:line="20" w:lineRule="exact"/>
              <w:rPr>
                <w:sz w:val="1"/>
                <w:szCs w:val="1"/>
                <w:color w:val="auto"/>
              </w:rPr>
            </w:pPr>
          </w:p>
        </w:tc>
        <w:tc>
          <w:tcPr>
            <w:tcW w:w="458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As discussed above, financial instruments used in our regulated utilities are not designated as cash flow hedges. There is no earnings impact for our Gas Utilities because the unrealized gains and losses arising from the use of these financial instruments are recorded as Regulatory assets or Regulatory liabilities. The net unrealized losses included in our Regulatory asset or Regulatory liability accounts related to the hedges in our Gas Utilities were $0.7 million and $3.3 million as of June 30, 2020 and December 31, 2019, respectively. For our Electric Utilities, the unrealized gains and losses arising from these derivatives are recognized in the Condensed Consolidated Statements of Income.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9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 Level 1 instruments primarily consist of highly liquid and actively traded financial instruments with quoted pricing information on an ongoing basis;</w:t>
      </w:r>
    </w:p>
    <w:p>
      <w:pPr>
        <w:spacing w:after="0" w:line="15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and</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9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 For additional information, see Note 1 to the Consolidated Financial Statements included in our 2019 Annual Report on Form 10-K filed with the SEC.</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As of June 30, 2020</w:t>
            </w:r>
          </w:p>
        </w:tc>
        <w:tc>
          <w:tcPr>
            <w:tcW w:w="13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6"/>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9"/>
              </w:rPr>
              <w:t>Cash Collateral and</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150"/>
              <w:spacing w:after="0"/>
              <w:rPr>
                <w:sz w:val="20"/>
                <w:szCs w:val="20"/>
                <w:color w:val="auto"/>
              </w:rPr>
            </w:pPr>
            <w:r>
              <w:rPr>
                <w:rFonts w:ascii="Arial" w:cs="Arial" w:eastAsia="Arial" w:hAnsi="Arial"/>
                <w:sz w:val="18"/>
                <w:szCs w:val="18"/>
                <w:color w:val="auto"/>
                <w:w w:val="92"/>
              </w:rPr>
              <w:t>Counterparty</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330"/>
              <w:spacing w:after="0"/>
              <w:rPr>
                <w:sz w:val="20"/>
                <w:szCs w:val="20"/>
                <w:color w:val="auto"/>
              </w:rPr>
            </w:pPr>
            <w:r>
              <w:rPr>
                <w:rFonts w:ascii="Arial" w:cs="Arial" w:eastAsia="Arial" w:hAnsi="Arial"/>
                <w:sz w:val="18"/>
                <w:szCs w:val="18"/>
                <w:color w:val="auto"/>
                <w:w w:val="94"/>
              </w:rPr>
              <w:t>Netting</w:t>
            </w:r>
          </w:p>
        </w:tc>
        <w:tc>
          <w:tcPr>
            <w:tcW w:w="40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Assets:</w:t>
            </w:r>
          </w:p>
        </w:tc>
        <w:tc>
          <w:tcPr>
            <w:tcW w:w="9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Commodity derivatives — Gas Utilities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(417)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9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Commodity derivatives — Electric Utilities</w:t>
            </w:r>
          </w:p>
        </w:tc>
        <w:tc>
          <w:tcPr>
            <w:tcW w:w="90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1,158</w:t>
            </w:r>
          </w:p>
        </w:tc>
        <w:tc>
          <w:tcPr>
            <w:tcW w:w="24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(417)</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CEFFE7"/>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3980" w:type="dxa"/>
            <w:vAlign w:val="bottom"/>
            <w:shd w:val="clear" w:color="auto" w:fill="CEFFE7"/>
          </w:tcPr>
          <w:p>
            <w:pPr>
              <w:spacing w:after="0"/>
              <w:rPr>
                <w:sz w:val="6"/>
                <w:szCs w:val="6"/>
                <w:color w:val="auto"/>
              </w:rPr>
            </w:pPr>
          </w:p>
        </w:tc>
        <w:tc>
          <w:tcPr>
            <w:tcW w:w="900" w:type="dxa"/>
            <w:vAlign w:val="bottom"/>
            <w:shd w:val="clear" w:color="auto" w:fill="CEFFE7"/>
          </w:tcPr>
          <w:p>
            <w:pPr>
              <w:spacing w:after="0"/>
              <w:rPr>
                <w:sz w:val="6"/>
                <w:szCs w:val="6"/>
                <w:color w:val="auto"/>
              </w:rPr>
            </w:pPr>
          </w:p>
        </w:tc>
        <w:tc>
          <w:tcPr>
            <w:tcW w:w="260" w:type="dxa"/>
            <w:vAlign w:val="bottom"/>
            <w:shd w:val="clear" w:color="auto" w:fill="CEFFE7"/>
          </w:tcPr>
          <w:p>
            <w:pPr>
              <w:spacing w:after="0"/>
              <w:rPr>
                <w:sz w:val="6"/>
                <w:szCs w:val="6"/>
                <w:color w:val="auto"/>
              </w:rPr>
            </w:pPr>
          </w:p>
        </w:tc>
        <w:tc>
          <w:tcPr>
            <w:tcW w:w="280" w:type="dxa"/>
            <w:vAlign w:val="bottom"/>
            <w:shd w:val="clear" w:color="auto" w:fill="CEFFE7"/>
          </w:tcPr>
          <w:p>
            <w:pPr>
              <w:spacing w:after="0"/>
              <w:rPr>
                <w:sz w:val="6"/>
                <w:szCs w:val="6"/>
                <w:color w:val="auto"/>
              </w:rPr>
            </w:pPr>
          </w:p>
        </w:tc>
        <w:tc>
          <w:tcPr>
            <w:tcW w:w="960" w:type="dxa"/>
            <w:vAlign w:val="bottom"/>
            <w:shd w:val="clear" w:color="auto" w:fill="CEFFE7"/>
          </w:tcPr>
          <w:p>
            <w:pPr>
              <w:spacing w:after="0"/>
              <w:rPr>
                <w:sz w:val="6"/>
                <w:szCs w:val="6"/>
                <w:color w:val="auto"/>
              </w:rPr>
            </w:pPr>
          </w:p>
        </w:tc>
        <w:tc>
          <w:tcPr>
            <w:tcW w:w="240" w:type="dxa"/>
            <w:vAlign w:val="bottom"/>
            <w:shd w:val="clear" w:color="auto" w:fill="CEFFE7"/>
          </w:tcPr>
          <w:p>
            <w:pPr>
              <w:spacing w:after="0"/>
              <w:rPr>
                <w:sz w:val="6"/>
                <w:szCs w:val="6"/>
                <w:color w:val="auto"/>
              </w:rPr>
            </w:pPr>
          </w:p>
        </w:tc>
        <w:tc>
          <w:tcPr>
            <w:tcW w:w="40" w:type="dxa"/>
            <w:vAlign w:val="bottom"/>
            <w:shd w:val="clear" w:color="auto" w:fill="CEFFE7"/>
          </w:tcPr>
          <w:p>
            <w:pPr>
              <w:spacing w:after="0"/>
              <w:rPr>
                <w:sz w:val="6"/>
                <w:szCs w:val="6"/>
                <w:color w:val="auto"/>
              </w:rPr>
            </w:pPr>
          </w:p>
        </w:tc>
        <w:tc>
          <w:tcPr>
            <w:tcW w:w="200" w:type="dxa"/>
            <w:vAlign w:val="bottom"/>
            <w:shd w:val="clear" w:color="auto" w:fill="CEFFE7"/>
          </w:tcPr>
          <w:p>
            <w:pPr>
              <w:spacing w:after="0"/>
              <w:rPr>
                <w:sz w:val="6"/>
                <w:szCs w:val="6"/>
                <w:color w:val="auto"/>
              </w:rPr>
            </w:pPr>
          </w:p>
        </w:tc>
        <w:tc>
          <w:tcPr>
            <w:tcW w:w="940" w:type="dxa"/>
            <w:vAlign w:val="bottom"/>
            <w:shd w:val="clear" w:color="auto" w:fill="CEFFE7"/>
          </w:tcPr>
          <w:p>
            <w:pPr>
              <w:spacing w:after="0"/>
              <w:rPr>
                <w:sz w:val="6"/>
                <w:szCs w:val="6"/>
                <w:color w:val="auto"/>
              </w:rPr>
            </w:pPr>
          </w:p>
        </w:tc>
        <w:tc>
          <w:tcPr>
            <w:tcW w:w="340" w:type="dxa"/>
            <w:vAlign w:val="bottom"/>
            <w:shd w:val="clear" w:color="auto" w:fill="CEFFE7"/>
          </w:tcPr>
          <w:p>
            <w:pPr>
              <w:spacing w:after="0"/>
              <w:rPr>
                <w:sz w:val="6"/>
                <w:szCs w:val="6"/>
                <w:color w:val="auto"/>
              </w:rPr>
            </w:pPr>
          </w:p>
        </w:tc>
        <w:tc>
          <w:tcPr>
            <w:tcW w:w="180" w:type="dxa"/>
            <w:vAlign w:val="bottom"/>
            <w:shd w:val="clear" w:color="auto" w:fill="CEFFE7"/>
          </w:tcPr>
          <w:p>
            <w:pPr>
              <w:spacing w:after="0"/>
              <w:rPr>
                <w:sz w:val="6"/>
                <w:szCs w:val="6"/>
                <w:color w:val="auto"/>
              </w:rPr>
            </w:pPr>
          </w:p>
        </w:tc>
        <w:tc>
          <w:tcPr>
            <w:tcW w:w="200" w:type="dxa"/>
            <w:vAlign w:val="bottom"/>
            <w:shd w:val="clear" w:color="auto" w:fill="CEFFE7"/>
          </w:tcPr>
          <w:p>
            <w:pPr>
              <w:spacing w:after="0"/>
              <w:rPr>
                <w:sz w:val="6"/>
                <w:szCs w:val="6"/>
                <w:color w:val="auto"/>
              </w:rPr>
            </w:pPr>
          </w:p>
        </w:tc>
        <w:tc>
          <w:tcPr>
            <w:tcW w:w="1120" w:type="dxa"/>
            <w:vAlign w:val="bottom"/>
            <w:shd w:val="clear" w:color="auto" w:fill="CEFFE7"/>
          </w:tcPr>
          <w:p>
            <w:pPr>
              <w:spacing w:after="0"/>
              <w:rPr>
                <w:sz w:val="6"/>
                <w:szCs w:val="6"/>
                <w:color w:val="auto"/>
              </w:rPr>
            </w:pPr>
          </w:p>
        </w:tc>
        <w:tc>
          <w:tcPr>
            <w:tcW w:w="400" w:type="dxa"/>
            <w:vAlign w:val="bottom"/>
            <w:shd w:val="clear" w:color="auto" w:fill="CEFFE7"/>
          </w:tcPr>
          <w:p>
            <w:pPr>
              <w:spacing w:after="0"/>
              <w:rPr>
                <w:sz w:val="6"/>
                <w:szCs w:val="6"/>
                <w:color w:val="auto"/>
              </w:rPr>
            </w:pPr>
          </w:p>
        </w:tc>
        <w:tc>
          <w:tcPr>
            <w:tcW w:w="1160" w:type="dxa"/>
            <w:vAlign w:val="bottom"/>
            <w:shd w:val="clear" w:color="auto" w:fill="CEFFE7"/>
          </w:tcPr>
          <w:p>
            <w:pPr>
              <w:spacing w:after="0"/>
              <w:rPr>
                <w:sz w:val="6"/>
                <w:szCs w:val="6"/>
                <w:color w:val="auto"/>
              </w:rPr>
            </w:pPr>
          </w:p>
        </w:tc>
        <w:tc>
          <w:tcPr>
            <w:tcW w:w="20" w:type="dxa"/>
            <w:vAlign w:val="bottom"/>
          </w:tcPr>
          <w:p>
            <w:pPr>
              <w:spacing w:after="0"/>
              <w:rPr>
                <w:sz w:val="6"/>
                <w:szCs w:val="6"/>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9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Commodity derivatives — Gas Utilities</w:t>
            </w:r>
          </w:p>
        </w:tc>
        <w:tc>
          <w:tcPr>
            <w:tcW w:w="900" w:type="dxa"/>
            <w:vAlign w:val="bottom"/>
            <w:tcBorders>
              <w:bottom w:val="single" w:sz="8" w:color="CEFFE7"/>
            </w:tcBorders>
            <w:shd w:val="clear" w:color="auto" w:fill="CEFFE7"/>
          </w:tcPr>
          <w:p>
            <w:pPr>
              <w:jc w:val="right"/>
              <w:ind w:right="71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(917)</w:t>
            </w:r>
          </w:p>
        </w:tc>
        <w:tc>
          <w:tcPr>
            <w:tcW w:w="40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(917)</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22"/>
                <w:szCs w:val="22"/>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As of December 31, 2019</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9"/>
              </w:rPr>
              <w:t>Cash Collateral and</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150"/>
              <w:spacing w:after="0"/>
              <w:rPr>
                <w:sz w:val="20"/>
                <w:szCs w:val="20"/>
                <w:color w:val="auto"/>
              </w:rPr>
            </w:pPr>
            <w:r>
              <w:rPr>
                <w:rFonts w:ascii="Arial" w:cs="Arial" w:eastAsia="Arial" w:hAnsi="Arial"/>
                <w:sz w:val="18"/>
                <w:szCs w:val="18"/>
                <w:color w:val="auto"/>
                <w:w w:val="92"/>
              </w:rPr>
              <w:t>Counterparty</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330"/>
              <w:spacing w:after="0"/>
              <w:rPr>
                <w:sz w:val="20"/>
                <w:szCs w:val="20"/>
                <w:color w:val="auto"/>
              </w:rPr>
            </w:pPr>
            <w:r>
              <w:rPr>
                <w:rFonts w:ascii="Arial" w:cs="Arial" w:eastAsia="Arial" w:hAnsi="Arial"/>
                <w:sz w:val="18"/>
                <w:szCs w:val="18"/>
                <w:color w:val="auto"/>
                <w:w w:val="94"/>
              </w:rPr>
              <w:t>Netting</w:t>
            </w:r>
          </w:p>
        </w:tc>
        <w:tc>
          <w:tcPr>
            <w:tcW w:w="40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Assets:</w:t>
            </w:r>
          </w:p>
        </w:tc>
        <w:tc>
          <w:tcPr>
            <w:tcW w:w="9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Commodity derivatives — Gas Utilities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(1,085)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80" w:type="dxa"/>
            <w:vAlign w:val="bottom"/>
            <w:tcBorders>
              <w:bottom w:val="single" w:sz="8" w:color="CEFFE7"/>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EFFE7"/>
          </w:tcPr>
          <w:p>
            <w:pPr>
              <w:jc w:val="right"/>
              <w:ind w:right="71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EFFE7"/>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1,433</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4"/>
                <w:szCs w:val="24"/>
                <w:color w:val="auto"/>
              </w:rPr>
            </w:pPr>
          </w:p>
        </w:tc>
        <w:tc>
          <w:tcPr>
            <w:tcW w:w="200" w:type="dxa"/>
            <w:vAlign w:val="bottom"/>
            <w:tcBorders>
              <w:bottom w:val="single" w:sz="8" w:color="auto"/>
            </w:tcBorders>
            <w:shd w:val="clear" w:color="auto" w:fill="CEFFE7"/>
          </w:tcPr>
          <w:p>
            <w:pPr>
              <w:spacing w:after="0"/>
              <w:rPr>
                <w:sz w:val="24"/>
                <w:szCs w:val="24"/>
                <w:color w:val="auto"/>
              </w:rPr>
            </w:pPr>
          </w:p>
        </w:tc>
        <w:tc>
          <w:tcPr>
            <w:tcW w:w="94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(1,085)</w:t>
            </w:r>
          </w:p>
        </w:tc>
        <w:tc>
          <w:tcPr>
            <w:tcW w:w="40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EFFE7"/>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Liabilities:</w:t>
            </w:r>
          </w:p>
        </w:tc>
        <w:tc>
          <w:tcPr>
            <w:tcW w:w="9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Commodity derivatives — Gas Utilities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(2,909)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80" w:type="dxa"/>
            <w:vAlign w:val="bottom"/>
            <w:tcBorders>
              <w:bottom w:val="single" w:sz="8" w:color="CEFFE7"/>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20" w:type="dxa"/>
            <w:vAlign w:val="bottom"/>
          </w:tcPr>
          <w:p>
            <w:pPr>
              <w:spacing w:after="0"/>
              <w:rPr>
                <w:sz w:val="24"/>
                <w:szCs w:val="24"/>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EFFE7"/>
          </w:tcPr>
          <w:p>
            <w:pPr>
              <w:jc w:val="right"/>
              <w:ind w:right="71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EFFE7"/>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5,254</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4"/>
                <w:szCs w:val="24"/>
                <w:color w:val="auto"/>
              </w:rPr>
            </w:pPr>
          </w:p>
        </w:tc>
        <w:tc>
          <w:tcPr>
            <w:tcW w:w="200" w:type="dxa"/>
            <w:vAlign w:val="bottom"/>
            <w:tcBorders>
              <w:bottom w:val="single" w:sz="8" w:color="auto"/>
            </w:tcBorders>
            <w:shd w:val="clear" w:color="auto" w:fill="CEFFE7"/>
          </w:tcPr>
          <w:p>
            <w:pPr>
              <w:spacing w:after="0"/>
              <w:rPr>
                <w:sz w:val="24"/>
                <w:szCs w:val="24"/>
                <w:color w:val="auto"/>
              </w:rPr>
            </w:pPr>
          </w:p>
        </w:tc>
        <w:tc>
          <w:tcPr>
            <w:tcW w:w="94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(2,909)</w:t>
            </w:r>
          </w:p>
        </w:tc>
        <w:tc>
          <w:tcPr>
            <w:tcW w:w="40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EFFE7"/>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Plan Assets</w:t>
      </w:r>
    </w:p>
    <w:p>
      <w:pPr>
        <w:spacing w:after="0" w:line="252" w:lineRule="exact"/>
        <w:rPr>
          <w:sz w:val="20"/>
          <w:szCs w:val="20"/>
          <w:color w:val="auto"/>
        </w:rPr>
      </w:pPr>
    </w:p>
    <w:p>
      <w:pPr>
        <w:ind w:right="1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2019 Annual Report on Form 10-K. The Company has concluded that the market volatility associated with COVID-19 does not require interim re-measurement of our pension plan assets or defined benefit obligations. See </w:t>
      </w:r>
      <w:hyperlink w:anchor="page32">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Nonrecurring Fair Value Measurement</w:t>
      </w:r>
    </w:p>
    <w:p>
      <w:pPr>
        <w:spacing w:after="0" w:line="252"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A discussion of the fair value of our investment in equity securities of a privately held oil and gas company, a Level 3 asset, is included in </w:t>
      </w:r>
      <w:hyperlink w:anchor="page34">
        <w:r>
          <w:rPr>
            <w:rFonts w:ascii="Arial" w:cs="Arial" w:eastAsia="Arial" w:hAnsi="Arial"/>
            <w:sz w:val="17"/>
            <w:szCs w:val="17"/>
            <w:u w:val="single" w:color="auto"/>
            <w:color w:val="0000FF"/>
          </w:rPr>
          <w:t>Note 15</w:t>
        </w:r>
      </w:hyperlink>
      <w:r>
        <w:rPr>
          <w:rFonts w:ascii="Arial" w:cs="Arial" w:eastAsia="Arial" w:hAnsi="Arial"/>
          <w:sz w:val="17"/>
          <w:szCs w:val="17"/>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Measures</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the carrying amounts and fair values of financial instruments not recorded at fair value on the Condensed Consolidated Balance Sheets (in thousands) as of:</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600"/>
              <w:spacing w:after="0"/>
              <w:rPr>
                <w:sz w:val="20"/>
                <w:szCs w:val="20"/>
                <w:color w:val="auto"/>
              </w:rPr>
            </w:pPr>
            <w:r>
              <w:rPr>
                <w:rFonts w:ascii="Arial" w:cs="Arial" w:eastAsia="Arial" w:hAnsi="Arial"/>
                <w:sz w:val="18"/>
                <w:szCs w:val="18"/>
                <w:color w:val="auto"/>
              </w:rPr>
              <w:t>June 30, 2020</w:t>
            </w:r>
          </w:p>
        </w:tc>
        <w:tc>
          <w:tcPr>
            <w:tcW w:w="220" w:type="dxa"/>
            <w:vAlign w:val="bottom"/>
          </w:tcPr>
          <w:p>
            <w:pPr>
              <w:spacing w:after="0"/>
              <w:rPr>
                <w:sz w:val="20"/>
                <w:szCs w:val="20"/>
                <w:color w:val="auto"/>
              </w:rPr>
            </w:pPr>
          </w:p>
        </w:tc>
        <w:tc>
          <w:tcPr>
            <w:tcW w:w="2400" w:type="dxa"/>
            <w:vAlign w:val="bottom"/>
            <w:gridSpan w:val="3"/>
          </w:tcPr>
          <w:p>
            <w:pPr>
              <w:jc w:val="right"/>
              <w:ind w:right="510"/>
              <w:spacing w:after="0"/>
              <w:rPr>
                <w:sz w:val="20"/>
                <w:szCs w:val="20"/>
                <w:color w:val="auto"/>
              </w:rPr>
            </w:pPr>
            <w:r>
              <w:rPr>
                <w:rFonts w:ascii="Arial" w:cs="Arial" w:eastAsia="Arial" w:hAnsi="Arial"/>
                <w:sz w:val="18"/>
                <w:szCs w:val="18"/>
                <w:color w:val="auto"/>
              </w:rPr>
              <w:t>December 31, 2019</w:t>
            </w: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Carrying</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Carrying</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28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w w:val="97"/>
              </w:rPr>
              <w:t>Fair Value</w:t>
            </w:r>
          </w:p>
        </w:tc>
      </w:tr>
      <w:tr>
        <w:trPr>
          <w:trHeight w:val="27"/>
        </w:trPr>
        <w:tc>
          <w:tcPr>
            <w:tcW w:w="20" w:type="dxa"/>
            <w:vAlign w:val="bottom"/>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5840" w:type="dxa"/>
            <w:vAlign w:val="bottom"/>
            <w:shd w:val="clear" w:color="auto" w:fill="CEFFE7"/>
          </w:tcPr>
          <w:p>
            <w:pPr>
              <w:jc w:val="right"/>
              <w:ind w:right="2350"/>
              <w:spacing w:after="0"/>
              <w:rPr>
                <w:sz w:val="20"/>
                <w:szCs w:val="20"/>
                <w:color w:val="auto"/>
              </w:rPr>
            </w:pPr>
            <w:r>
              <w:rPr>
                <w:rFonts w:ascii="Arial" w:cs="Arial" w:eastAsia="Arial" w:hAnsi="Arial"/>
                <w:sz w:val="18"/>
                <w:szCs w:val="18"/>
                <w:color w:val="auto"/>
                <w:w w:val="91"/>
              </w:rPr>
              <w:t xml:space="preserve">Long-term debt, including current maturities </w:t>
            </w:r>
            <w:r>
              <w:rPr>
                <w:rFonts w:ascii="Arial" w:cs="Arial" w:eastAsia="Arial" w:hAnsi="Arial"/>
                <w:sz w:val="23"/>
                <w:szCs w:val="23"/>
                <w:color w:val="auto"/>
                <w:w w:val="91"/>
                <w:vertAlign w:val="superscript"/>
              </w:rPr>
              <w:t>(a)</w:t>
            </w: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3,537,194</w:t>
            </w:r>
          </w:p>
        </w:tc>
        <w:tc>
          <w:tcPr>
            <w:tcW w:w="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4,051,912</w:t>
            </w:r>
          </w:p>
        </w:tc>
        <w:tc>
          <w:tcPr>
            <w:tcW w:w="120" w:type="dxa"/>
            <w:vAlign w:val="bottom"/>
            <w:shd w:val="clear" w:color="auto" w:fill="CEFFE7"/>
          </w:tcPr>
          <w:p>
            <w:pPr>
              <w:spacing w:after="0"/>
              <w:rPr>
                <w:sz w:val="22"/>
                <w:szCs w:val="22"/>
                <w:color w:val="auto"/>
              </w:rPr>
            </w:pP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3,145,839</w:t>
            </w:r>
          </w:p>
        </w:tc>
        <w:tc>
          <w:tcPr>
            <w:tcW w:w="2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3,479,367</w:t>
            </w:r>
          </w:p>
        </w:tc>
      </w:tr>
      <w:tr>
        <w:trPr>
          <w:trHeight w:val="297"/>
        </w:trPr>
        <w:tc>
          <w:tcPr>
            <w:tcW w:w="5860" w:type="dxa"/>
            <w:vAlign w:val="bottom"/>
            <w:gridSpan w:val="2"/>
          </w:tcPr>
          <w:p>
            <w:pPr>
              <w:jc w:val="right"/>
              <w:ind w:right="4870"/>
              <w:spacing w:after="0"/>
              <w:rPr>
                <w:sz w:val="20"/>
                <w:szCs w:val="20"/>
                <w:color w:val="auto"/>
              </w:rPr>
            </w:pPr>
            <w:r>
              <w:rPr>
                <w:rFonts w:ascii="Arial" w:cs="Arial" w:eastAsia="Arial" w:hAnsi="Arial"/>
                <w:sz w:val="18"/>
                <w:szCs w:val="18"/>
                <w:color w:val="auto"/>
                <w:w w:val="87"/>
              </w:rPr>
              <w:t>__________</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ind w:left="340" w:right="80" w:hanging="332"/>
        <w:spacing w:after="0" w:line="262" w:lineRule="auto"/>
        <w:tabs>
          <w:tab w:leader="none" w:pos="236" w:val="left"/>
        </w:tabs>
        <w:numPr>
          <w:ilvl w:val="0"/>
          <w:numId w:val="8"/>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as Level 2 in the fair value hierarchy. Carrying amount of long-term debt is net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25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for the period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gridSpan w:val="5"/>
          </w:tcPr>
          <w:p>
            <w:pPr>
              <w:jc w:val="right"/>
              <w:ind w:right="30"/>
              <w:spacing w:after="0"/>
              <w:rPr>
                <w:sz w:val="20"/>
                <w:szCs w:val="20"/>
                <w:color w:val="auto"/>
              </w:rPr>
            </w:pPr>
            <w:r>
              <w:rPr>
                <w:rFonts w:ascii="Arial" w:cs="Arial" w:eastAsia="Arial" w:hAnsi="Arial"/>
                <w:sz w:val="18"/>
                <w:szCs w:val="18"/>
                <w:color w:val="auto"/>
                <w:w w:val="94"/>
              </w:rPr>
              <w:t>Amount Reclassified from AOCI</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3"/>
          </w:tcPr>
          <w:p>
            <w:pPr>
              <w:jc w:val="right"/>
              <w:ind w:right="190"/>
              <w:spacing w:after="0"/>
              <w:rPr>
                <w:sz w:val="20"/>
                <w:szCs w:val="20"/>
                <w:color w:val="auto"/>
              </w:rPr>
            </w:pPr>
            <w:r>
              <w:rPr>
                <w:rFonts w:ascii="Arial" w:cs="Arial" w:eastAsia="Arial" w:hAnsi="Arial"/>
                <w:sz w:val="18"/>
                <w:szCs w:val="18"/>
                <w:color w:val="auto"/>
                <w:w w:val="93"/>
              </w:rPr>
              <w:t>Three Months Ended</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2940" w:type="dxa"/>
            <w:vAlign w:val="bottom"/>
            <w:vMerge w:val="restart"/>
          </w:tcPr>
          <w:p>
            <w:pPr>
              <w:ind w:left="540"/>
              <w:spacing w:after="0"/>
              <w:rPr>
                <w:sz w:val="20"/>
                <w:szCs w:val="20"/>
                <w:color w:val="auto"/>
              </w:rPr>
            </w:pPr>
            <w:r>
              <w:rPr>
                <w:rFonts w:ascii="Arial" w:cs="Arial" w:eastAsia="Arial" w:hAnsi="Arial"/>
                <w:sz w:val="18"/>
                <w:szCs w:val="18"/>
                <w:color w:val="auto"/>
              </w:rPr>
              <w:t>Location on the Condensed</w:t>
            </w: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Pr>
          <w:p>
            <w:pPr>
              <w:spacing w:after="0"/>
              <w:rPr>
                <w:sz w:val="20"/>
                <w:szCs w:val="20"/>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w w:val="97"/>
              </w:rPr>
              <w:t>Six Months Ended June 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940" w:type="dxa"/>
            <w:vAlign w:val="bottom"/>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940" w:type="dxa"/>
            <w:vAlign w:val="bottom"/>
          </w:tcPr>
          <w:p>
            <w:pPr>
              <w:ind w:left="240"/>
              <w:spacing w:after="0"/>
              <w:rPr>
                <w:sz w:val="20"/>
                <w:szCs w:val="20"/>
                <w:color w:val="auto"/>
              </w:rPr>
            </w:pPr>
            <w:r>
              <w:rPr>
                <w:rFonts w:ascii="Arial" w:cs="Arial" w:eastAsia="Arial" w:hAnsi="Arial"/>
                <w:sz w:val="18"/>
                <w:szCs w:val="18"/>
                <w:color w:val="auto"/>
                <w:w w:val="93"/>
              </w:rPr>
              <w:t>Consolidated Statements of Income</w:t>
            </w:r>
          </w:p>
        </w:tc>
        <w:tc>
          <w:tcPr>
            <w:tcW w:w="2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w w:val="89"/>
              </w:rPr>
              <w:t>2019</w:t>
            </w:r>
          </w:p>
        </w:tc>
        <w:tc>
          <w:tcPr>
            <w:tcW w:w="34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Gains and (losses) on cash flow hedges:</w:t>
            </w:r>
          </w:p>
        </w:tc>
        <w:tc>
          <w:tcPr>
            <w:tcW w:w="29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29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EFFE7"/>
          </w:tcPr>
          <w:p>
            <w:pPr>
              <w:ind w:left="20"/>
              <w:spacing w:after="0"/>
              <w:rPr>
                <w:sz w:val="20"/>
                <w:szCs w:val="20"/>
                <w:color w:val="auto"/>
              </w:rPr>
            </w:pPr>
            <w:r>
              <w:rPr>
                <w:rFonts w:ascii="Arial" w:cs="Arial" w:eastAsia="Arial" w:hAnsi="Arial"/>
                <w:sz w:val="18"/>
                <w:szCs w:val="18"/>
                <w:color w:val="auto"/>
              </w:rPr>
              <w:t>Commodity contracts</w:t>
            </w:r>
          </w:p>
        </w:tc>
        <w:tc>
          <w:tcPr>
            <w:tcW w:w="2940" w:type="dxa"/>
            <w:vAlign w:val="bottom"/>
            <w:shd w:val="clear" w:color="auto" w:fill="CEFFE7"/>
          </w:tcPr>
          <w:p>
            <w:pPr>
              <w:ind w:left="120"/>
              <w:spacing w:after="0"/>
              <w:rPr>
                <w:sz w:val="20"/>
                <w:szCs w:val="20"/>
                <w:color w:val="auto"/>
              </w:rPr>
            </w:pPr>
            <w:r>
              <w:rPr>
                <w:rFonts w:ascii="Arial" w:cs="Arial" w:eastAsia="Arial" w:hAnsi="Arial"/>
                <w:sz w:val="18"/>
                <w:szCs w:val="18"/>
                <w:color w:val="auto"/>
              </w:rPr>
              <w:t>Fuel, purchased power and cost of</w:t>
            </w:r>
          </w:p>
        </w:tc>
        <w:tc>
          <w:tcPr>
            <w:tcW w:w="20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78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EFFE7"/>
            </w:tcBorders>
            <w:shd w:val="clear" w:color="auto" w:fill="CEFFE7"/>
          </w:tcPr>
          <w:p>
            <w:pPr>
              <w:spacing w:after="0"/>
              <w:rPr>
                <w:sz w:val="22"/>
                <w:szCs w:val="22"/>
                <w:color w:val="auto"/>
              </w:rPr>
            </w:pPr>
          </w:p>
        </w:tc>
        <w:tc>
          <w:tcPr>
            <w:tcW w:w="29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natural gas sold</w:t>
            </w:r>
          </w:p>
        </w:tc>
        <w:tc>
          <w:tcPr>
            <w:tcW w:w="200" w:type="dxa"/>
            <w:vAlign w:val="bottom"/>
            <w:tcBorders>
              <w:bottom w:val="single" w:sz="8" w:color="CEFFE7"/>
            </w:tcBorders>
            <w:shd w:val="clear" w:color="auto" w:fill="CEFFE7"/>
          </w:tcPr>
          <w:p>
            <w:pPr>
              <w:spacing w:after="0"/>
              <w:rPr>
                <w:sz w:val="22"/>
                <w:szCs w:val="22"/>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w:t>
            </w:r>
          </w:p>
        </w:tc>
        <w:tc>
          <w:tcPr>
            <w:tcW w:w="400" w:type="dxa"/>
            <w:vAlign w:val="bottom"/>
            <w:tcBorders>
              <w:bottom w:val="single" w:sz="8" w:color="CEFFE7"/>
            </w:tcBorders>
            <w:shd w:val="clear" w:color="auto" w:fill="CEFFE7"/>
          </w:tcPr>
          <w:p>
            <w:pPr>
              <w:spacing w:after="0"/>
              <w:rPr>
                <w:sz w:val="22"/>
                <w:szCs w:val="22"/>
                <w:color w:val="auto"/>
              </w:rPr>
            </w:pPr>
          </w:p>
        </w:tc>
        <w:tc>
          <w:tcPr>
            <w:tcW w:w="7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83</w:t>
            </w:r>
          </w:p>
        </w:tc>
        <w:tc>
          <w:tcPr>
            <w:tcW w:w="340" w:type="dxa"/>
            <w:vAlign w:val="bottom"/>
            <w:tcBorders>
              <w:bottom w:val="single" w:sz="8" w:color="CEFFE7"/>
            </w:tcBorders>
            <w:shd w:val="clear" w:color="auto" w:fill="CEFFE7"/>
          </w:tcPr>
          <w:p>
            <w:pPr>
              <w:spacing w:after="0"/>
              <w:rPr>
                <w:sz w:val="22"/>
                <w:szCs w:val="22"/>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(630)</w:t>
            </w: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Income tax</w:t>
            </w:r>
          </w:p>
        </w:tc>
        <w:tc>
          <w:tcPr>
            <w:tcW w:w="29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186</w:t>
            </w:r>
          </w:p>
        </w:tc>
        <w:tc>
          <w:tcPr>
            <w:tcW w:w="40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471</w:t>
            </w:r>
          </w:p>
        </w:tc>
        <w:tc>
          <w:tcPr>
            <w:tcW w:w="28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8"/>
                <w:szCs w:val="18"/>
                <w:color w:val="auto"/>
                <w:w w:val="93"/>
              </w:rPr>
              <w:t>Total reclassification adjustments related to cash flow</w:t>
            </w:r>
          </w:p>
        </w:tc>
        <w:tc>
          <w:tcPr>
            <w:tcW w:w="29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hedges, net of tax</w:t>
            </w:r>
          </w:p>
        </w:tc>
        <w:tc>
          <w:tcPr>
            <w:tcW w:w="29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EFFE7"/>
            </w:tcBorders>
          </w:tcPr>
          <w:p>
            <w:pPr>
              <w:spacing w:after="0"/>
              <w:rPr>
                <w:sz w:val="2"/>
                <w:szCs w:val="2"/>
                <w:color w:val="auto"/>
              </w:rPr>
            </w:pPr>
          </w:p>
        </w:tc>
        <w:tc>
          <w:tcPr>
            <w:tcW w:w="29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EFFE7"/>
          </w:tcPr>
          <w:p>
            <w:pPr>
              <w:spacing w:after="0"/>
              <w:rPr>
                <w:sz w:val="21"/>
                <w:szCs w:val="21"/>
                <w:color w:val="auto"/>
              </w:rPr>
            </w:pPr>
          </w:p>
        </w:tc>
        <w:tc>
          <w:tcPr>
            <w:tcW w:w="2940" w:type="dxa"/>
            <w:vAlign w:val="bottom"/>
            <w:shd w:val="clear" w:color="auto" w:fill="CEFFE7"/>
          </w:tcPr>
          <w:p>
            <w:pPr>
              <w:spacing w:after="0"/>
              <w:rPr>
                <w:sz w:val="21"/>
                <w:szCs w:val="21"/>
                <w:color w:val="auto"/>
              </w:rPr>
            </w:pPr>
          </w:p>
        </w:tc>
        <w:tc>
          <w:tcPr>
            <w:tcW w:w="200" w:type="dxa"/>
            <w:vAlign w:val="bottom"/>
            <w:shd w:val="clear" w:color="auto" w:fill="CEFFE7"/>
          </w:tcPr>
          <w:p>
            <w:pPr>
              <w:spacing w:after="0"/>
              <w:rPr>
                <w:sz w:val="21"/>
                <w:szCs w:val="21"/>
                <w:color w:val="auto"/>
              </w:rPr>
            </w:pPr>
          </w:p>
        </w:tc>
        <w:tc>
          <w:tcPr>
            <w:tcW w:w="740" w:type="dxa"/>
            <w:vAlign w:val="bottom"/>
            <w:shd w:val="clear" w:color="auto" w:fill="CEFFE7"/>
          </w:tcPr>
          <w:p>
            <w:pPr>
              <w:spacing w:after="0"/>
              <w:rPr>
                <w:sz w:val="21"/>
                <w:szCs w:val="21"/>
                <w:color w:val="auto"/>
              </w:rPr>
            </w:pPr>
          </w:p>
        </w:tc>
        <w:tc>
          <w:tcPr>
            <w:tcW w:w="400" w:type="dxa"/>
            <w:vAlign w:val="bottom"/>
            <w:shd w:val="clear" w:color="auto" w:fill="CEFFE7"/>
          </w:tcPr>
          <w:p>
            <w:pPr>
              <w:spacing w:after="0"/>
              <w:rPr>
                <w:sz w:val="21"/>
                <w:szCs w:val="21"/>
                <w:color w:val="auto"/>
              </w:rPr>
            </w:pPr>
          </w:p>
        </w:tc>
        <w:tc>
          <w:tcPr>
            <w:tcW w:w="740" w:type="dxa"/>
            <w:vAlign w:val="bottom"/>
            <w:shd w:val="clear" w:color="auto" w:fill="CEFFE7"/>
          </w:tcPr>
          <w:p>
            <w:pPr>
              <w:spacing w:after="0"/>
              <w:rPr>
                <w:sz w:val="21"/>
                <w:szCs w:val="21"/>
                <w:color w:val="auto"/>
              </w:rPr>
            </w:pPr>
          </w:p>
        </w:tc>
        <w:tc>
          <w:tcPr>
            <w:tcW w:w="340" w:type="dxa"/>
            <w:vAlign w:val="bottom"/>
            <w:shd w:val="clear" w:color="auto" w:fill="CEFFE7"/>
          </w:tcPr>
          <w:p>
            <w:pPr>
              <w:spacing w:after="0"/>
              <w:rPr>
                <w:sz w:val="21"/>
                <w:szCs w:val="21"/>
                <w:color w:val="auto"/>
              </w:rPr>
            </w:pPr>
          </w:p>
        </w:tc>
        <w:tc>
          <w:tcPr>
            <w:tcW w:w="780" w:type="dxa"/>
            <w:vAlign w:val="bottom"/>
            <w:shd w:val="clear" w:color="auto" w:fill="CEFFE7"/>
          </w:tcPr>
          <w:p>
            <w:pPr>
              <w:spacing w:after="0"/>
              <w:rPr>
                <w:sz w:val="21"/>
                <w:szCs w:val="21"/>
                <w:color w:val="auto"/>
              </w:rPr>
            </w:pPr>
          </w:p>
        </w:tc>
        <w:tc>
          <w:tcPr>
            <w:tcW w:w="28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w w:val="94"/>
              </w:rPr>
              <w:t>Amortization of components of defined benefit plans:</w:t>
            </w:r>
          </w:p>
        </w:tc>
        <w:tc>
          <w:tcPr>
            <w:tcW w:w="2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Prior service cost</w:t>
            </w:r>
          </w:p>
        </w:tc>
        <w:tc>
          <w:tcPr>
            <w:tcW w:w="29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Operations and maintenance</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w:t>
            </w:r>
          </w:p>
        </w:tc>
        <w:tc>
          <w:tcPr>
            <w:tcW w:w="40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Actuarial gain (loss)</w:t>
            </w:r>
          </w:p>
        </w:tc>
        <w:tc>
          <w:tcPr>
            <w:tcW w:w="29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Operations and maintenance</w:t>
            </w:r>
          </w:p>
        </w:tc>
        <w:tc>
          <w:tcPr>
            <w:tcW w:w="20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(597)</w:t>
            </w:r>
          </w:p>
        </w:tc>
        <w:tc>
          <w:tcPr>
            <w:tcW w:w="40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(221)</w:t>
            </w:r>
          </w:p>
        </w:tc>
        <w:tc>
          <w:tcPr>
            <w:tcW w:w="34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(1,194)</w:t>
            </w:r>
          </w:p>
        </w:tc>
        <w:tc>
          <w:tcPr>
            <w:tcW w:w="28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Income tax</w:t>
            </w:r>
          </w:p>
        </w:tc>
        <w:tc>
          <w:tcPr>
            <w:tcW w:w="29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8"/>
                <w:szCs w:val="18"/>
                <w:color w:val="auto"/>
                <w:w w:val="96"/>
              </w:rPr>
              <w:t>Total reclassification adjustments related to defined</w:t>
            </w:r>
          </w:p>
        </w:tc>
        <w:tc>
          <w:tcPr>
            <w:tcW w:w="29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benefit plans, net of tax</w:t>
            </w:r>
          </w:p>
        </w:tc>
        <w:tc>
          <w:tcPr>
            <w:tcW w:w="29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EFFE7"/>
            </w:tcBorders>
          </w:tcPr>
          <w:p>
            <w:pPr>
              <w:spacing w:after="0"/>
              <w:rPr>
                <w:sz w:val="2"/>
                <w:szCs w:val="2"/>
                <w:color w:val="auto"/>
              </w:rPr>
            </w:pPr>
          </w:p>
        </w:tc>
        <w:tc>
          <w:tcPr>
            <w:tcW w:w="29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reclassifications</w:t>
            </w:r>
          </w:p>
        </w:tc>
        <w:tc>
          <w:tcPr>
            <w:tcW w:w="2940" w:type="dxa"/>
            <w:vAlign w:val="bottom"/>
            <w:tcBorders>
              <w:bottom w:val="single" w:sz="8" w:color="CEFFE7"/>
            </w:tcBorders>
            <w:shd w:val="clear" w:color="auto" w:fill="CEFFE7"/>
          </w:tcPr>
          <w:p>
            <w:pPr>
              <w:spacing w:after="0"/>
              <w:rPr>
                <w:sz w:val="24"/>
                <w:szCs w:val="24"/>
                <w:color w:val="auto"/>
              </w:rPr>
            </w:pP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(993)</w:t>
            </w:r>
          </w:p>
        </w:tc>
        <w:tc>
          <w:tcPr>
            <w:tcW w:w="40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(631)</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(2,386)</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4000" w:type="dxa"/>
            <w:vAlign w:val="bottom"/>
            <w:tcBorders>
              <w:top w:val="single" w:sz="8" w:color="CEFFE7"/>
            </w:tcBorders>
          </w:tcPr>
          <w:p>
            <w:pPr>
              <w:spacing w:after="0" w:line="20" w:lineRule="exact"/>
              <w:rPr>
                <w:sz w:val="1"/>
                <w:szCs w:val="1"/>
                <w:color w:val="auto"/>
              </w:rPr>
            </w:pPr>
          </w:p>
        </w:tc>
        <w:tc>
          <w:tcPr>
            <w:tcW w:w="294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2"/>
              </w:rPr>
              <w:t>Employee Benefit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color w:val="auto"/>
                <w:w w:val="97"/>
              </w:rPr>
              <w:t>Interest Rate Swaps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6"/>
              </w:rPr>
              <w:t>Commodity Derivatives</w:t>
            </w:r>
          </w:p>
        </w:tc>
        <w:tc>
          <w:tcPr>
            <w:tcW w:w="200" w:type="dxa"/>
            <w:vAlign w:val="bottom"/>
          </w:tcPr>
          <w:p>
            <w:pPr>
              <w:spacing w:after="0"/>
              <w:rPr>
                <w:sz w:val="20"/>
                <w:szCs w:val="20"/>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84"/>
              </w:rPr>
              <w:t>Plans</w:t>
            </w:r>
          </w:p>
        </w:tc>
        <w:tc>
          <w:tcPr>
            <w:tcW w:w="34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As of December 31, 2019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(15,122)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center"/>
              <w:ind w:left="1210"/>
              <w:spacing w:after="0"/>
              <w:rPr>
                <w:sz w:val="20"/>
                <w:szCs w:val="20"/>
                <w:color w:val="auto"/>
              </w:rPr>
            </w:pPr>
            <w:r>
              <w:rPr>
                <w:rFonts w:ascii="Arial" w:cs="Arial" w:eastAsia="Arial" w:hAnsi="Arial"/>
                <w:sz w:val="18"/>
                <w:szCs w:val="18"/>
                <w:color w:val="auto"/>
                <w:w w:val="90"/>
              </w:rPr>
              <w:t>(456)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(15,077)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(30,655)</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EFFE7"/>
            </w:tcBorders>
            <w:shd w:val="clear" w:color="auto" w:fill="CEFFE7"/>
          </w:tcPr>
          <w:p>
            <w:pPr>
              <w:spacing w:after="0"/>
              <w:rPr>
                <w:sz w:val="21"/>
                <w:szCs w:val="21"/>
                <w:color w:val="auto"/>
              </w:rPr>
            </w:pPr>
          </w:p>
        </w:tc>
        <w:tc>
          <w:tcPr>
            <w:tcW w:w="19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r>
      <w:tr>
        <w:trPr>
          <w:trHeight w:val="243"/>
        </w:trPr>
        <w:tc>
          <w:tcPr>
            <w:tcW w:w="3880" w:type="dxa"/>
            <w:vAlign w:val="bottom"/>
          </w:tcPr>
          <w:p>
            <w:pPr>
              <w:ind w:left="120"/>
              <w:spacing w:after="0"/>
              <w:rPr>
                <w:sz w:val="20"/>
                <w:szCs w:val="20"/>
                <w:color w:val="auto"/>
              </w:rPr>
            </w:pPr>
            <w:r>
              <w:rPr>
                <w:rFonts w:ascii="Arial" w:cs="Arial" w:eastAsia="Arial" w:hAnsi="Arial"/>
                <w:sz w:val="18"/>
                <w:szCs w:val="18"/>
                <w:color w:val="auto"/>
              </w:rPr>
              <w:t>before reclassifications</w:t>
            </w:r>
          </w:p>
        </w:tc>
        <w:tc>
          <w:tcPr>
            <w:tcW w:w="26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0" w:type="dxa"/>
            <w:vAlign w:val="bottom"/>
          </w:tcPr>
          <w:p>
            <w:pPr>
              <w:jc w:val="center"/>
              <w:ind w:left="1210"/>
              <w:spacing w:after="0"/>
              <w:rPr>
                <w:sz w:val="20"/>
                <w:szCs w:val="20"/>
                <w:color w:val="auto"/>
              </w:rPr>
            </w:pPr>
            <w:r>
              <w:rPr>
                <w:rFonts w:ascii="Arial" w:cs="Arial" w:eastAsia="Arial" w:hAnsi="Arial"/>
                <w:sz w:val="18"/>
                <w:szCs w:val="18"/>
                <w:color w:val="auto"/>
                <w:w w:val="90"/>
              </w:rPr>
              <w:t>(220)</w:t>
            </w: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EFFE7"/>
            </w:tcBorders>
            <w:shd w:val="clear" w:color="auto" w:fill="CEFFE7"/>
          </w:tcPr>
          <w:p>
            <w:pPr>
              <w:spacing w:after="0"/>
              <w:rPr>
                <w:sz w:val="23"/>
                <w:szCs w:val="23"/>
                <w:color w:val="auto"/>
              </w:rPr>
            </w:pPr>
          </w:p>
        </w:tc>
        <w:tc>
          <w:tcPr>
            <w:tcW w:w="19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1,087</w:t>
            </w:r>
          </w:p>
        </w:tc>
        <w:tc>
          <w:tcPr>
            <w:tcW w:w="160" w:type="dxa"/>
            <w:vAlign w:val="bottom"/>
            <w:tcBorders>
              <w:bottom w:val="single" w:sz="8" w:color="CEFFE7"/>
            </w:tcBorders>
            <w:shd w:val="clear" w:color="auto" w:fill="CEFFE7"/>
          </w:tcPr>
          <w:p>
            <w:pPr>
              <w:spacing w:after="0"/>
              <w:rPr>
                <w:sz w:val="23"/>
                <w:szCs w:val="23"/>
                <w:color w:val="auto"/>
              </w:rPr>
            </w:pPr>
          </w:p>
        </w:tc>
        <w:tc>
          <w:tcPr>
            <w:tcW w:w="1800" w:type="dxa"/>
            <w:vAlign w:val="bottom"/>
            <w:tcBorders>
              <w:bottom w:val="single" w:sz="8" w:color="CEFFE7"/>
            </w:tcBorders>
            <w:shd w:val="clear" w:color="auto" w:fill="CEFFE7"/>
          </w:tcPr>
          <w:p>
            <w:pPr>
              <w:jc w:val="center"/>
              <w:ind w:left="1230"/>
              <w:spacing w:after="0"/>
              <w:rPr>
                <w:sz w:val="20"/>
                <w:szCs w:val="20"/>
                <w:color w:val="auto"/>
              </w:rPr>
            </w:pPr>
            <w:r>
              <w:rPr>
                <w:rFonts w:ascii="Arial" w:cs="Arial" w:eastAsia="Arial" w:hAnsi="Arial"/>
                <w:sz w:val="18"/>
                <w:szCs w:val="18"/>
                <w:color w:val="auto"/>
                <w:w w:val="93"/>
              </w:rPr>
              <w:t>424</w:t>
            </w:r>
          </w:p>
        </w:tc>
        <w:tc>
          <w:tcPr>
            <w:tcW w:w="20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875</w:t>
            </w:r>
          </w:p>
        </w:tc>
        <w:tc>
          <w:tcPr>
            <w:tcW w:w="34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2,386</w:t>
            </w:r>
          </w:p>
        </w:tc>
      </w:tr>
      <w:tr>
        <w:trPr>
          <w:trHeight w:val="236"/>
        </w:trPr>
        <w:tc>
          <w:tcPr>
            <w:tcW w:w="3880" w:type="dxa"/>
            <w:vAlign w:val="bottom"/>
          </w:tcPr>
          <w:p>
            <w:pPr>
              <w:ind w:left="20"/>
              <w:spacing w:after="0"/>
              <w:rPr>
                <w:sz w:val="20"/>
                <w:szCs w:val="20"/>
                <w:color w:val="auto"/>
              </w:rPr>
            </w:pPr>
            <w:r>
              <w:rPr>
                <w:rFonts w:ascii="Arial" w:cs="Arial" w:eastAsia="Arial" w:hAnsi="Arial"/>
                <w:sz w:val="18"/>
                <w:szCs w:val="18"/>
                <w:color w:val="auto"/>
              </w:rPr>
              <w:t>As of June 30, 2020</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center"/>
              <w:ind w:left="1210"/>
              <w:spacing w:after="0"/>
              <w:rPr>
                <w:sz w:val="20"/>
                <w:szCs w:val="20"/>
                <w:color w:val="auto"/>
              </w:rPr>
            </w:pPr>
            <w:r>
              <w:rPr>
                <w:rFonts w:ascii="Arial" w:cs="Arial" w:eastAsia="Arial" w:hAnsi="Arial"/>
                <w:sz w:val="18"/>
                <w:szCs w:val="18"/>
                <w:color w:val="auto"/>
                <w:w w:val="90"/>
              </w:rPr>
              <w:t>(252)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(14,147)</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(28,434)</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65"/>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2"/>
              </w:rPr>
              <w:t>Employee Benefit</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color w:val="auto"/>
                <w:w w:val="97"/>
              </w:rPr>
              <w:t>Interest Rate Swaps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6"/>
              </w:rPr>
              <w:t>Commodity Derivatives</w:t>
            </w:r>
          </w:p>
        </w:tc>
        <w:tc>
          <w:tcPr>
            <w:tcW w:w="200" w:type="dxa"/>
            <w:vAlign w:val="bottom"/>
          </w:tcPr>
          <w:p>
            <w:pPr>
              <w:spacing w:after="0"/>
              <w:rPr>
                <w:sz w:val="20"/>
                <w:szCs w:val="20"/>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84"/>
              </w:rPr>
              <w:t>Plans</w:t>
            </w:r>
          </w:p>
        </w:tc>
        <w:tc>
          <w:tcPr>
            <w:tcW w:w="34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3880" w:type="dxa"/>
            <w:vAlign w:val="bottom"/>
          </w:tcPr>
          <w:p>
            <w:pPr>
              <w:ind w:left="20"/>
              <w:spacing w:after="0"/>
              <w:rPr>
                <w:sz w:val="20"/>
                <w:szCs w:val="20"/>
                <w:color w:val="auto"/>
              </w:rPr>
            </w:pPr>
            <w:r>
              <w:rPr>
                <w:rFonts w:ascii="Arial" w:cs="Arial" w:eastAsia="Arial" w:hAnsi="Arial"/>
                <w:sz w:val="18"/>
                <w:szCs w:val="18"/>
                <w:color w:val="auto"/>
              </w:rPr>
              <w:t>As of December 31, 2018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(17,307)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center"/>
              <w:ind w:left="1230"/>
              <w:spacing w:after="0"/>
              <w:rPr>
                <w:sz w:val="20"/>
                <w:szCs w:val="20"/>
                <w:color w:val="auto"/>
              </w:rPr>
            </w:pPr>
            <w:r>
              <w:rPr>
                <w:rFonts w:ascii="Arial" w:cs="Arial" w:eastAsia="Arial" w:hAnsi="Arial"/>
                <w:sz w:val="18"/>
                <w:szCs w:val="18"/>
                <w:color w:val="auto"/>
                <w:w w:val="93"/>
              </w:rPr>
              <w:t>328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(9,937)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(26,916)</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EFFE7"/>
            </w:tcBorders>
            <w:shd w:val="clear" w:color="auto" w:fill="CEFFE7"/>
          </w:tcPr>
          <w:p>
            <w:pPr>
              <w:spacing w:after="0"/>
              <w:rPr>
                <w:sz w:val="21"/>
                <w:szCs w:val="21"/>
                <w:color w:val="auto"/>
              </w:rPr>
            </w:pPr>
          </w:p>
        </w:tc>
        <w:tc>
          <w:tcPr>
            <w:tcW w:w="19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r>
      <w:tr>
        <w:trPr>
          <w:trHeight w:val="243"/>
        </w:trPr>
        <w:tc>
          <w:tcPr>
            <w:tcW w:w="3880" w:type="dxa"/>
            <w:vAlign w:val="bottom"/>
          </w:tcPr>
          <w:p>
            <w:pPr>
              <w:ind w:left="120"/>
              <w:spacing w:after="0"/>
              <w:rPr>
                <w:sz w:val="20"/>
                <w:szCs w:val="20"/>
                <w:color w:val="auto"/>
              </w:rPr>
            </w:pPr>
            <w:r>
              <w:rPr>
                <w:rFonts w:ascii="Arial" w:cs="Arial" w:eastAsia="Arial" w:hAnsi="Arial"/>
                <w:sz w:val="18"/>
                <w:szCs w:val="18"/>
                <w:color w:val="auto"/>
              </w:rPr>
              <w:t>before reclassifications</w:t>
            </w:r>
          </w:p>
        </w:tc>
        <w:tc>
          <w:tcPr>
            <w:tcW w:w="26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0" w:type="dxa"/>
            <w:vAlign w:val="bottom"/>
          </w:tcPr>
          <w:p>
            <w:pPr>
              <w:jc w:val="center"/>
              <w:ind w:left="1210"/>
              <w:spacing w:after="0"/>
              <w:rPr>
                <w:sz w:val="20"/>
                <w:szCs w:val="20"/>
                <w:color w:val="auto"/>
              </w:rPr>
            </w:pPr>
            <w:r>
              <w:rPr>
                <w:rFonts w:ascii="Arial" w:cs="Arial" w:eastAsia="Arial" w:hAnsi="Arial"/>
                <w:sz w:val="18"/>
                <w:szCs w:val="18"/>
                <w:color w:val="auto"/>
                <w:w w:val="90"/>
              </w:rPr>
              <w:t>(219)</w:t>
            </w: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EFFE7"/>
            </w:tcBorders>
            <w:shd w:val="clear" w:color="auto" w:fill="CEFFE7"/>
          </w:tcPr>
          <w:p>
            <w:pPr>
              <w:spacing w:after="0"/>
              <w:rPr>
                <w:sz w:val="23"/>
                <w:szCs w:val="23"/>
                <w:color w:val="auto"/>
              </w:rPr>
            </w:pPr>
          </w:p>
        </w:tc>
        <w:tc>
          <w:tcPr>
            <w:tcW w:w="19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1,091</w:t>
            </w:r>
          </w:p>
        </w:tc>
        <w:tc>
          <w:tcPr>
            <w:tcW w:w="160" w:type="dxa"/>
            <w:vAlign w:val="bottom"/>
            <w:tcBorders>
              <w:bottom w:val="single" w:sz="8" w:color="CEFFE7"/>
            </w:tcBorders>
            <w:shd w:val="clear" w:color="auto" w:fill="CEFFE7"/>
          </w:tcPr>
          <w:p>
            <w:pPr>
              <w:spacing w:after="0"/>
              <w:rPr>
                <w:sz w:val="23"/>
                <w:szCs w:val="23"/>
                <w:color w:val="auto"/>
              </w:rPr>
            </w:pPr>
          </w:p>
        </w:tc>
        <w:tc>
          <w:tcPr>
            <w:tcW w:w="1800" w:type="dxa"/>
            <w:vAlign w:val="bottom"/>
            <w:tcBorders>
              <w:bottom w:val="single" w:sz="8" w:color="CEFFE7"/>
            </w:tcBorders>
            <w:shd w:val="clear" w:color="auto" w:fill="CEFFE7"/>
          </w:tcPr>
          <w:p>
            <w:pPr>
              <w:jc w:val="center"/>
              <w:ind w:left="1210"/>
              <w:spacing w:after="0"/>
              <w:rPr>
                <w:sz w:val="20"/>
                <w:szCs w:val="20"/>
                <w:color w:val="auto"/>
              </w:rPr>
            </w:pPr>
            <w:r>
              <w:rPr>
                <w:rFonts w:ascii="Arial" w:cs="Arial" w:eastAsia="Arial" w:hAnsi="Arial"/>
                <w:sz w:val="18"/>
                <w:szCs w:val="18"/>
                <w:color w:val="auto"/>
                <w:w w:val="90"/>
              </w:rPr>
              <w:t>(490)</w:t>
            </w:r>
          </w:p>
        </w:tc>
        <w:tc>
          <w:tcPr>
            <w:tcW w:w="20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307</w:t>
            </w:r>
          </w:p>
        </w:tc>
        <w:tc>
          <w:tcPr>
            <w:tcW w:w="34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908</w:t>
            </w:r>
          </w:p>
        </w:tc>
      </w:tr>
      <w:tr>
        <w:trPr>
          <w:trHeight w:val="264"/>
        </w:trPr>
        <w:tc>
          <w:tcPr>
            <w:tcW w:w="3880" w:type="dxa"/>
            <w:vAlign w:val="bottom"/>
          </w:tcPr>
          <w:p>
            <w:pPr>
              <w:ind w:left="20"/>
              <w:spacing w:after="0"/>
              <w:rPr>
                <w:sz w:val="20"/>
                <w:szCs w:val="20"/>
                <w:color w:val="auto"/>
              </w:rPr>
            </w:pPr>
            <w:r>
              <w:rPr>
                <w:rFonts w:ascii="Arial" w:cs="Arial" w:eastAsia="Arial" w:hAnsi="Arial"/>
                <w:sz w:val="18"/>
                <w:szCs w:val="18"/>
                <w:color w:val="auto"/>
              </w:rPr>
              <w:t>As of June 30, 2019</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center"/>
              <w:ind w:left="1210"/>
              <w:spacing w:after="0"/>
              <w:rPr>
                <w:sz w:val="20"/>
                <w:szCs w:val="20"/>
                <w:color w:val="auto"/>
              </w:rPr>
            </w:pPr>
            <w:r>
              <w:rPr>
                <w:rFonts w:ascii="Arial" w:cs="Arial" w:eastAsia="Arial" w:hAnsi="Arial"/>
                <w:sz w:val="18"/>
                <w:szCs w:val="18"/>
                <w:color w:val="auto"/>
                <w:w w:val="90"/>
              </w:rPr>
              <w:t>(381)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(9,630)</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(26,227)</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Accounting Principle - Pension Accounting Asset Method</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Effective January 1, 2020, the Company changed its method of accounting for net periodic benefit cost. Prior to the change, the Company used a calculated value for determining market-related value of plan assets which amortized the effects of gains and losses over a five-year period. Effective with the accounting change, the Company will use a calculated value for the return-seeking assets (equities) in the portfolio and fair value for the liability-hedging assets (fixed income). The Company considers the fair value method for determining market-related value of liability-hedging assets to be a preferable method of accounting because asset-related gains and losses are subject to amortization into pension cost immediately. Additionally, the fair value for liability-hedging assets allows for the impact of gains and losses on this portion of the asset portfolio to be reflected in tandem with changes in the liability which is linked to changes in the discount rate assumption for re-measurement.</w:t>
      </w:r>
    </w:p>
    <w:p>
      <w:pPr>
        <w:spacing w:after="0" w:line="204"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We evaluated the effect of this change in accounting method and deemed it immaterial to the historical and current financial statements and therefore did not account for the change retrospectively. Accordingly, the Company calculated the cumulative difference using a calculated value versus fair value to determine market-related value for liability-hedging assets of the portfolio. The cumulative effect of this change, as of January 1, 2020, resulted in a decrease to prior service costs, as recorded in Other income (expense), net, of $0.6 million, an increase in Income tax expense of $0.2 million and an increase to Net income of $0.4 million within the accompanying Condensed Consolidated Statements of Income for the six months ended June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Funding Status of Employee Benefit Plans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Based on the fair value of assets and estimated discount rate used to value benefit obligations as of June 30, 2020, we estimate the unfunded status of our employee benefit plans to be approximately $50 million compared to $51 million at December 31, 2019. In 2012, we froze our pension plan and closed it to new participants. Since then, we have implemented various de-risking strategies including lump sum buyouts, the purchase of annuities and the reduction</w:t>
      </w:r>
    </w:p>
    <w:p>
      <w:pPr>
        <w:spacing w:after="0" w:line="1"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of return-seeking assets over time to a more liability-hedged portfolio. As a result, recent capital markets volatility driven by the COVID-19 pandemic has not materially affected our unfunded status and does not require interim re-measurement of our pension plan assets or defined benefit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Pension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Pension Plan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gridSpan w:val="3"/>
          </w:tcPr>
          <w:p>
            <w:pPr>
              <w:jc w:val="right"/>
              <w:ind w:right="670"/>
              <w:spacing w:after="0"/>
              <w:rPr>
                <w:sz w:val="20"/>
                <w:szCs w:val="20"/>
                <w:color w:val="auto"/>
              </w:rPr>
            </w:pPr>
            <w:r>
              <w:rPr>
                <w:rFonts w:ascii="Arial" w:cs="Arial" w:eastAsia="Arial" w:hAnsi="Arial"/>
                <w:sz w:val="18"/>
                <w:szCs w:val="18"/>
                <w:color w:val="auto"/>
              </w:rPr>
              <w:t>Six Months Ended June 30,</w:t>
            </w:r>
          </w:p>
        </w:tc>
      </w:tr>
      <w:tr>
        <w:trPr>
          <w:trHeight w:val="270"/>
        </w:trPr>
        <w:tc>
          <w:tcPr>
            <w:tcW w:w="4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3"/>
                <w:szCs w:val="23"/>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2019</w:t>
            </w:r>
          </w:p>
        </w:tc>
      </w:tr>
      <w:tr>
        <w:trPr>
          <w:trHeight w:val="27"/>
        </w:trPr>
        <w:tc>
          <w:tcPr>
            <w:tcW w:w="4120" w:type="dxa"/>
            <w:vAlign w:val="bottom"/>
            <w:tcBorders>
              <w:bottom w:val="single" w:sz="8" w:color="CEFFE7"/>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Service cost</w:t>
            </w:r>
          </w:p>
        </w:tc>
        <w:tc>
          <w:tcPr>
            <w:tcW w:w="108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1,353</w:t>
            </w:r>
          </w:p>
        </w:tc>
        <w:tc>
          <w:tcPr>
            <w:tcW w:w="114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2,706</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2,691</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3,356</w:t>
            </w:r>
          </w:p>
        </w:tc>
        <w:tc>
          <w:tcPr>
            <w:tcW w:w="11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6,713</w:t>
            </w:r>
          </w:p>
        </w:tc>
        <w:tc>
          <w:tcPr>
            <w:tcW w:w="4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8,687</w:t>
            </w: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Expected return on plan assets</w:t>
            </w:r>
          </w:p>
        </w:tc>
        <w:tc>
          <w:tcPr>
            <w:tcW w:w="10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4"/>
              </w:rPr>
              <w:t>(5,648)</w:t>
            </w:r>
          </w:p>
        </w:tc>
        <w:tc>
          <w:tcPr>
            <w:tcW w:w="114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4"/>
              </w:rPr>
              <w:t>(6,100)</w:t>
            </w:r>
          </w:p>
        </w:tc>
        <w:tc>
          <w:tcPr>
            <w:tcW w:w="1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(11,296)</w:t>
            </w:r>
          </w:p>
        </w:tc>
        <w:tc>
          <w:tcPr>
            <w:tcW w:w="44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(12,200)</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loss (gain)</w:t>
            </w:r>
          </w:p>
        </w:tc>
        <w:tc>
          <w:tcPr>
            <w:tcW w:w="108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2,093</w:t>
            </w:r>
          </w:p>
        </w:tc>
        <w:tc>
          <w:tcPr>
            <w:tcW w:w="114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EFFE7"/>
            </w:tcBorders>
            <w:shd w:val="clear" w:color="auto" w:fill="CEFFE7"/>
          </w:tcPr>
          <w:p>
            <w:pPr>
              <w:spacing w:after="0"/>
              <w:rPr>
                <w:sz w:val="23"/>
                <w:szCs w:val="23"/>
                <w:color w:val="auto"/>
              </w:rPr>
            </w:pP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4,186</w:t>
            </w:r>
          </w:p>
        </w:tc>
        <w:tc>
          <w:tcPr>
            <w:tcW w:w="44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1,881</w:t>
            </w: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1,154</w:t>
            </w:r>
          </w:p>
        </w:tc>
        <w:tc>
          <w:tcPr>
            <w:tcW w:w="114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2,309</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1,072</w:t>
            </w:r>
          </w:p>
        </w:tc>
      </w:tr>
      <w:tr>
        <w:trPr>
          <w:trHeight w:val="20"/>
        </w:trPr>
        <w:tc>
          <w:tcPr>
            <w:tcW w:w="4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44"/>
        </w:trPr>
        <w:tc>
          <w:tcPr>
            <w:tcW w:w="4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8"/>
        </w:trPr>
        <w:tc>
          <w:tcPr>
            <w:tcW w:w="4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Postretirement Healthcare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Postretirement Healthcare Plan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920" w:type="dxa"/>
            <w:vAlign w:val="bottom"/>
            <w:gridSpan w:val="3"/>
          </w:tcPr>
          <w:p>
            <w:pPr>
              <w:jc w:val="right"/>
              <w:ind w:right="10"/>
              <w:spacing w:after="0"/>
              <w:rPr>
                <w:sz w:val="20"/>
                <w:szCs w:val="20"/>
                <w:color w:val="auto"/>
              </w:rPr>
            </w:pPr>
            <w:r>
              <w:rPr>
                <w:rFonts w:ascii="Arial" w:cs="Arial" w:eastAsia="Arial" w:hAnsi="Arial"/>
                <w:sz w:val="18"/>
                <w:szCs w:val="18"/>
                <w:color w:val="auto"/>
              </w:rPr>
              <w:t>Three Months Ended June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gridSpan w:val="3"/>
          </w:tcPr>
          <w:p>
            <w:pPr>
              <w:jc w:val="right"/>
              <w:ind w:right="670"/>
              <w:spacing w:after="0"/>
              <w:rPr>
                <w:sz w:val="20"/>
                <w:szCs w:val="20"/>
                <w:color w:val="auto"/>
              </w:rPr>
            </w:pPr>
            <w:r>
              <w:rPr>
                <w:rFonts w:ascii="Arial" w:cs="Arial" w:eastAsia="Arial" w:hAnsi="Arial"/>
                <w:sz w:val="18"/>
                <w:szCs w:val="18"/>
                <w:color w:val="auto"/>
              </w:rPr>
              <w:t>Six Months Ended June 30,</w:t>
            </w:r>
          </w:p>
        </w:tc>
      </w:tr>
      <w:tr>
        <w:trPr>
          <w:trHeight w:val="270"/>
        </w:trPr>
        <w:tc>
          <w:tcPr>
            <w:tcW w:w="4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3"/>
                <w:szCs w:val="23"/>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2019</w:t>
            </w:r>
          </w:p>
        </w:tc>
      </w:tr>
      <w:tr>
        <w:trPr>
          <w:trHeight w:val="27"/>
        </w:trPr>
        <w:tc>
          <w:tcPr>
            <w:tcW w:w="412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Service cost</w:t>
            </w:r>
          </w:p>
        </w:tc>
        <w:tc>
          <w:tcPr>
            <w:tcW w:w="1140" w:type="dxa"/>
            <w:vAlign w:val="bottom"/>
            <w:tcBorders>
              <w:bottom w:val="single" w:sz="8" w:color="CEFFE7"/>
            </w:tcBorders>
            <w:shd w:val="clear" w:color="auto" w:fill="CEFFE7"/>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514</w:t>
            </w:r>
          </w:p>
        </w:tc>
        <w:tc>
          <w:tcPr>
            <w:tcW w:w="1220" w:type="dxa"/>
            <w:vAlign w:val="bottom"/>
            <w:tcBorders>
              <w:bottom w:val="single" w:sz="8" w:color="CEFFE7"/>
            </w:tcBorders>
            <w:shd w:val="clear" w:color="auto" w:fill="CEFFE7"/>
          </w:tcPr>
          <w:p>
            <w:pPr>
              <w:jc w:val="right"/>
              <w:ind w:right="9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1,028</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908</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22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4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1,123</w:t>
            </w:r>
          </w:p>
        </w:tc>
      </w:tr>
      <w:tr>
        <w:trPr>
          <w:trHeight w:val="27"/>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Expected return on plan assets</w:t>
            </w:r>
          </w:p>
        </w:tc>
        <w:tc>
          <w:tcPr>
            <w:tcW w:w="114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w:t>
            </w:r>
          </w:p>
        </w:tc>
        <w:tc>
          <w:tcPr>
            <w:tcW w:w="12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w:t>
            </w:r>
          </w:p>
        </w:tc>
        <w:tc>
          <w:tcPr>
            <w:tcW w:w="44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Prior service (benefit)</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12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loss (gain)</w:t>
            </w:r>
          </w:p>
        </w:tc>
        <w:tc>
          <w:tcPr>
            <w:tcW w:w="1140" w:type="dxa"/>
            <w:vAlign w:val="bottom"/>
            <w:tcBorders>
              <w:bottom w:val="single" w:sz="8" w:color="CEFFE7"/>
            </w:tcBorders>
            <w:shd w:val="clear" w:color="auto" w:fill="CEFFE7"/>
          </w:tcPr>
          <w:p>
            <w:pPr>
              <w:spacing w:after="0"/>
              <w:rPr>
                <w:sz w:val="23"/>
                <w:szCs w:val="23"/>
                <w:color w:val="auto"/>
              </w:rPr>
            </w:pPr>
          </w:p>
        </w:tc>
        <w:tc>
          <w:tcPr>
            <w:tcW w:w="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w:t>
            </w:r>
          </w:p>
        </w:tc>
        <w:tc>
          <w:tcPr>
            <w:tcW w:w="122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gridSpan w:val="2"/>
            <w:shd w:val="clear" w:color="auto" w:fill="CEFFE7"/>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749</w:t>
            </w:r>
          </w:p>
        </w:tc>
        <w:tc>
          <w:tcPr>
            <w:tcW w:w="122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1,498</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1,717</w:t>
            </w:r>
          </w:p>
        </w:tc>
      </w:tr>
      <w:tr>
        <w:trPr>
          <w:trHeight w:val="21"/>
        </w:trPr>
        <w:tc>
          <w:tcPr>
            <w:tcW w:w="4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Non-qualified Defined Benefit and Defined Contribution Plans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components of net periodic benefit cost for the Supplemental Non-qualified Defined Benefit and Defined Contribution Plans were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gridSpan w:val="3"/>
          </w:tcPr>
          <w:p>
            <w:pPr>
              <w:jc w:val="right"/>
              <w:ind w:right="670"/>
              <w:spacing w:after="0"/>
              <w:rPr>
                <w:sz w:val="20"/>
                <w:szCs w:val="20"/>
                <w:color w:val="auto"/>
              </w:rPr>
            </w:pPr>
            <w:r>
              <w:rPr>
                <w:rFonts w:ascii="Arial" w:cs="Arial" w:eastAsia="Arial" w:hAnsi="Arial"/>
                <w:sz w:val="18"/>
                <w:szCs w:val="18"/>
                <w:color w:val="auto"/>
              </w:rPr>
              <w:t>Six Months Ended June 30,</w:t>
            </w:r>
          </w:p>
        </w:tc>
      </w:tr>
      <w:tr>
        <w:trPr>
          <w:trHeight w:val="270"/>
        </w:trPr>
        <w:tc>
          <w:tcPr>
            <w:tcW w:w="4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3"/>
                <w:szCs w:val="23"/>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2019</w:t>
            </w:r>
          </w:p>
        </w:tc>
      </w:tr>
      <w:tr>
        <w:trPr>
          <w:trHeight w:val="27"/>
        </w:trPr>
        <w:tc>
          <w:tcPr>
            <w:tcW w:w="4120" w:type="dxa"/>
            <w:vAlign w:val="bottom"/>
            <w:tcBorders>
              <w:bottom w:val="single" w:sz="8" w:color="CEFFE7"/>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Service cost</w:t>
            </w:r>
          </w:p>
        </w:tc>
        <w:tc>
          <w:tcPr>
            <w:tcW w:w="1120" w:type="dxa"/>
            <w:vAlign w:val="bottom"/>
            <w:tcBorders>
              <w:bottom w:val="single" w:sz="8" w:color="CEFFE7"/>
            </w:tcBorders>
            <w:shd w:val="clear" w:color="auto" w:fill="CEFFE7"/>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1,817</w:t>
            </w:r>
          </w:p>
        </w:tc>
        <w:tc>
          <w:tcPr>
            <w:tcW w:w="1200" w:type="dxa"/>
            <w:vAlign w:val="bottom"/>
            <w:tcBorders>
              <w:bottom w:val="single" w:sz="8" w:color="CEFFE7"/>
            </w:tcBorders>
            <w:shd w:val="clear" w:color="auto" w:fill="CEFFE7"/>
          </w:tcPr>
          <w:p>
            <w:pPr>
              <w:jc w:val="right"/>
              <w:ind w:right="9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447</w:t>
            </w:r>
          </w:p>
        </w:tc>
        <w:tc>
          <w:tcPr>
            <w:tcW w:w="46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1,977</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w:t>
            </w:r>
          </w:p>
        </w:tc>
        <w:tc>
          <w:tcPr>
            <w:tcW w:w="12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648</w:t>
            </w:r>
          </w:p>
        </w:tc>
      </w:tr>
      <w:tr>
        <w:trPr>
          <w:trHeight w:val="27"/>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Prior service cost</w:t>
            </w:r>
          </w:p>
        </w:tc>
        <w:tc>
          <w:tcPr>
            <w:tcW w:w="112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Net loss (gain)</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426</w:t>
            </w:r>
          </w:p>
        </w:tc>
        <w:tc>
          <w:tcPr>
            <w:tcW w:w="12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852</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268</w:t>
            </w:r>
          </w:p>
        </w:tc>
      </w:tr>
      <w:tr>
        <w:trPr>
          <w:trHeight w:val="27"/>
        </w:trPr>
        <w:tc>
          <w:tcPr>
            <w:tcW w:w="4120" w:type="dxa"/>
            <w:vAlign w:val="bottom"/>
            <w:tcBorders>
              <w:bottom w:val="single" w:sz="8" w:color="CEFFE7"/>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4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periodic benefit cost</w:t>
            </w:r>
          </w:p>
        </w:tc>
        <w:tc>
          <w:tcPr>
            <w:tcW w:w="1120" w:type="dxa"/>
            <w:vAlign w:val="bottom"/>
            <w:tcBorders>
              <w:bottom w:val="single" w:sz="8" w:color="auto"/>
            </w:tcBorders>
            <w:shd w:val="clear" w:color="auto" w:fill="CEFFE7"/>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2,518</w:t>
            </w:r>
          </w:p>
        </w:tc>
        <w:tc>
          <w:tcPr>
            <w:tcW w:w="1200" w:type="dxa"/>
            <w:vAlign w:val="bottom"/>
            <w:tcBorders>
              <w:bottom w:val="single" w:sz="8" w:color="auto"/>
            </w:tcBorders>
            <w:shd w:val="clear" w:color="auto" w:fill="CEFFE7"/>
          </w:tcPr>
          <w:p>
            <w:pPr>
              <w:jc w:val="right"/>
              <w:ind w:right="9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7"/>
              </w:rPr>
              <w:t>1,151</w:t>
            </w:r>
          </w:p>
        </w:tc>
        <w:tc>
          <w:tcPr>
            <w:tcW w:w="100" w:type="dxa"/>
            <w:vAlign w:val="bottom"/>
            <w:tcBorders>
              <w:bottom w:val="single" w:sz="8" w:color="CEFFE7"/>
            </w:tcBorders>
            <w:shd w:val="clear" w:color="auto" w:fill="CEFFE7"/>
          </w:tcPr>
          <w:p>
            <w:pPr>
              <w:spacing w:after="0"/>
              <w:rPr>
                <w:sz w:val="24"/>
                <w:szCs w:val="24"/>
                <w:color w:val="auto"/>
              </w:rPr>
            </w:pPr>
          </w:p>
        </w:tc>
        <w:tc>
          <w:tcPr>
            <w:tcW w:w="42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1,849</w:t>
            </w:r>
          </w:p>
        </w:tc>
        <w:tc>
          <w:tcPr>
            <w:tcW w:w="46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2,894</w:t>
            </w:r>
          </w:p>
        </w:tc>
      </w:tr>
      <w:tr>
        <w:trPr>
          <w:trHeight w:val="20"/>
        </w:trPr>
        <w:tc>
          <w:tcPr>
            <w:tcW w:w="4120" w:type="dxa"/>
            <w:vAlign w:val="bottom"/>
            <w:tcBorders>
              <w:top w:val="single" w:sz="8" w:color="CEFFE7"/>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460" w:type="dxa"/>
            <w:vAlign w:val="bottom"/>
            <w:tcBorders>
              <w:top w:val="single" w:sz="8" w:color="CEFFE7"/>
              <w:bottom w:val="single" w:sz="8" w:color="auto"/>
            </w:tcBorders>
          </w:tcPr>
          <w:p>
            <w:pPr>
              <w:spacing w:after="0" w:line="20" w:lineRule="exact"/>
              <w:rPr>
                <w:sz w:val="1"/>
                <w:szCs w:val="1"/>
                <w:color w:val="auto"/>
              </w:rPr>
            </w:pPr>
          </w:p>
        </w:tc>
        <w:tc>
          <w:tcPr>
            <w:tcW w:w="1360" w:type="dxa"/>
            <w:vAlign w:val="bottom"/>
            <w:tcBorders>
              <w:top w:val="single" w:sz="8" w:color="CEFFE7"/>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25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Contributions to the Defined Benefit Pension Plan are cash contributions made directly to the Pension Plan Trust account. Contributions to the Postretirement Healthcare and Supplemental Plans are made in the form of benefit payments. Contributions made in the first six months of 2020 and anticipated contributions for 2020 and 2021 are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Additional</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w w:val="92"/>
              </w:rPr>
              <w:t>Contributions Made</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Contributions</w:t>
            </w:r>
          </w:p>
        </w:tc>
        <w:tc>
          <w:tcPr>
            <w:tcW w:w="180" w:type="dxa"/>
            <w:vAlign w:val="bottom"/>
          </w:tcPr>
          <w:p>
            <w:pPr>
              <w:spacing w:after="0"/>
              <w:rPr>
                <w:sz w:val="20"/>
                <w:szCs w:val="20"/>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Contributions</w:t>
            </w:r>
          </w:p>
        </w:tc>
      </w:tr>
      <w:tr>
        <w:trPr>
          <w:trHeight w:val="256"/>
        </w:trPr>
        <w:tc>
          <w:tcPr>
            <w:tcW w:w="5960" w:type="dxa"/>
            <w:vAlign w:val="bottom"/>
          </w:tcPr>
          <w:p>
            <w:pPr>
              <w:spacing w:after="0"/>
              <w:rPr>
                <w:sz w:val="22"/>
                <w:szCs w:val="22"/>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w w:val="90"/>
              </w:rPr>
              <w:t>Six Months Ended June</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30"/>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30, 2020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Anticipated for 2020</w:t>
            </w:r>
          </w:p>
        </w:tc>
        <w:tc>
          <w:tcPr>
            <w:tcW w:w="18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w w:val="92"/>
              </w:rPr>
              <w:t>Anticipated for 2021</w:t>
            </w:r>
          </w:p>
        </w:tc>
      </w:tr>
      <w:tr>
        <w:trPr>
          <w:trHeight w:val="27"/>
        </w:trPr>
        <w:tc>
          <w:tcPr>
            <w:tcW w:w="596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Defined Benefit Pension Plan</w:t>
            </w:r>
          </w:p>
        </w:tc>
        <w:tc>
          <w:tcPr>
            <w:tcW w:w="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12,700</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12,700</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Non-pension Defined Benefit Postretirement Healthcare Plans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2,670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5,364</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960" w:type="dxa"/>
            <w:vAlign w:val="bottom"/>
            <w:shd w:val="clear" w:color="auto" w:fill="CEFFE7"/>
          </w:tcPr>
          <w:p>
            <w:pPr>
              <w:ind w:left="20"/>
              <w:spacing w:after="0"/>
              <w:rPr>
                <w:sz w:val="20"/>
                <w:szCs w:val="20"/>
                <w:color w:val="auto"/>
              </w:rPr>
            </w:pPr>
            <w:r>
              <w:rPr>
                <w:rFonts w:ascii="Arial" w:cs="Arial" w:eastAsia="Arial" w:hAnsi="Arial"/>
                <w:sz w:val="18"/>
                <w:szCs w:val="18"/>
                <w:color w:val="auto"/>
                <w:w w:val="98"/>
              </w:rPr>
              <w:t>Supplemental Non-qualified Defined Benefit and Defined Contribution Plans</w:t>
            </w:r>
          </w:p>
        </w:tc>
        <w:tc>
          <w:tcPr>
            <w:tcW w:w="140" w:type="dxa"/>
            <w:vAlign w:val="bottom"/>
            <w:shd w:val="clear" w:color="auto" w:fill="CEFFE7"/>
          </w:tcPr>
          <w:p>
            <w:pPr>
              <w:ind w:left="2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1,614</w:t>
            </w:r>
          </w:p>
        </w:tc>
      </w:tr>
      <w:tr>
        <w:trPr>
          <w:trHeight w:val="27"/>
        </w:trPr>
        <w:tc>
          <w:tcPr>
            <w:tcW w:w="5960" w:type="dxa"/>
            <w:vAlign w:val="bottom"/>
            <w:shd w:val="clear" w:color="auto" w:fill="CEFFE7"/>
          </w:tcPr>
          <w:p>
            <w:pPr>
              <w:spacing w:after="0"/>
              <w:rPr>
                <w:sz w:val="2"/>
                <w:szCs w:val="2"/>
                <w:color w:val="auto"/>
              </w:rPr>
            </w:pPr>
          </w:p>
        </w:tc>
        <w:tc>
          <w:tcPr>
            <w:tcW w:w="14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c>
          <w:tcPr>
            <w:tcW w:w="12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64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ind w:right="3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commitments and contingencies from those previously disclosed in Note 19 of our Notes to the Consolidated Financial Statements in our 2019 Annual Report on Form 10-K except for those described below and in </w:t>
      </w:r>
      <w:hyperlink w:anchor="page20">
        <w:r>
          <w:rPr>
            <w:rFonts w:ascii="Arial" w:cs="Arial" w:eastAsia="Arial" w:hAnsi="Arial"/>
            <w:sz w:val="18"/>
            <w:szCs w:val="18"/>
            <w:u w:val="single" w:color="auto"/>
            <w:color w:val="0000FF"/>
          </w:rPr>
          <w:t>Note 5</w:t>
        </w:r>
      </w:hyperlink>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Sales Agreement - Colorado Electric</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July 1, 2020, Colorado Electric entered into a PSA with the City of Colorado Springs to sell up to 60 MW of wind energy purchased from PRPA under a separate PPA. This agreement expires June 30, 2025.</w:t>
      </w:r>
    </w:p>
    <w:p>
      <w:pPr>
        <w:spacing w:after="0" w:line="200" w:lineRule="exact"/>
        <w:rPr>
          <w:sz w:val="20"/>
          <w:szCs w:val="20"/>
          <w:color w:val="auto"/>
        </w:rPr>
      </w:pPr>
    </w:p>
    <w:p>
      <w:pPr>
        <w:spacing w:after="0" w:line="236" w:lineRule="exact"/>
        <w:rPr>
          <w:sz w:val="20"/>
          <w:szCs w:val="20"/>
          <w:color w:val="auto"/>
        </w:rPr>
      </w:pPr>
    </w:p>
    <w:p>
      <w:pPr>
        <w:ind w:right="9840" w:firstLine="8"/>
        <w:spacing w:after="0" w:line="601" w:lineRule="auto"/>
        <w:tabs>
          <w:tab w:leader="none" w:pos="34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 CARES Act</w:t>
      </w:r>
    </w:p>
    <w:p>
      <w:pPr>
        <w:spacing w:after="0" w:line="1"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On March 27, 2020, the President signed the Coronavirus Aid, Relief, and Economic Security Act (the “CARES Act”), which contained, in part, an allowance for deferral of the employer portion of Social Security employment tax liabilities until 2021 and 2022, as well as a COVID-19 employee retention tax credit of up to $5,000 per eligible employee.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Eligible employers are taxpayers experiencing either: (1) a full or partial suspension of business operations stemming from a government COVID-19-related order or (2) a more than 50% drop in gross receipts compared to the corresponding calendar quarter in 2019. This 50% employee retention tax credit applies up to $10,000 in qualified wages paid between March 13, 2020 through December 31, 2020, and is refundable to the extent it exceeds the employer portion of payroll tax liability.</w:t>
      </w:r>
    </w:p>
    <w:p>
      <w:pPr>
        <w:spacing w:after="0" w:line="21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Eligible wages or employer-paid health benefits must be paid for the period of time during which an employee did not provide services. However, employees do not need to stop providing all services to the employer for the credit to potentially apply.</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the CARES Act accelerates the amount of alternative minimum tax (“AMT”) credits that can be refunded for the 2018 and 2019 annual tax returns.</w:t>
      </w:r>
    </w:p>
    <w:p>
      <w:pPr>
        <w:spacing w:after="0" w:line="19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During the second quarter 2020, we utilized the payroll tax deferral provision which allowed us to defer payment of approximately $2.9 million of Social Security employment tax liabilities. We are currently reviewing the potential future benefits of the CARES Act related to employee retention tax credits to assess the impact on our financial position, results of operations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for the Three Months Ended June 30, 2020 Compared to the Three Months Ended June 30, 2019.</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Income tax (expense) for the three months ended June 30, 2020 was $(4.8) million compared to $(2.3) million reported for the same period in 2019. For the three months ended June 30, 2020, the effective tax rate was 16.4% compared to 11.5% for the same period in 2019. The higher effective tax rate is primarily due to a prior year discrete tax benefit related to repairs and certain indirect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for the Six Months Ended June 30, 2020 Compared to the Six Months Ended June 30, 2019.</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(expense) for the six months ended June 30, 2020 was $(21) million compared to $(20) million reported for the same period in 2019. For the six months ended June 30, 2020, the effective tax rate was 14.6% compared to 13.5% for the same period in 2019. The higher effective tax rate is primarily due to a prior year discrete tax benefit related to repairs and certain indirect costs and a current year discrete tax adjustment related to the impairment of our investment in equity securities of a privately held oil and gas company partially offset by increased tax benefits from forecasted federal production tax credits associated with new wind assets.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Investments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2018, we contributed $28 million of assets in exchange for equity securities in a privately held oil and gas company as we divested our Oil and Gas segment. The carrying value of our investment in the equity securities was recorded at cost. We review this investment on a periodic basis to determine whether a significant event or change in circumstances has occurred that may have an adverse effect on the value of the investment.</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third quarter of 2019, we assessed our investment for impairment as a result of a deterioration in earnings performance of the privately held oil and gas company and an adverse change in future natural gas prices. We engaged a third-party valuation consultant to estimate the fair value of our investment. The valuation was primarily based on an income approach but also considered a market valuation approach. The significant inputs used to estimate the fair value were the oil and gas reserve quantities and values utilizing forward market price curves, industry standard reserve adjustment factors and a discount rate of 10%. Based on the results of the valuation, we concluded that the carrying value of the investment exceeded fair value. As a result, we recorded a pre-tax impairment loss of $20 million for the three months ended September 30, 2019, which was the difference between the carrying value and the fair value of the investment at that time.</w:t>
      </w:r>
    </w:p>
    <w:p>
      <w:pPr>
        <w:spacing w:after="0" w:line="22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the first quarter of 2020, we assessed our investment for impairment as a result of continued adverse changes in future natural gas prices and liquidity concerns at the privately held oil and gas company. We performed an internal analysis to compute the fair value of our investment, utilizing a consistent methodology as applied during the third quarter of 2019. Based on the results of the valuation, we concluded that the carrying value of the investment exceeded fair value. As a result, we recorded a pre-tax impairment loss of $6.9 million for the three months ended March 31, 2020, which was the difference between the carrying value and the fair value of the investment at that time.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w w:val="98"/>
              </w:rPr>
              <w:t>The following table presents the carrying value of our investments (in thousands) as of:</w:t>
            </w: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4"/>
        </w:trPr>
        <w:tc>
          <w:tcPr>
            <w:tcW w:w="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June 30, 2020</w:t>
            </w:r>
          </w:p>
        </w:tc>
        <w:tc>
          <w:tcPr>
            <w:tcW w:w="320" w:type="dxa"/>
            <w:vAlign w:val="bottom"/>
          </w:tcPr>
          <w:p>
            <w:pPr>
              <w:spacing w:after="0"/>
              <w:rPr>
                <w:sz w:val="24"/>
                <w:szCs w:val="24"/>
                <w:color w:val="auto"/>
              </w:rPr>
            </w:pPr>
          </w:p>
        </w:tc>
        <w:tc>
          <w:tcPr>
            <w:tcW w:w="1940" w:type="dxa"/>
            <w:vAlign w:val="bottom"/>
          </w:tcPr>
          <w:p>
            <w:pPr>
              <w:jc w:val="right"/>
              <w:ind w:right="290"/>
              <w:spacing w:after="0"/>
              <w:rPr>
                <w:sz w:val="20"/>
                <w:szCs w:val="20"/>
                <w:color w:val="auto"/>
              </w:rPr>
            </w:pPr>
            <w:r>
              <w:rPr>
                <w:rFonts w:ascii="Arial" w:cs="Arial" w:eastAsia="Arial" w:hAnsi="Arial"/>
                <w:sz w:val="18"/>
                <w:szCs w:val="18"/>
                <w:color w:val="auto"/>
                <w:w w:val="97"/>
              </w:rPr>
              <w:t>December 31, 2019</w:t>
            </w:r>
          </w:p>
        </w:tc>
      </w:tr>
      <w:tr>
        <w:trPr>
          <w:trHeight w:val="27"/>
        </w:trPr>
        <w:tc>
          <w:tcPr>
            <w:tcW w:w="40" w:type="dxa"/>
            <w:vAlign w:val="bottom"/>
          </w:tcPr>
          <w:p>
            <w:pPr>
              <w:spacing w:after="0"/>
              <w:rPr>
                <w:sz w:val="2"/>
                <w:szCs w:val="2"/>
                <w:color w:val="auto"/>
              </w:rPr>
            </w:pPr>
          </w:p>
        </w:tc>
        <w:tc>
          <w:tcPr>
            <w:tcW w:w="682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82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Investment in privately held oil and gas company</w:t>
            </w:r>
          </w:p>
        </w:tc>
        <w:tc>
          <w:tcPr>
            <w:tcW w:w="34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1,500</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8,359</w:t>
            </w: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surrender value of life insurance contracts</w:t>
            </w:r>
          </w:p>
        </w:tc>
        <w:tc>
          <w:tcPr>
            <w:tcW w:w="3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13,423</w:t>
            </w:r>
          </w:p>
        </w:tc>
        <w:tc>
          <w:tcPr>
            <w:tcW w:w="32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13,056</w:t>
            </w:r>
          </w:p>
        </w:tc>
      </w:tr>
      <w:tr>
        <w:trPr>
          <w:trHeight w:val="27"/>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82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EFFE7"/>
            </w:tcBorders>
            <w:shd w:val="clear" w:color="auto" w:fill="CEFFE7"/>
          </w:tcPr>
          <w:p>
            <w:pPr>
              <w:spacing w:after="0"/>
              <w:rPr>
                <w:sz w:val="23"/>
                <w:szCs w:val="23"/>
                <w:color w:val="auto"/>
              </w:rPr>
            </w:pPr>
          </w:p>
        </w:tc>
        <w:tc>
          <w:tcPr>
            <w:tcW w:w="1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514</w:t>
            </w:r>
          </w:p>
        </w:tc>
      </w:tr>
      <w:tr>
        <w:trPr>
          <w:trHeight w:val="263"/>
        </w:trPr>
        <w:tc>
          <w:tcPr>
            <w:tcW w:w="40" w:type="dxa"/>
            <w:vAlign w:val="bottom"/>
          </w:tcPr>
          <w:p>
            <w:pPr>
              <w:spacing w:after="0"/>
              <w:rPr>
                <w:sz w:val="22"/>
                <w:szCs w:val="22"/>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Total investments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15,438</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21,929</w:t>
            </w:r>
          </w:p>
        </w:tc>
      </w:tr>
      <w:tr>
        <w:trPr>
          <w:trHeight w:val="20"/>
        </w:trPr>
        <w:tc>
          <w:tcPr>
            <w:tcW w:w="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56" w:lineRule="exact"/>
        <w:rPr>
          <w:sz w:val="20"/>
          <w:szCs w:val="20"/>
          <w:color w:val="auto"/>
        </w:rPr>
      </w:pPr>
    </w:p>
    <w:p>
      <w:pPr>
        <w:ind w:right="6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 evaluated all subsequent event activity and concluded that no subsequent events have occurred that would require recognition in the condensed consolidated financial statements or disclosures, with the exception of those items disclosed in Notes </w:t>
      </w:r>
      <w:hyperlink w:anchor="page24">
        <w:r>
          <w:rPr>
            <w:rFonts w:ascii="Arial" w:cs="Arial" w:eastAsia="Arial" w:hAnsi="Arial"/>
            <w:sz w:val="18"/>
            <w:szCs w:val="18"/>
            <w:u w:val="single" w:color="auto"/>
            <w:color w:val="0000FF"/>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33">
        <w:r>
          <w:rPr>
            <w:rFonts w:ascii="Arial" w:cs="Arial" w:eastAsia="Arial" w:hAnsi="Arial"/>
            <w:sz w:val="18"/>
            <w:szCs w:val="18"/>
            <w:u w:val="single" w:color="auto"/>
            <w:color w:val="0000FF"/>
          </w:rPr>
          <w:t>13</w:t>
        </w:r>
      </w:hyperlink>
      <w:r>
        <w:rPr>
          <w:rFonts w:ascii="Arial" w:cs="Arial" w:eastAsia="Arial" w:hAnsi="Arial"/>
          <w:sz w:val="18"/>
          <w:szCs w:val="18"/>
          <w:color w:val="auto"/>
        </w:rPr>
        <w: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a customer-focused, growth-oriented utility company operating in the United States. We report our operations and results in the following business segments: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Electric Utilities</w:t>
      </w:r>
      <w:r>
        <w:rPr>
          <w:rFonts w:ascii="Arial" w:cs="Arial" w:eastAsia="Arial" w:hAnsi="Arial"/>
          <w:sz w:val="18"/>
          <w:szCs w:val="18"/>
          <w:color w:val="auto"/>
        </w:rPr>
        <w:t>: Our Electric Utilities segment generates, transmits and distributes electricity to approximately 214,000 customers in Colorado, Montana, South Dakota and Wyoming. Our electric generating facilities and power purchase agreements provide for the supply of electricity principally to our distribution systems. Additionally, we sell excess power to other utilities and marketing companies, including our affiliates. We also provide non-regulated services through our Tech Services product lines.</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Gas Utilities</w:t>
      </w:r>
      <w:r>
        <w:rPr>
          <w:rFonts w:ascii="Arial" w:cs="Arial" w:eastAsia="Arial" w:hAnsi="Arial"/>
          <w:sz w:val="18"/>
          <w:szCs w:val="18"/>
          <w:color w:val="auto"/>
        </w:rPr>
        <w:t>: Our Gas Utilities segment conducts natural gas utility operations through our Arkansas, Colorado, Iowa, Kansas, Nebraska and Wyoming subsidiaries. Our Gas Utilities segment distributes and transports natural gas through our pipeline network to approximately 1,066,000 natural gas customers. Additionally, we sell contractual pipeline capacity and gas commodities to other utilities and marketing companies, including our affiliates, on an as-available basis.</w:t>
      </w:r>
    </w:p>
    <w:p>
      <w:pPr>
        <w:spacing w:after="0" w:line="21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Black Hills Energy Services provides natural gas supply to approximately 49,000 retail distribution customers under the Choice Gas Program in Nebraska and Wyoming. Additionally, we provide services under the Service Guard Comfort Plan and Tech Services and also offer HomeServe products.</w:t>
      </w:r>
    </w:p>
    <w:p>
      <w:pPr>
        <w:spacing w:after="0" w:line="15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Power Generation</w:t>
      </w:r>
      <w:r>
        <w:rPr>
          <w:rFonts w:ascii="Arial" w:cs="Arial" w:eastAsia="Arial" w:hAnsi="Arial"/>
          <w:sz w:val="18"/>
          <w:szCs w:val="18"/>
          <w:color w:val="auto"/>
        </w:rPr>
        <w:t>: Our Power Generation segment produces electric power from its non-regulated generating plants and sells the electric capacity and energy primarily to our utilities under long-term contracts.</w:t>
      </w:r>
    </w:p>
    <w:p>
      <w:pPr>
        <w:spacing w:after="0" w:line="19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Mining</w:t>
      </w:r>
      <w:r>
        <w:rPr>
          <w:rFonts w:ascii="Arial" w:cs="Arial" w:eastAsia="Arial" w:hAnsi="Arial"/>
          <w:sz w:val="18"/>
          <w:szCs w:val="18"/>
          <w:color w:val="auto"/>
        </w:rPr>
        <w:t>: Our Mining segment extracts coal at our mine near Gillette, Wyoming, and sells the coal primarily to on-site, mine-mouth power generation facilities.</w:t>
      </w:r>
    </w:p>
    <w:p>
      <w:pPr>
        <w:spacing w:after="0" w:line="19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 All of our non-utility business segments support our utilities. Certain unallocated corporate expenses that support our operating segments are presented as Corporate and Other.</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six months ended June 30, 2020 and 2019, and our financial condition as of June 30, 2020 and December 31, 2019, are not necessarily indicative of the results of operations and financial condition to be expected as of or for any other period or for the entire year.</w:t>
      </w:r>
    </w:p>
    <w:p>
      <w:pPr>
        <w:spacing w:after="0" w:line="19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58">
        <w:r>
          <w:rPr>
            <w:rFonts w:ascii="Arial" w:cs="Arial" w:eastAsia="Arial" w:hAnsi="Arial"/>
            <w:sz w:val="18"/>
            <w:szCs w:val="18"/>
            <w:u w:val="single" w:color="auto"/>
            <w:color w:val="0000FF"/>
          </w:rPr>
          <w:t>Forward-Looking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in the </w:t>
      </w:r>
      <w:hyperlink w:anchor="page54">
        <w:r>
          <w:rPr>
            <w:rFonts w:ascii="Arial" w:cs="Arial" w:eastAsia="Arial" w:hAnsi="Arial"/>
            <w:sz w:val="18"/>
            <w:szCs w:val="18"/>
            <w:u w:val="single" w:color="auto"/>
            <w:color w:val="0000FF"/>
          </w:rPr>
          <w:t>Liquidity and Capital Resources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section of this Item 2, beginning on Page </w:t>
      </w:r>
      <w:hyperlink w:anchor="page58">
        <w:r>
          <w:rPr>
            <w:rFonts w:ascii="Arial" w:cs="Arial" w:eastAsia="Arial" w:hAnsi="Arial"/>
            <w:sz w:val="18"/>
            <w:szCs w:val="18"/>
            <w:color w:val="0000FF"/>
          </w:rPr>
          <w:t>59</w:t>
        </w:r>
      </w:hyperlink>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rFonts w:ascii="Arial" w:cs="Arial" w:eastAsia="Arial" w:hAnsi="Arial"/>
          <w:sz w:val="18"/>
          <w:szCs w:val="18"/>
          <w:color w:val="auto"/>
        </w:rPr>
      </w:pPr>
    </w:p>
    <w:p>
      <w:pPr>
        <w:spacing w:after="0" w:line="263" w:lineRule="auto"/>
        <w:rPr>
          <w:sz w:val="20"/>
          <w:szCs w:val="20"/>
          <w:color w:val="auto"/>
        </w:rPr>
      </w:pPr>
      <w:r>
        <w:rPr>
          <w:rFonts w:ascii="Arial" w:cs="Arial" w:eastAsia="Arial" w:hAnsi="Arial"/>
          <w:sz w:val="18"/>
          <w:szCs w:val="18"/>
          <w:color w:val="auto"/>
        </w:rPr>
        <w:t>One of the Company’s core values is safety. The COVID-19 pandemic has given us an opportunity to demonstrate our commitment to the health and safety of our customers, employees, business partners and the communities we serve. We have executed our business continuity plans across all of our jurisdictions with the goal of continuing to provide safe and reliable service during the COVID-19 pandemic.</w:t>
      </w:r>
    </w:p>
    <w:p>
      <w:pPr>
        <w:spacing w:after="0" w:line="278"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2020, we have experienced limited impacts to our financial results and operational activities due to COVID-</w:t>
      </w:r>
    </w:p>
    <w:p>
      <w:pPr>
        <w:spacing w:after="0" w:line="46" w:lineRule="exact"/>
        <w:rPr>
          <w:sz w:val="20"/>
          <w:szCs w:val="20"/>
          <w:color w:val="auto"/>
        </w:rPr>
      </w:pPr>
    </w:p>
    <w:p>
      <w:pPr>
        <w:ind w:right="760" w:firstLine="8"/>
        <w:spacing w:after="0" w:line="323" w:lineRule="auto"/>
        <w:tabs>
          <w:tab w:leader="none" w:pos="2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Estimated decreases to gross margins driven primarily by lower volumes, increased costs due to sequestration of mission critical and essential employees and increased bad debt expense were partially offset by decreased training, travel and outside services related expenses.</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During the three months ended June 30, 2020, COVID-19 had a limited impact on revenues and customer loads, as the decline in volumes from commercial and certain industrial and transport customers was partially offset by higher residential usage. Decline in revenues and customer loads for the six months ended June 30, 2020, when compared to the same period in the prior year, were driven primarily by weather. We continue to closely monitor loads in our states as updated executive orders and recommendations associated with COVID-19 are provided. We have continued to proactively communicate with various commercial and industrial customers in our service territories to understand their needs and forecast the potential financial implications. We have increased our allowance for credit losses and bad debt expense by $1.5 million and $2.0 million for the three and six months ended June 30, 2020, respectively, after considering the potential economic impact of the COVID-19 pandemic in forward looking projections related to write-off and recovery rates. All of our jurisdictions temporarily suspended disconnections for a period of time. State orders lifting those restrictions have been issued in some of our jurisdictions; however, we expect the status of restrictions will continue to fluctuate for the next several months. </w:t>
      </w:r>
      <w:r>
        <w:rPr>
          <w:rFonts w:ascii="Arial" w:cs="Arial" w:eastAsia="Arial" w:hAnsi="Arial"/>
          <w:sz w:val="17"/>
          <w:szCs w:val="17"/>
          <w:color w:val="212529"/>
        </w:rPr>
        <w:t>We continue to</w:t>
      </w:r>
      <w:r>
        <w:rPr>
          <w:rFonts w:ascii="Arial" w:cs="Arial" w:eastAsia="Arial" w:hAnsi="Arial"/>
          <w:sz w:val="17"/>
          <w:szCs w:val="17"/>
          <w:color w:val="auto"/>
        </w:rPr>
        <w:t xml:space="preserve"> </w:t>
      </w:r>
      <w:r>
        <w:rPr>
          <w:rFonts w:ascii="Arial" w:cs="Arial" w:eastAsia="Arial" w:hAnsi="Arial"/>
          <w:sz w:val="17"/>
          <w:szCs w:val="17"/>
          <w:color w:val="212529"/>
        </w:rPr>
        <w:t>monitor customer loads, accounts receivable arrears balances, disconnects, cash flows and bad debt expense. We are proactively working with customers to establish payment plans and find available payment assistance resources.</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continue to maintain adequate liquidity to operate our businesses and fund our capital investment program. In February 2020, the Company issued $100 million in equity to support its 2020 capital investment program. In June 2020, the Company issued $400 million of long-term debt which was used to repay short-term debt and for working capital and general corporate purposes. For the six months ended June 30, 2020, the Company also utilized a combination of its $750 million Revolving Credit Facility and CP Program to meet its funding requirements. Disruptions in the commercial paper markets at the outset of the COVID-19 pandemic in the U.S. have since improved. The Company has no material debt maturities until late 2023 and as of June 30, 2020, had $770 million of liquidity which included $32 million of cash and $738 million of available capacity on its Revolving Credit Facility. We continue to meet our debt covenant requirements. We also continue to monitor the funding status of our employee benefit plan obligations, which did not materially change during the six months ended June 30, 2020.</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monitoring supply chains, including lead times for key materials and supplies, availability of resources, and statuses of large capital projects. To date, there have been limited impacts from COVID-19 on supply chains including the availability of supplies, materials and lead times. Capital projects are ongoing without material disruption to schedules. Our third party resources continue to support our business plans without disruption. Contingency plans are ready to be executed if significant disruption to supply chain occurs; however, we currently do not anticipate a significant impact from COVID-19 on our capital investment plan for 2020.</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continue to work closely with local health, public safety and government officials to minimize the spread of COVID-19 and its impact to our employees and the services we provide to our customers. Some of the actions the Company has taken include implementing protocols for our field operations personnel to continue to safely and effectively interact with our customers, asking employees to work from home to the extent possible, quarantining employees if they have traveled to an at-risk area, limiting travel to only mission-critical purposes and sequestering essential employees.</w:t>
      </w:r>
    </w:p>
    <w:p>
      <w:pPr>
        <w:spacing w:after="0" w:line="198" w:lineRule="exact"/>
        <w:rPr>
          <w:sz w:val="20"/>
          <w:szCs w:val="20"/>
          <w:color w:val="auto"/>
        </w:rPr>
      </w:pPr>
    </w:p>
    <w:p>
      <w:pPr>
        <w:ind w:right="1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we look forward to the second half of 2020, we anticipate that our operating results could potentially be further affected by COVID-19, as discussed in detail in our </w:t>
      </w:r>
      <w:hyperlink w:anchor="page60">
        <w:r>
          <w:rPr>
            <w:rFonts w:ascii="Arial" w:cs="Arial" w:eastAsia="Arial" w:hAnsi="Arial"/>
            <w:sz w:val="18"/>
            <w:szCs w:val="18"/>
            <w:u w:val="single" w:color="auto"/>
            <w:color w:val="0000FF"/>
          </w:rPr>
          <w:t>Risk Factors</w:t>
        </w:r>
      </w:hyperlink>
      <w:r>
        <w:rPr>
          <w:rFonts w:ascii="Arial" w:cs="Arial" w:eastAsia="Arial" w:hAnsi="Arial"/>
          <w:sz w:val="18"/>
          <w:szCs w:val="18"/>
          <w:color w:val="auto"/>
        </w:rPr>
        <w:t>.</w:t>
      </w:r>
    </w:p>
    <w:p>
      <w:pPr>
        <w:spacing w:after="0" w:line="19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provide periodic status updates and maintain ongoing dialogue with the regulatory commissions in our jurisdictions. We are working with regulators in each of our service territories to preserve our right for deferred regulatory treatment for certain COVID-19 related costs and to seek recovery of these costs at a later date.</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During these uncertain times, we remain highly focused on the safety and health of our customers, employees, business partners and communities. We continue to monitor load, customers’ ability to pay, the potential for supply chain disruption that may impact our capital and maintenance project plans, the availability of resources to execute our plans and the capital markets to ensure we have the liquidity necessary to support our financial needs.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Business Segment Highlights and Corporate Activity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w:t>
      </w:r>
    </w:p>
    <w:p>
      <w:pPr>
        <w:spacing w:after="0" w:line="252" w:lineRule="exact"/>
        <w:rPr>
          <w:sz w:val="20"/>
          <w:szCs w:val="20"/>
          <w:color w:val="auto"/>
        </w:rPr>
      </w:pPr>
    </w:p>
    <w:p>
      <w:pPr>
        <w:ind w:left="660" w:right="2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South Dakota Electric and Wyoming Electric continued construction of the $79 million, Corriedale project. The wind project will be jointly owned by the two electric utilities to deliver renewable energy for large commercial, industrial and governmental agency customers. The project is on schedule and on budget and expected to be in service by year-end 2020.</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July 10, 2020, Wyoming Electric set a new all-time peak load of 271 MW, surpassing the previous peak of 265 MW set in July 2019.</w:t>
      </w:r>
    </w:p>
    <w:p>
      <w:pPr>
        <w:spacing w:after="0" w:line="263" w:lineRule="exact"/>
        <w:rPr>
          <w:rFonts w:ascii="Arial" w:cs="Arial" w:eastAsia="Arial" w:hAnsi="Arial"/>
          <w:sz w:val="17"/>
          <w:szCs w:val="17"/>
          <w:color w:val="auto"/>
        </w:rPr>
      </w:pPr>
    </w:p>
    <w:p>
      <w:pPr>
        <w:ind w:left="660" w:right="80" w:hanging="328"/>
        <w:spacing w:after="0" w:line="293"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June 19, 2020, Colorado Electric submitted its 120-day report to the CPUC, which provided a detailed analysis of the proposals received during its competitive solicitation and outlined its preferred bid, a 200 MW solar project, along with several back-up options, in the Renewable Advantage plan. The bidding process for new renewable energy projects concluded in February 2020, attracting interest from developers in southern Colorado and across the U.S. In total, Colorado Electric received 54 bids from 25 bidders for renewable energy projects at varying sizes, prices, technology types and locations, with the majority of projects to be sited in the city of Pueblo and Pueblo County. A hearing to review the 120-day report with the CPUC is scheduled for August 18, 2020. The project is scheduled to be in service in 2023.</w:t>
      </w:r>
    </w:p>
    <w:p>
      <w:pPr>
        <w:spacing w:after="0" w:line="191" w:lineRule="exact"/>
        <w:rPr>
          <w:rFonts w:ascii="Arial" w:cs="Arial" w:eastAsia="Arial" w:hAnsi="Arial"/>
          <w:sz w:val="16"/>
          <w:szCs w:val="16"/>
          <w:color w:val="auto"/>
        </w:rPr>
      </w:pPr>
    </w:p>
    <w:p>
      <w:pPr>
        <w:ind w:left="660" w:right="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June 1, 2020, Black Hills Wyoming and Wyoming Electric filed a settlement agreement with the FERC. The agreement represents a resolution of all issues in the joint application filed with the FERC on August 2, 2019 for approval of a new 60 MW PPA. On July 10, 2020, a judge certified the settlement to the FERC and a decision is expected by the end of 2020. If approved, Wyoming Electric will continue to receive 60 MW of capacity and energy from the Wygen I power plant. The new agreement would commence on January 1, 2022, replacing the existing PPA and would continue for 11 years.</w:t>
      </w:r>
    </w:p>
    <w:p>
      <w:pPr>
        <w:spacing w:after="0" w:line="214"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May 5, 2020, citizens in Pueblo, Colorado voted overwhelmingly to retain Colorado Electric as its electric utility provider by 75.6% of votes cast. The current franchise agreement continues through 2030.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Gas Utilities</w:t>
      </w:r>
    </w:p>
    <w:p>
      <w:pPr>
        <w:spacing w:after="0" w:line="252" w:lineRule="exact"/>
        <w:rPr>
          <w:sz w:val="20"/>
          <w:szCs w:val="20"/>
          <w:color w:val="auto"/>
        </w:rPr>
      </w:pPr>
    </w:p>
    <w:p>
      <w:pPr>
        <w:ind w:left="660" w:hanging="328"/>
        <w:spacing w:after="0" w:line="273"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January 1, 2020, Nebraska Gas completed the legal consolidation of its two natural gas utilities, having received approval from the NPSC on October 29, 2019. On June 1, 2020, Nebraska Gas filed a rate review with the NPSC to consolidate rates, tariffs, and services of its two existing gas distribution territories. The rate review requests $17 million in new revenue, as well as an extension of the SSIR, to recover investments in safety, reliability and system integrity. The rate review requests a capital structure of 50% equity and 50% debt and a return on equity of 10% for investments Nebraska Gas made in its natural gas pipeline system. Nebraska statute allows for implementation of interim rates 90 day after filing a rate review. New rates are expected to be effective in early 2021.</w:t>
      </w:r>
    </w:p>
    <w:p>
      <w:pPr>
        <w:spacing w:after="0" w:line="204" w:lineRule="exact"/>
        <w:rPr>
          <w:rFonts w:ascii="Arial" w:cs="Arial" w:eastAsia="Arial" w:hAnsi="Arial"/>
          <w:sz w:val="17"/>
          <w:szCs w:val="17"/>
          <w:color w:val="auto"/>
        </w:rPr>
      </w:pPr>
    </w:p>
    <w:p>
      <w:pPr>
        <w:ind w:left="660" w:right="40" w:hanging="328"/>
        <w:spacing w:after="0" w:line="272" w:lineRule="auto"/>
        <w:tabs>
          <w:tab w:leader="none" w:pos="655" w:val="left"/>
        </w:tabs>
        <w:numPr>
          <w:ilvl w:val="0"/>
          <w:numId w:val="12"/>
        </w:numPr>
        <w:rPr>
          <w:rFonts w:ascii="Arial" w:cs="Arial" w:eastAsia="Arial" w:hAnsi="Arial"/>
          <w:sz w:val="17"/>
          <w:szCs w:val="17"/>
          <w:color w:val="242424"/>
        </w:rPr>
      </w:pPr>
      <w:r>
        <w:rPr>
          <w:rFonts w:ascii="Arial" w:cs="Arial" w:eastAsia="Arial" w:hAnsi="Arial"/>
          <w:sz w:val="17"/>
          <w:szCs w:val="17"/>
          <w:color w:val="auto"/>
        </w:rPr>
        <w:t xml:space="preserve">On February 1, 2019, Colorado Gas filed a rate review with the CPUC requesting $2.5 million in new revenue to recover investments in safety, reliability and system integrity and approval to consolidate rates, tariffs, and services of its two existing gas distribution territories. Colorado Gas also requested a new rider mechanism to recover future safety and integrity investments in its system. On April 14, 2020 the CPUC deliberated on the application and on May 19, 2020 issued a final order. The order denied the new system integrity recovery mechanism and consolidation of rate territories. In addition, the order resulted in an annual revenue decrease of $0.6 million and a return on equity of 9.2%. New rates were effective July 3, 2020. In accordance with the final order, Colorado Gas will file a new system integrity rider proposal prior to the end of 2020. </w:t>
      </w:r>
      <w:r>
        <w:rPr>
          <w:rFonts w:ascii="Arial" w:cs="Arial" w:eastAsia="Arial" w:hAnsi="Arial"/>
          <w:sz w:val="17"/>
          <w:szCs w:val="17"/>
          <w:color w:val="242424"/>
        </w:rPr>
        <w:t>Colorado</w:t>
      </w:r>
      <w:r>
        <w:rPr>
          <w:rFonts w:ascii="Arial" w:cs="Arial" w:eastAsia="Arial" w:hAnsi="Arial"/>
          <w:sz w:val="17"/>
          <w:szCs w:val="17"/>
          <w:color w:val="auto"/>
        </w:rPr>
        <w:t xml:space="preserve"> </w:t>
      </w:r>
      <w:r>
        <w:rPr>
          <w:rFonts w:ascii="Arial" w:cs="Arial" w:eastAsia="Arial" w:hAnsi="Arial"/>
          <w:sz w:val="17"/>
          <w:szCs w:val="17"/>
          <w:color w:val="242424"/>
        </w:rPr>
        <w:t>Gas also plans to file a new rate review by the end of 2020.</w:t>
      </w:r>
    </w:p>
    <w:p>
      <w:pPr>
        <w:spacing w:after="0" w:line="204" w:lineRule="exact"/>
        <w:rPr>
          <w:rFonts w:ascii="Arial" w:cs="Arial" w:eastAsia="Arial" w:hAnsi="Arial"/>
          <w:sz w:val="17"/>
          <w:szCs w:val="17"/>
          <w:color w:val="242424"/>
        </w:rPr>
      </w:pPr>
    </w:p>
    <w:p>
      <w:pPr>
        <w:ind w:left="660" w:right="14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Wyoming Gas’s new single statewide rate structure was effective March 1, 2020. On December 11, 2019, Wyoming Gas received approval from the WPSC to consolidate the rates, tariffs and services of its four existing gas distribution territories. New rates are expected to generate $13 million in new annual revenue based on a return on equity of 9.40% and a capital structure of 50.23% equity and 49.77% debt. The approval also allows for a rider to recover integrity investments for system safety and reliability.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Generation</w:t>
      </w:r>
    </w:p>
    <w:p>
      <w:pPr>
        <w:spacing w:after="0" w:line="252" w:lineRule="exact"/>
        <w:rPr>
          <w:sz w:val="20"/>
          <w:szCs w:val="20"/>
          <w:color w:val="auto"/>
        </w:rPr>
      </w:pPr>
    </w:p>
    <w:p>
      <w:pPr>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June 1, 2020, Black Hills Wyoming and Wyoming Electric filed a settlement agreement with the FERC. The agreement represents a resolution of all issues in the joint application filed with the FERC on August 2, 2019 for approval of a new 60 MW PPA. See additional information in the Electric Utilities Segment highlights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252" w:lineRule="exact"/>
        <w:rPr>
          <w:sz w:val="20"/>
          <w:szCs w:val="20"/>
          <w:color w:val="auto"/>
        </w:rPr>
      </w:pPr>
    </w:p>
    <w:p>
      <w:pPr>
        <w:jc w:val="both"/>
        <w:ind w:left="660" w:right="3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August 3, 2020, we filed a shelf registration and DRSPP with the SEC. In conjunction with these shelf filings, we renewed the ATM. The renewed ATM program, which allows us to sell shares of our common stock, is the same as the prior program other than the aggregate value increased from $300 million to $400 million and a forward sales option was incorporated.</w:t>
      </w:r>
    </w:p>
    <w:p>
      <w:pPr>
        <w:spacing w:after="0" w:line="210"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June 17, 2020, we completed a public debt offering of $400 million principal amount in senior unsecured notes. The debt offering consisted of $400 million of 2.50%, 10-year senior notes due June 15, 2030. The proceeds were used to repay short-term debt and for working capital and general corporate purposes.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16, 2020, S&amp;P affirmed South Dakota Electric’s credit rating at 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10, 2020, S&amp;P affirmed our BBB+ rating and maintained a stable outlook.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February 27, 2020, we issued 1.2 million shares of common stock at a price of $81.77 per share for net proceeds of $99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Segment information does not include intercompany eliminations and all amounts are presented on a pre-tax basis unless otherwise indicated. Minor differences may result due to rounding.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4"/>
          </w:tcPr>
          <w:p>
            <w:pPr>
              <w:spacing w:after="0"/>
              <w:rPr>
                <w:sz w:val="20"/>
                <w:szCs w:val="20"/>
                <w:color w:val="auto"/>
              </w:rPr>
            </w:pPr>
            <w:r>
              <w:rPr>
                <w:rFonts w:ascii="Arial" w:cs="Arial" w:eastAsia="Arial" w:hAnsi="Arial"/>
                <w:sz w:val="18"/>
                <w:szCs w:val="18"/>
                <w:b w:val="1"/>
                <w:bCs w:val="1"/>
                <w:color w:val="auto"/>
              </w:rPr>
              <w:t>Consolidated Summary and Overview</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jc w:val="right"/>
              <w:ind w:right="370"/>
              <w:spacing w:after="0"/>
              <w:rPr>
                <w:sz w:val="20"/>
                <w:szCs w:val="20"/>
                <w:color w:val="auto"/>
              </w:rPr>
            </w:pPr>
            <w:r>
              <w:rPr>
                <w:rFonts w:ascii="Arial" w:cs="Arial" w:eastAsia="Arial" w:hAnsi="Arial"/>
                <w:sz w:val="18"/>
                <w:szCs w:val="18"/>
                <w:color w:val="auto"/>
                <w:w w:val="96"/>
              </w:rPr>
              <w:t>Three Months Ended June 30,</w:t>
            </w:r>
          </w:p>
        </w:tc>
        <w:tc>
          <w:tcPr>
            <w:tcW w:w="380" w:type="dxa"/>
            <w:vAlign w:val="bottom"/>
          </w:tcPr>
          <w:p>
            <w:pPr>
              <w:spacing w:after="0"/>
              <w:rPr>
                <w:sz w:val="24"/>
                <w:szCs w:val="24"/>
                <w:color w:val="auto"/>
              </w:rPr>
            </w:pPr>
          </w:p>
        </w:tc>
        <w:tc>
          <w:tcPr>
            <w:tcW w:w="2820" w:type="dxa"/>
            <w:vAlign w:val="bottom"/>
            <w:gridSpan w:val="3"/>
          </w:tcPr>
          <w:p>
            <w:pPr>
              <w:jc w:val="right"/>
              <w:ind w:right="4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3"/>
                <w:szCs w:val="23"/>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3"/>
                <w:szCs w:val="23"/>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Revenue</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490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365,848</w:t>
            </w:r>
          </w:p>
        </w:tc>
        <w:tc>
          <w:tcPr>
            <w:tcW w:w="4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369,576</w:t>
            </w:r>
          </w:p>
        </w:tc>
        <w:tc>
          <w:tcPr>
            <w:tcW w:w="3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941,931</w:t>
            </w:r>
          </w:p>
        </w:tc>
        <w:tc>
          <w:tcPr>
            <w:tcW w:w="4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1,005,257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Inter-company eliminations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(38,934)</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(35,688)</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(77,967)</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(73,559)</w:t>
            </w:r>
          </w:p>
        </w:tc>
        <w:tc>
          <w:tcPr>
            <w:tcW w:w="0" w:type="dxa"/>
            <w:vAlign w:val="bottom"/>
          </w:tcPr>
          <w:p>
            <w:pPr>
              <w:spacing w:after="0"/>
              <w:rPr>
                <w:sz w:val="1"/>
                <w:szCs w:val="1"/>
                <w:color w:val="auto"/>
              </w:rPr>
            </w:pPr>
          </w:p>
        </w:tc>
      </w:tr>
      <w:tr>
        <w:trPr>
          <w:trHeight w:val="27"/>
        </w:trPr>
        <w:tc>
          <w:tcPr>
            <w:tcW w:w="2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spacing w:after="0"/>
              <w:rPr>
                <w:sz w:val="22"/>
                <w:szCs w:val="22"/>
                <w:color w:val="auto"/>
              </w:rPr>
            </w:pPr>
          </w:p>
        </w:tc>
        <w:tc>
          <w:tcPr>
            <w:tcW w:w="2960" w:type="dxa"/>
            <w:vAlign w:val="bottom"/>
            <w:tcBorders>
              <w:bottom w:val="single" w:sz="8" w:color="CEFFE7"/>
            </w:tcBorders>
            <w:shd w:val="clear" w:color="auto" w:fill="CEFFE7"/>
          </w:tcPr>
          <w:p>
            <w:pPr>
              <w:spacing w:after="0"/>
              <w:rPr>
                <w:sz w:val="22"/>
                <w:szCs w:val="22"/>
                <w:color w:val="auto"/>
              </w:rPr>
            </w:pP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326,914</w:t>
            </w:r>
          </w:p>
        </w:tc>
        <w:tc>
          <w:tcPr>
            <w:tcW w:w="4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333,888</w:t>
            </w:r>
          </w:p>
        </w:tc>
        <w:tc>
          <w:tcPr>
            <w:tcW w:w="3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863,964</w:t>
            </w:r>
          </w:p>
        </w:tc>
        <w:tc>
          <w:tcPr>
            <w:tcW w:w="4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931,698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gridSpan w:val="3"/>
          </w:tcPr>
          <w:p>
            <w:pPr>
              <w:spacing w:after="0" w:line="169" w:lineRule="exact"/>
              <w:rPr>
                <w:sz w:val="20"/>
                <w:szCs w:val="20"/>
                <w:color w:val="auto"/>
              </w:rPr>
            </w:pPr>
            <w:r>
              <w:rPr>
                <w:rFonts w:ascii="Arial" w:cs="Arial" w:eastAsia="Arial" w:hAnsi="Arial"/>
                <w:sz w:val="15"/>
                <w:szCs w:val="15"/>
                <w:i w:val="1"/>
                <w:iCs w:val="1"/>
                <w:color w:val="auto"/>
              </w:rPr>
              <w:t xml:space="preserve">Adjusted operating income </w:t>
            </w:r>
            <w:r>
              <w:rPr>
                <w:rFonts w:ascii="Arial" w:cs="Arial" w:eastAsia="Arial" w:hAnsi="Arial"/>
                <w:sz w:val="19"/>
                <w:szCs w:val="19"/>
                <w:i w:val="1"/>
                <w:iCs w:val="1"/>
                <w:color w:val="auto"/>
                <w:vertAlign w:val="superscript"/>
              </w:rPr>
              <w:t>(a)</w:t>
            </w: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490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8"/>
                <w:szCs w:val="18"/>
                <w:color w:val="auto"/>
              </w:rPr>
              <w:t>Electric Utilities</w:t>
            </w: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33,993</w:t>
            </w:r>
          </w:p>
        </w:tc>
        <w:tc>
          <w:tcPr>
            <w:tcW w:w="4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33,546</w:t>
            </w:r>
          </w:p>
        </w:tc>
        <w:tc>
          <w:tcPr>
            <w:tcW w:w="3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69,643</w:t>
            </w:r>
          </w:p>
        </w:tc>
        <w:tc>
          <w:tcPr>
            <w:tcW w:w="4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74,566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tcPr>
          <w:p>
            <w:pPr>
              <w:ind w:left="100"/>
              <w:spacing w:after="0"/>
              <w:rPr>
                <w:sz w:val="20"/>
                <w:szCs w:val="20"/>
                <w:color w:val="auto"/>
              </w:rPr>
            </w:pPr>
            <w:r>
              <w:rPr>
                <w:rFonts w:ascii="Arial" w:cs="Arial" w:eastAsia="Arial" w:hAnsi="Arial"/>
                <w:sz w:val="18"/>
                <w:szCs w:val="18"/>
                <w:color w:val="auto"/>
              </w:rPr>
              <w:t>Gas Utilities</w:t>
            </w:r>
          </w:p>
        </w:tc>
        <w:tc>
          <w:tcPr>
            <w:tcW w:w="3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18,209</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8,557</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121,106</w:t>
            </w:r>
          </w:p>
        </w:tc>
        <w:tc>
          <w:tcPr>
            <w:tcW w:w="4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111,871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490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8"/>
                <w:szCs w:val="18"/>
                <w:color w:val="auto"/>
              </w:rPr>
              <w:t>Power Generation</w:t>
            </w:r>
          </w:p>
        </w:tc>
        <w:tc>
          <w:tcPr>
            <w:tcW w:w="30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11,402</w:t>
            </w:r>
          </w:p>
        </w:tc>
        <w:tc>
          <w:tcPr>
            <w:tcW w:w="4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10,156</w:t>
            </w: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22,751</w:t>
            </w:r>
          </w:p>
        </w:tc>
        <w:tc>
          <w:tcPr>
            <w:tcW w:w="40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tcPr>
          <w:p>
            <w:pPr>
              <w:ind w:left="100"/>
              <w:spacing w:after="0"/>
              <w:rPr>
                <w:sz w:val="20"/>
                <w:szCs w:val="20"/>
                <w:color w:val="auto"/>
              </w:rPr>
            </w:pPr>
            <w:r>
              <w:rPr>
                <w:rFonts w:ascii="Arial" w:cs="Arial" w:eastAsia="Arial" w:hAnsi="Arial"/>
                <w:sz w:val="18"/>
                <w:szCs w:val="18"/>
                <w:color w:val="auto"/>
              </w:rPr>
              <w:t>Mining</w:t>
            </w:r>
          </w:p>
        </w:tc>
        <w:tc>
          <w:tcPr>
            <w:tcW w:w="3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3,358</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1,640</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6,487</w:t>
            </w:r>
          </w:p>
        </w:tc>
        <w:tc>
          <w:tcPr>
            <w:tcW w:w="4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EFFE7"/>
            </w:tcBorders>
            <w:shd w:val="clear" w:color="auto" w:fill="CEFFE7"/>
          </w:tcPr>
          <w:p>
            <w:pPr>
              <w:spacing w:after="0"/>
              <w:rPr>
                <w:sz w:val="23"/>
                <w:szCs w:val="23"/>
                <w:color w:val="auto"/>
              </w:rPr>
            </w:pPr>
          </w:p>
        </w:tc>
        <w:tc>
          <w:tcPr>
            <w:tcW w:w="490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102</w:t>
            </w:r>
          </w:p>
        </w:tc>
        <w:tc>
          <w:tcPr>
            <w:tcW w:w="3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131</w:t>
            </w:r>
          </w:p>
        </w:tc>
        <w:tc>
          <w:tcPr>
            <w:tcW w:w="40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66,933</w:t>
            </w: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54,001</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220,118</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214,132</w:t>
            </w:r>
          </w:p>
        </w:tc>
        <w:tc>
          <w:tcPr>
            <w:tcW w:w="0" w:type="dxa"/>
            <w:vAlign w:val="bottom"/>
          </w:tcPr>
          <w:p>
            <w:pPr>
              <w:spacing w:after="0"/>
              <w:rPr>
                <w:sz w:val="1"/>
                <w:szCs w:val="1"/>
                <w:color w:val="auto"/>
              </w:rPr>
            </w:pPr>
          </w:p>
        </w:tc>
      </w:tr>
      <w:tr>
        <w:trPr>
          <w:trHeight w:val="27"/>
        </w:trPr>
        <w:tc>
          <w:tcPr>
            <w:tcW w:w="2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EFFE7"/>
          </w:tcPr>
          <w:p>
            <w:pPr>
              <w:spacing w:after="0"/>
              <w:rPr>
                <w:sz w:val="21"/>
                <w:szCs w:val="21"/>
                <w:color w:val="auto"/>
              </w:rPr>
            </w:pPr>
          </w:p>
        </w:tc>
        <w:tc>
          <w:tcPr>
            <w:tcW w:w="620" w:type="dxa"/>
            <w:vAlign w:val="bottom"/>
            <w:shd w:val="clear" w:color="auto" w:fill="CEFFE7"/>
          </w:tcPr>
          <w:p>
            <w:pPr>
              <w:spacing w:after="0"/>
              <w:rPr>
                <w:sz w:val="21"/>
                <w:szCs w:val="21"/>
                <w:color w:val="auto"/>
              </w:rPr>
            </w:pPr>
          </w:p>
        </w:tc>
        <w:tc>
          <w:tcPr>
            <w:tcW w:w="1320" w:type="dxa"/>
            <w:vAlign w:val="bottom"/>
            <w:shd w:val="clear" w:color="auto" w:fill="CEFFE7"/>
          </w:tcPr>
          <w:p>
            <w:pPr>
              <w:spacing w:after="0"/>
              <w:rPr>
                <w:sz w:val="21"/>
                <w:szCs w:val="21"/>
                <w:color w:val="auto"/>
              </w:rPr>
            </w:pPr>
          </w:p>
        </w:tc>
        <w:tc>
          <w:tcPr>
            <w:tcW w:w="2960" w:type="dxa"/>
            <w:vAlign w:val="bottom"/>
            <w:shd w:val="clear" w:color="auto" w:fill="CEFFE7"/>
          </w:tcPr>
          <w:p>
            <w:pPr>
              <w:spacing w:after="0"/>
              <w:rPr>
                <w:sz w:val="21"/>
                <w:szCs w:val="21"/>
                <w:color w:val="auto"/>
              </w:rPr>
            </w:pPr>
          </w:p>
        </w:tc>
        <w:tc>
          <w:tcPr>
            <w:tcW w:w="300" w:type="dxa"/>
            <w:vAlign w:val="bottom"/>
            <w:shd w:val="clear" w:color="auto" w:fill="CEFFE7"/>
          </w:tcPr>
          <w:p>
            <w:pPr>
              <w:spacing w:after="0"/>
              <w:rPr>
                <w:sz w:val="21"/>
                <w:szCs w:val="21"/>
                <w:color w:val="auto"/>
              </w:rPr>
            </w:pPr>
          </w:p>
        </w:tc>
        <w:tc>
          <w:tcPr>
            <w:tcW w:w="1240" w:type="dxa"/>
            <w:vAlign w:val="bottom"/>
            <w:shd w:val="clear" w:color="auto" w:fill="CEFFE7"/>
          </w:tcPr>
          <w:p>
            <w:pPr>
              <w:spacing w:after="0"/>
              <w:rPr>
                <w:sz w:val="21"/>
                <w:szCs w:val="21"/>
                <w:color w:val="auto"/>
              </w:rPr>
            </w:pPr>
          </w:p>
        </w:tc>
        <w:tc>
          <w:tcPr>
            <w:tcW w:w="400" w:type="dxa"/>
            <w:vAlign w:val="bottom"/>
            <w:shd w:val="clear" w:color="auto" w:fill="CEFFE7"/>
          </w:tcPr>
          <w:p>
            <w:pPr>
              <w:spacing w:after="0"/>
              <w:rPr>
                <w:sz w:val="21"/>
                <w:szCs w:val="21"/>
                <w:color w:val="auto"/>
              </w:rPr>
            </w:pPr>
          </w:p>
        </w:tc>
        <w:tc>
          <w:tcPr>
            <w:tcW w:w="1180" w:type="dxa"/>
            <w:vAlign w:val="bottom"/>
            <w:shd w:val="clear" w:color="auto" w:fill="CEFFE7"/>
          </w:tcPr>
          <w:p>
            <w:pPr>
              <w:spacing w:after="0"/>
              <w:rPr>
                <w:sz w:val="21"/>
                <w:szCs w:val="21"/>
                <w:color w:val="auto"/>
              </w:rPr>
            </w:pPr>
          </w:p>
        </w:tc>
        <w:tc>
          <w:tcPr>
            <w:tcW w:w="380" w:type="dxa"/>
            <w:vAlign w:val="bottom"/>
            <w:shd w:val="clear" w:color="auto" w:fill="CEFFE7"/>
          </w:tcPr>
          <w:p>
            <w:pPr>
              <w:spacing w:after="0"/>
              <w:rPr>
                <w:sz w:val="21"/>
                <w:szCs w:val="21"/>
                <w:color w:val="auto"/>
              </w:rPr>
            </w:pPr>
          </w:p>
        </w:tc>
        <w:tc>
          <w:tcPr>
            <w:tcW w:w="1200" w:type="dxa"/>
            <w:vAlign w:val="bottom"/>
            <w:shd w:val="clear" w:color="auto" w:fill="CEFFE7"/>
          </w:tcPr>
          <w:p>
            <w:pPr>
              <w:spacing w:after="0"/>
              <w:rPr>
                <w:sz w:val="21"/>
                <w:szCs w:val="21"/>
                <w:color w:val="auto"/>
              </w:rPr>
            </w:pPr>
          </w:p>
        </w:tc>
        <w:tc>
          <w:tcPr>
            <w:tcW w:w="400" w:type="dxa"/>
            <w:vAlign w:val="bottom"/>
            <w:shd w:val="clear" w:color="auto" w:fill="CEFFE7"/>
          </w:tcPr>
          <w:p>
            <w:pPr>
              <w:spacing w:after="0"/>
              <w:rPr>
                <w:sz w:val="21"/>
                <w:szCs w:val="21"/>
                <w:color w:val="auto"/>
              </w:rPr>
            </w:pPr>
          </w:p>
        </w:tc>
        <w:tc>
          <w:tcPr>
            <w:tcW w:w="122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(35,545)</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(34,264)</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(70,998)</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490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8"/>
                <w:szCs w:val="18"/>
                <w:color w:val="auto"/>
              </w:rPr>
              <w:t>Impairment of investment</w:t>
            </w:r>
          </w:p>
        </w:tc>
        <w:tc>
          <w:tcPr>
            <w:tcW w:w="30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(6,859)</w:t>
            </w:r>
          </w:p>
        </w:tc>
        <w:tc>
          <w:tcPr>
            <w:tcW w:w="40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(1,863)</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EFFE7"/>
            </w:tcBorders>
            <w:shd w:val="clear" w:color="auto" w:fill="CEFFE7"/>
          </w:tcPr>
          <w:p>
            <w:pPr>
              <w:spacing w:after="0"/>
              <w:rPr>
                <w:sz w:val="23"/>
                <w:szCs w:val="23"/>
                <w:color w:val="auto"/>
              </w:rPr>
            </w:pPr>
          </w:p>
        </w:tc>
        <w:tc>
          <w:tcPr>
            <w:tcW w:w="490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(4,831)</w:t>
            </w:r>
          </w:p>
        </w:tc>
        <w:tc>
          <w:tcPr>
            <w:tcW w:w="40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(2,307)</w:t>
            </w:r>
          </w:p>
        </w:tc>
        <w:tc>
          <w:tcPr>
            <w:tcW w:w="3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(20,833)</w:t>
            </w:r>
          </w:p>
        </w:tc>
        <w:tc>
          <w:tcPr>
            <w:tcW w:w="40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(19,570)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24,694</w:t>
            </w: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17,693</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121,918</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125,055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EFFE7"/>
            </w:tcBorders>
            <w:shd w:val="clear" w:color="auto" w:fill="CEFFE7"/>
          </w:tcPr>
          <w:p>
            <w:pPr>
              <w:spacing w:after="0"/>
              <w:rPr>
                <w:sz w:val="23"/>
                <w:szCs w:val="23"/>
                <w:color w:val="auto"/>
              </w:rPr>
            </w:pPr>
          </w:p>
        </w:tc>
        <w:tc>
          <w:tcPr>
            <w:tcW w:w="490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(3,728)</w:t>
            </w:r>
          </w:p>
        </w:tc>
        <w:tc>
          <w:tcPr>
            <w:tcW w:w="40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(3,110)</w:t>
            </w:r>
          </w:p>
        </w:tc>
        <w:tc>
          <w:tcPr>
            <w:tcW w:w="3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(7,778)</w:t>
            </w:r>
          </w:p>
        </w:tc>
        <w:tc>
          <w:tcPr>
            <w:tcW w:w="40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Net income available for common stock</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20,966</w:t>
            </w:r>
          </w:p>
        </w:tc>
        <w:tc>
          <w:tcPr>
            <w:tcW w:w="4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14,583</w:t>
            </w:r>
          </w:p>
        </w:tc>
        <w:tc>
          <w:tcPr>
            <w:tcW w:w="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114,140</w:t>
            </w: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118,391</w:t>
            </w:r>
          </w:p>
        </w:tc>
        <w:tc>
          <w:tcPr>
            <w:tcW w:w="0" w:type="dxa"/>
            <w:vAlign w:val="bottom"/>
          </w:tcPr>
          <w:p>
            <w:pPr>
              <w:spacing w:after="0"/>
              <w:rPr>
                <w:sz w:val="1"/>
                <w:szCs w:val="1"/>
                <w:color w:val="auto"/>
              </w:rPr>
            </w:pP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620" w:type="dxa"/>
            <w:vAlign w:val="bottom"/>
            <w:tcBorders>
              <w:bottom w:val="single" w:sz="8" w:color="CEFFE7"/>
            </w:tcBorders>
          </w:tcPr>
          <w:p>
            <w:pPr>
              <w:spacing w:after="0" w:line="20" w:lineRule="exact"/>
              <w:rPr>
                <w:sz w:val="1"/>
                <w:szCs w:val="1"/>
                <w:color w:val="auto"/>
              </w:rPr>
            </w:pPr>
          </w:p>
        </w:tc>
        <w:tc>
          <w:tcPr>
            <w:tcW w:w="1320" w:type="dxa"/>
            <w:vAlign w:val="bottom"/>
            <w:tcBorders>
              <w:bottom w:val="single" w:sz="8" w:color="CEFFE7"/>
            </w:tcBorders>
          </w:tcPr>
          <w:p>
            <w:pPr>
              <w:spacing w:after="0" w:line="20" w:lineRule="exact"/>
              <w:rPr>
                <w:sz w:val="1"/>
                <w:szCs w:val="1"/>
                <w:color w:val="auto"/>
              </w:rPr>
            </w:pPr>
          </w:p>
        </w:tc>
        <w:tc>
          <w:tcPr>
            <w:tcW w:w="2960" w:type="dxa"/>
            <w:vAlign w:val="bottom"/>
            <w:tcBorders>
              <w:bottom w:val="single" w:sz="8" w:color="CEFFE7"/>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EFFE7"/>
          </w:tcPr>
          <w:p>
            <w:pPr>
              <w:spacing w:after="0"/>
              <w:rPr>
                <w:sz w:val="20"/>
                <w:szCs w:val="20"/>
                <w:color w:val="auto"/>
              </w:rPr>
            </w:pPr>
          </w:p>
        </w:tc>
        <w:tc>
          <w:tcPr>
            <w:tcW w:w="620" w:type="dxa"/>
            <w:vAlign w:val="bottom"/>
            <w:shd w:val="clear" w:color="auto" w:fill="CEFFE7"/>
          </w:tcPr>
          <w:p>
            <w:pPr>
              <w:spacing w:after="0"/>
              <w:rPr>
                <w:sz w:val="20"/>
                <w:szCs w:val="20"/>
                <w:color w:val="auto"/>
              </w:rPr>
            </w:pPr>
          </w:p>
        </w:tc>
        <w:tc>
          <w:tcPr>
            <w:tcW w:w="1320" w:type="dxa"/>
            <w:vAlign w:val="bottom"/>
            <w:shd w:val="clear" w:color="auto" w:fill="CEFFE7"/>
          </w:tcPr>
          <w:p>
            <w:pPr>
              <w:spacing w:after="0"/>
              <w:rPr>
                <w:sz w:val="20"/>
                <w:szCs w:val="20"/>
                <w:color w:val="auto"/>
              </w:rPr>
            </w:pPr>
          </w:p>
        </w:tc>
        <w:tc>
          <w:tcPr>
            <w:tcW w:w="2960" w:type="dxa"/>
            <w:vAlign w:val="bottom"/>
            <w:shd w:val="clear" w:color="auto" w:fill="CEFFE7"/>
          </w:tcPr>
          <w:p>
            <w:pPr>
              <w:spacing w:after="0"/>
              <w:rPr>
                <w:sz w:val="20"/>
                <w:szCs w:val="20"/>
                <w:color w:val="auto"/>
              </w:rPr>
            </w:pPr>
          </w:p>
        </w:tc>
        <w:tc>
          <w:tcPr>
            <w:tcW w:w="300" w:type="dxa"/>
            <w:vAlign w:val="bottom"/>
            <w:tcBorders>
              <w:bottom w:val="single" w:sz="8" w:color="auto"/>
            </w:tcBorders>
            <w:shd w:val="clear" w:color="auto" w:fill="CEFFE7"/>
          </w:tcPr>
          <w:p>
            <w:pPr>
              <w:spacing w:after="0"/>
              <w:rPr>
                <w:sz w:val="20"/>
                <w:szCs w:val="20"/>
                <w:color w:val="auto"/>
              </w:rPr>
            </w:pPr>
          </w:p>
        </w:tc>
        <w:tc>
          <w:tcPr>
            <w:tcW w:w="1240" w:type="dxa"/>
            <w:vAlign w:val="bottom"/>
            <w:tcBorders>
              <w:bottom w:val="single" w:sz="8" w:color="auto"/>
            </w:tcBorders>
            <w:shd w:val="clear" w:color="auto" w:fill="CEFFE7"/>
          </w:tcPr>
          <w:p>
            <w:pPr>
              <w:spacing w:after="0"/>
              <w:rPr>
                <w:sz w:val="20"/>
                <w:szCs w:val="20"/>
                <w:color w:val="auto"/>
              </w:rPr>
            </w:pPr>
          </w:p>
        </w:tc>
        <w:tc>
          <w:tcPr>
            <w:tcW w:w="400" w:type="dxa"/>
            <w:vAlign w:val="bottom"/>
            <w:tcBorders>
              <w:bottom w:val="single" w:sz="8" w:color="auto"/>
            </w:tcBorders>
            <w:shd w:val="clear" w:color="auto" w:fill="CEFFE7"/>
          </w:tcPr>
          <w:p>
            <w:pPr>
              <w:spacing w:after="0"/>
              <w:rPr>
                <w:sz w:val="20"/>
                <w:szCs w:val="20"/>
                <w:color w:val="auto"/>
              </w:rPr>
            </w:pPr>
          </w:p>
        </w:tc>
        <w:tc>
          <w:tcPr>
            <w:tcW w:w="1180" w:type="dxa"/>
            <w:vAlign w:val="bottom"/>
            <w:tcBorders>
              <w:bottom w:val="single" w:sz="8" w:color="auto"/>
            </w:tcBorders>
            <w:shd w:val="clear" w:color="auto" w:fill="CEFFE7"/>
          </w:tcPr>
          <w:p>
            <w:pPr>
              <w:spacing w:after="0"/>
              <w:rPr>
                <w:sz w:val="20"/>
                <w:szCs w:val="20"/>
                <w:color w:val="auto"/>
              </w:rPr>
            </w:pPr>
          </w:p>
        </w:tc>
        <w:tc>
          <w:tcPr>
            <w:tcW w:w="380" w:type="dxa"/>
            <w:vAlign w:val="bottom"/>
            <w:tcBorders>
              <w:bottom w:val="single" w:sz="8" w:color="auto"/>
            </w:tcBorders>
            <w:shd w:val="clear" w:color="auto" w:fill="CEFFE7"/>
          </w:tcPr>
          <w:p>
            <w:pPr>
              <w:spacing w:after="0"/>
              <w:rPr>
                <w:sz w:val="20"/>
                <w:szCs w:val="20"/>
                <w:color w:val="auto"/>
              </w:rPr>
            </w:pPr>
          </w:p>
        </w:tc>
        <w:tc>
          <w:tcPr>
            <w:tcW w:w="1200" w:type="dxa"/>
            <w:vAlign w:val="bottom"/>
            <w:tcBorders>
              <w:bottom w:val="single" w:sz="8" w:color="auto"/>
            </w:tcBorders>
            <w:shd w:val="clear" w:color="auto" w:fill="CEFFE7"/>
          </w:tcPr>
          <w:p>
            <w:pPr>
              <w:spacing w:after="0"/>
              <w:rPr>
                <w:sz w:val="20"/>
                <w:szCs w:val="20"/>
                <w:color w:val="auto"/>
              </w:rPr>
            </w:pPr>
          </w:p>
        </w:tc>
        <w:tc>
          <w:tcPr>
            <w:tcW w:w="400" w:type="dxa"/>
            <w:vAlign w:val="bottom"/>
            <w:tcBorders>
              <w:bottom w:val="single" w:sz="8" w:color="auto"/>
            </w:tcBorders>
            <w:shd w:val="clear" w:color="auto" w:fill="CEFFE7"/>
          </w:tcPr>
          <w:p>
            <w:pPr>
              <w:spacing w:after="0"/>
              <w:rPr>
                <w:sz w:val="20"/>
                <w:szCs w:val="20"/>
                <w:color w:val="auto"/>
              </w:rPr>
            </w:pPr>
          </w:p>
        </w:tc>
        <w:tc>
          <w:tcPr>
            <w:tcW w:w="1220" w:type="dxa"/>
            <w:vAlign w:val="bottom"/>
            <w:tcBorders>
              <w:bottom w:val="single" w:sz="8" w:color="auto"/>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Earnings per share, Basic</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
              <w:spacing w:after="0"/>
              <w:rPr>
                <w:sz w:val="20"/>
                <w:szCs w:val="20"/>
                <w:color w:val="auto"/>
              </w:rPr>
            </w:pPr>
            <w:r>
              <w:rPr>
                <w:rFonts w:ascii="Arial" w:cs="Arial" w:eastAsia="Arial" w:hAnsi="Arial"/>
                <w:sz w:val="16"/>
                <w:szCs w:val="16"/>
                <w:color w:val="auto"/>
              </w:rPr>
              <w:t>0.34</w:t>
            </w:r>
          </w:p>
        </w:tc>
        <w:tc>
          <w:tcPr>
            <w:tcW w:w="400" w:type="dxa"/>
            <w:vAlign w:val="bottom"/>
          </w:tcPr>
          <w:p>
            <w:pPr>
              <w:ind w:lef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
              <w:spacing w:after="0"/>
              <w:rPr>
                <w:sz w:val="20"/>
                <w:szCs w:val="20"/>
                <w:color w:val="auto"/>
              </w:rPr>
            </w:pPr>
            <w:r>
              <w:rPr>
                <w:rFonts w:ascii="Arial" w:cs="Arial" w:eastAsia="Arial" w:hAnsi="Arial"/>
                <w:sz w:val="16"/>
                <w:szCs w:val="16"/>
                <w:color w:val="auto"/>
              </w:rPr>
              <w:t>0.24</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
              <w:spacing w:after="0"/>
              <w:rPr>
                <w:sz w:val="20"/>
                <w:szCs w:val="20"/>
                <w:color w:val="auto"/>
              </w:rPr>
            </w:pPr>
            <w:r>
              <w:rPr>
                <w:rFonts w:ascii="Arial" w:cs="Arial" w:eastAsia="Arial" w:hAnsi="Arial"/>
                <w:sz w:val="16"/>
                <w:szCs w:val="16"/>
                <w:color w:val="auto"/>
              </w:rPr>
              <w:t>1.84</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EFFE7"/>
            </w:tcBorders>
            <w:shd w:val="clear" w:color="auto" w:fill="CEFFE7"/>
          </w:tcPr>
          <w:p>
            <w:pPr>
              <w:spacing w:after="0"/>
              <w:rPr>
                <w:sz w:val="24"/>
                <w:szCs w:val="24"/>
                <w:color w:val="auto"/>
              </w:rPr>
            </w:pPr>
          </w:p>
        </w:tc>
        <w:tc>
          <w:tcPr>
            <w:tcW w:w="490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8"/>
                <w:szCs w:val="18"/>
                <w:color w:val="auto"/>
              </w:rPr>
              <w:t>Earnings per share, Diluted</w:t>
            </w:r>
          </w:p>
        </w:tc>
        <w:tc>
          <w:tcPr>
            <w:tcW w:w="3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0.33</w:t>
            </w:r>
          </w:p>
        </w:tc>
        <w:tc>
          <w:tcPr>
            <w:tcW w:w="40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0.24</w:t>
            </w:r>
          </w:p>
        </w:tc>
        <w:tc>
          <w:tcPr>
            <w:tcW w:w="38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1.83</w:t>
            </w:r>
          </w:p>
        </w:tc>
        <w:tc>
          <w:tcPr>
            <w:tcW w:w="40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620" w:type="dxa"/>
            <w:vAlign w:val="bottom"/>
            <w:tcBorders>
              <w:top w:val="single" w:sz="8" w:color="CEFFE7"/>
            </w:tcBorders>
          </w:tcPr>
          <w:p>
            <w:pPr>
              <w:spacing w:after="0" w:line="20" w:lineRule="exact"/>
              <w:rPr>
                <w:sz w:val="1"/>
                <w:szCs w:val="1"/>
                <w:color w:val="auto"/>
              </w:rPr>
            </w:pPr>
          </w:p>
        </w:tc>
        <w:tc>
          <w:tcPr>
            <w:tcW w:w="1320" w:type="dxa"/>
            <w:vAlign w:val="bottom"/>
            <w:tcBorders>
              <w:top w:val="single" w:sz="8" w:color="CEFFE7"/>
            </w:tcBorders>
          </w:tcPr>
          <w:p>
            <w:pPr>
              <w:spacing w:after="0" w:line="20" w:lineRule="exact"/>
              <w:rPr>
                <w:sz w:val="1"/>
                <w:szCs w:val="1"/>
                <w:color w:val="auto"/>
              </w:rPr>
            </w:pPr>
          </w:p>
        </w:tc>
        <w:tc>
          <w:tcPr>
            <w:tcW w:w="296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40" w:hanging="332"/>
        <w:spacing w:after="0" w:line="257" w:lineRule="auto"/>
        <w:tabs>
          <w:tab w:leader="none" w:pos="227"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operating income recognizes intersegment revenues and costs for Colorado Electric’s PPA with Black Hills Colorado IPP on an accrual basis rather than as a finance lease. This presentation of segment information does not impact consolidated financial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variance to the prior year included the following:</w:t>
      </w:r>
    </w:p>
    <w:p>
      <w:pPr>
        <w:spacing w:after="0" w:line="252" w:lineRule="exact"/>
        <w:rPr>
          <w:sz w:val="20"/>
          <w:szCs w:val="20"/>
          <w:color w:val="auto"/>
        </w:rPr>
      </w:pPr>
    </w:p>
    <w:p>
      <w:pPr>
        <w:ind w:left="660" w:right="6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COVID-19 related impacts to consolidated results included $2.4 million of lower gross margin driven primarily by lower volumes, $2.0 million of costs due to sequestration of mission-critical and essential employees and $1.5 million of additional bad debt expense which were partially offset by $3.4 million of lower travel, training, and outside services expenses;</w:t>
      </w:r>
    </w:p>
    <w:p>
      <w:pPr>
        <w:spacing w:after="0" w:line="2"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Electric Utilities’ adjusted operating income increased $0.4 million primarily due to favorable spring weather and lower operating expenses mostly offset by a rider true-up and COVID-19 impacts to margin from lower commercial volumes;</w:t>
      </w:r>
    </w:p>
    <w:p>
      <w:pPr>
        <w:ind w:left="660" w:right="160" w:hanging="328"/>
        <w:spacing w:after="0" w:line="28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Gas Utilities’ adjusted operating income increased $9.7 million primarily due to new customer rates in Wyoming, prior year direct and indirect impacts from significant rainfall and flooding in our service territories, mark-to-market gains on non-utility natural gas commodity contracts and lower operating expenses partially offset by COVID-19 impacts to margin from lower volumes from certain industrial and transport customers;</w:t>
      </w:r>
    </w:p>
    <w:p>
      <w:pPr>
        <w:spacing w:after="0" w:line="1" w:lineRule="exact"/>
        <w:rPr>
          <w:rFonts w:ascii="Arial" w:cs="Arial" w:eastAsia="Arial" w:hAnsi="Arial"/>
          <w:sz w:val="16"/>
          <w:szCs w:val="16"/>
          <w:color w:val="auto"/>
        </w:rPr>
      </w:pPr>
    </w:p>
    <w:p>
      <w:pPr>
        <w:ind w:left="660" w:right="10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Power Generation’s adjusted operating income increased $1.2 million primarily due to increased MWh sold driven by new wind assets and strong availability;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660" w:right="14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Mining’s adjusted operating income increased $1.7 million primarily due to higher tons sold driven by prior year planned and unplanned facility outages;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expense increased $1.3 million primarily due to higher debt balances partially offset by lower rates;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expense increased $2.1 million primarily due to increased costs for our non-qualified benefit plan driven by market performance on plan assets; and</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Income tax expense increased $2.5 million primarily due to a prior year discrete tax benefit related to repairs and certain indirect costs.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variance to the prior year included the following:</w:t>
      </w:r>
    </w:p>
    <w:p>
      <w:pPr>
        <w:spacing w:after="0" w:line="252" w:lineRule="exact"/>
        <w:rPr>
          <w:sz w:val="20"/>
          <w:szCs w:val="20"/>
          <w:color w:val="auto"/>
        </w:rPr>
      </w:pPr>
    </w:p>
    <w:p>
      <w:pPr>
        <w:ind w:left="660" w:hanging="328"/>
        <w:spacing w:after="0" w:line="25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COVID-19 related impacts to consolidated results included $2.4 million of lower gross margin driven primarily by lower volumes, $2.0 million of costs due to sequestration of mission-critical and essential employees and $2.0 million of additional bad debt expense which were partially offset by $3.4 million of lower travel, training, and outside services expenses;</w:t>
      </w:r>
    </w:p>
    <w:p>
      <w:pPr>
        <w:spacing w:after="0" w:line="2" w:lineRule="exact"/>
        <w:rPr>
          <w:rFonts w:ascii="Arial" w:cs="Arial" w:eastAsia="Arial" w:hAnsi="Arial"/>
          <w:sz w:val="18"/>
          <w:szCs w:val="18"/>
          <w:color w:val="auto"/>
        </w:rPr>
      </w:pPr>
    </w:p>
    <w:p>
      <w:pPr>
        <w:jc w:val="both"/>
        <w:ind w:left="660" w:right="5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Electric Utilities’ adjusted operating income decreased $4.9 million primarily due to COVID-19 impacts to margin from lower commercial volumes, lower power marketing margins and higher operating expenses partially offset by increased mark-to-market on wholesale energy contracts;</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Gas Utilities’ adjusted operating income increased $9.2 million primarily due to new customer rates in Wyoming, prior year amortization of excess deferred income taxes, customer growth, mark-to-market gains on non-utility natural gas commodity contracts and lower operating expenses partially offset by lower heating demand from warmer winter weather and COVID-19 impacts to margin from lower volumes from certain industrial and transport customers;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expense increased $2.0 million primarily due to higher debt balances partially offset by lower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$6.9 million pre-tax non-cash impairment of our investment in equity securities of a privately held oil and gas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56" w:lineRule="exact"/>
        <w:rPr>
          <w:sz w:val="20"/>
          <w:szCs w:val="20"/>
          <w:color w:val="auto"/>
        </w:rPr>
      </w:pPr>
    </w:p>
    <w:p>
      <w:pPr>
        <w:ind w:right="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 discussion of operating results from our segments and Corporate activities follows in the sections below. Revenues for operating segments in the following sections are presented in total and by retail class. For disaggregation of revenue by contract type and operating segment, see </w:t>
      </w:r>
      <w:hyperlink w:anchor="page15">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for more information.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Electric Utilities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5"/>
          </w:tcPr>
          <w:p>
            <w:pPr>
              <w:jc w:val="right"/>
              <w:ind w:right="430"/>
              <w:spacing w:after="0"/>
              <w:rPr>
                <w:sz w:val="20"/>
                <w:szCs w:val="20"/>
                <w:color w:val="auto"/>
              </w:rPr>
            </w:pPr>
            <w:r>
              <w:rPr>
                <w:rFonts w:ascii="Arial" w:cs="Arial" w:eastAsia="Arial" w:hAnsi="Arial"/>
                <w:sz w:val="18"/>
                <w:szCs w:val="18"/>
                <w:color w:val="auto"/>
              </w:rPr>
              <w:t>Three Months Ended June 30,</w:t>
            </w:r>
          </w:p>
        </w:tc>
        <w:tc>
          <w:tcPr>
            <w:tcW w:w="280" w:type="dxa"/>
            <w:vAlign w:val="bottom"/>
          </w:tcPr>
          <w:p>
            <w:pPr>
              <w:spacing w:after="0"/>
              <w:rPr>
                <w:sz w:val="24"/>
                <w:szCs w:val="24"/>
                <w:color w:val="auto"/>
              </w:rPr>
            </w:pPr>
          </w:p>
        </w:tc>
        <w:tc>
          <w:tcPr>
            <w:tcW w:w="3080" w:type="dxa"/>
            <w:vAlign w:val="bottom"/>
            <w:gridSpan w:val="7"/>
          </w:tcPr>
          <w:p>
            <w:pPr>
              <w:jc w:val="right"/>
              <w:ind w:right="660"/>
              <w:spacing w:after="0"/>
              <w:rPr>
                <w:sz w:val="20"/>
                <w:szCs w:val="20"/>
                <w:color w:val="auto"/>
              </w:rPr>
            </w:pPr>
            <w:r>
              <w:rPr>
                <w:rFonts w:ascii="Arial" w:cs="Arial" w:eastAsia="Arial" w:hAnsi="Arial"/>
                <w:sz w:val="18"/>
                <w:szCs w:val="18"/>
                <w:color w:val="auto"/>
              </w:rPr>
              <w:t>Six Months Ended June 30,</w:t>
            </w:r>
          </w:p>
        </w:tc>
      </w:tr>
      <w:tr>
        <w:trPr>
          <w:trHeight w:val="270"/>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3"/>
                <w:szCs w:val="23"/>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w w:val="92"/>
              </w:rPr>
              <w:t>Variance</w:t>
            </w:r>
          </w:p>
        </w:tc>
        <w:tc>
          <w:tcPr>
            <w:tcW w:w="280" w:type="dxa"/>
            <w:vAlign w:val="bottom"/>
          </w:tcPr>
          <w:p>
            <w:pPr>
              <w:spacing w:after="0"/>
              <w:rPr>
                <w:sz w:val="23"/>
                <w:szCs w:val="23"/>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Variance</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3"/>
          </w:tcPr>
          <w:p>
            <w:pPr>
              <w:jc w:val="right"/>
              <w:ind w:right="3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6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163,200</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166,354</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(3,154)</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337,339</w:t>
            </w:r>
          </w:p>
        </w:tc>
        <w:tc>
          <w:tcPr>
            <w:tcW w:w="320" w:type="dxa"/>
            <w:vAlign w:val="bottom"/>
            <w:tcBorders>
              <w:bottom w:val="single" w:sz="8" w:color="CEFFE7"/>
            </w:tcBorders>
            <w:gridSpan w:val="2"/>
            <w:shd w:val="clear" w:color="auto" w:fill="CEFFE7"/>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349,281</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(11,942)</w:t>
            </w:r>
          </w:p>
        </w:tc>
        <w:tc>
          <w:tcPr>
            <w:tcW w:w="20" w:type="dxa"/>
            <w:vAlign w:val="bottom"/>
            <w:tcBorders>
              <w:bottom w:val="single" w:sz="8" w:color="CEFFE7"/>
            </w:tcBorders>
            <w:shd w:val="clear" w:color="auto" w:fill="CEFFE7"/>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70"/>
        </w:trPr>
        <w:tc>
          <w:tcPr>
            <w:tcW w:w="46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8"/>
                <w:szCs w:val="18"/>
                <w:color w:val="auto"/>
              </w:rPr>
              <w:t>Total fuel and purchased power</w:t>
            </w:r>
          </w:p>
        </w:tc>
        <w:tc>
          <w:tcPr>
            <w:tcW w:w="24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59,053</w:t>
            </w:r>
          </w:p>
        </w:tc>
        <w:tc>
          <w:tcPr>
            <w:tcW w:w="3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62,128</w:t>
            </w:r>
          </w:p>
        </w:tc>
        <w:tc>
          <w:tcPr>
            <w:tcW w:w="20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(3,075)</w:t>
            </w:r>
          </w:p>
        </w:tc>
        <w:tc>
          <w:tcPr>
            <w:tcW w:w="28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123,513</w:t>
            </w:r>
          </w:p>
        </w:tc>
        <w:tc>
          <w:tcPr>
            <w:tcW w:w="10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135,411</w:t>
            </w:r>
          </w:p>
        </w:tc>
        <w:tc>
          <w:tcPr>
            <w:tcW w:w="24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(11,898)</w:t>
            </w:r>
          </w:p>
        </w:tc>
        <w:tc>
          <w:tcPr>
            <w:tcW w:w="20" w:type="dxa"/>
            <w:vAlign w:val="bottom"/>
            <w:tcBorders>
              <w:bottom w:val="single" w:sz="8" w:color="CEFFE7"/>
            </w:tcBorders>
            <w:shd w:val="clear" w:color="auto" w:fill="CEFFE7"/>
          </w:tcPr>
          <w:p>
            <w:pPr>
              <w:spacing w:after="0"/>
              <w:rPr>
                <w:sz w:val="23"/>
                <w:szCs w:val="23"/>
                <w:color w:val="auto"/>
              </w:rPr>
            </w:pPr>
          </w:p>
        </w:tc>
      </w:tr>
      <w:tr>
        <w:trPr>
          <w:trHeight w:val="250"/>
        </w:trPr>
        <w:tc>
          <w:tcPr>
            <w:tcW w:w="40" w:type="dxa"/>
            <w:vAlign w:val="bottom"/>
            <w:tcBorders>
              <w:bottom w:val="single" w:sz="8" w:color="CEFFE7"/>
            </w:tcBorders>
          </w:tcPr>
          <w:p>
            <w:pPr>
              <w:spacing w:after="0"/>
              <w:rPr>
                <w:sz w:val="21"/>
                <w:szCs w:val="21"/>
                <w:color w:val="auto"/>
              </w:rPr>
            </w:pPr>
          </w:p>
        </w:tc>
        <w:tc>
          <w:tcPr>
            <w:tcW w:w="940" w:type="dxa"/>
            <w:vAlign w:val="bottom"/>
            <w:tcBorders>
              <w:bottom w:val="single" w:sz="8" w:color="CEFFE7"/>
            </w:tcBorders>
          </w:tcPr>
          <w:p>
            <w:pPr>
              <w:spacing w:after="0"/>
              <w:rPr>
                <w:sz w:val="21"/>
                <w:szCs w:val="21"/>
                <w:color w:val="auto"/>
              </w:rPr>
            </w:pPr>
          </w:p>
        </w:tc>
        <w:tc>
          <w:tcPr>
            <w:tcW w:w="240" w:type="dxa"/>
            <w:vAlign w:val="bottom"/>
            <w:tcBorders>
              <w:bottom w:val="single" w:sz="8" w:color="CEFFE7"/>
            </w:tcBorders>
          </w:tcPr>
          <w:p>
            <w:pPr>
              <w:spacing w:after="0"/>
              <w:rPr>
                <w:sz w:val="21"/>
                <w:szCs w:val="21"/>
                <w:color w:val="auto"/>
              </w:rPr>
            </w:pPr>
          </w:p>
        </w:tc>
        <w:tc>
          <w:tcPr>
            <w:tcW w:w="3420" w:type="dxa"/>
            <w:vAlign w:val="bottom"/>
            <w:tcBorders>
              <w:bottom w:val="single" w:sz="8" w:color="CEFFE7"/>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r>
      <w:tr>
        <w:trPr>
          <w:trHeight w:val="263"/>
        </w:trPr>
        <w:tc>
          <w:tcPr>
            <w:tcW w:w="46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8"/>
                <w:szCs w:val="18"/>
                <w:color w:val="auto"/>
              </w:rPr>
              <w:t>Gross margin (non-GAAP)</w:t>
            </w:r>
          </w:p>
        </w:tc>
        <w:tc>
          <w:tcPr>
            <w:tcW w:w="240" w:type="dxa"/>
            <w:vAlign w:val="bottom"/>
            <w:tcBorders>
              <w:bottom w:val="single" w:sz="8" w:color="CEFFE7"/>
            </w:tcBorders>
            <w:shd w:val="clear" w:color="auto" w:fill="CEFFE7"/>
          </w:tcPr>
          <w:p>
            <w:pPr>
              <w:spacing w:after="0"/>
              <w:rPr>
                <w:sz w:val="22"/>
                <w:szCs w:val="22"/>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104,147</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104,226</w:t>
            </w:r>
          </w:p>
        </w:tc>
        <w:tc>
          <w:tcPr>
            <w:tcW w:w="20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EFFE7"/>
            </w:tcBorders>
            <w:shd w:val="clear" w:color="auto" w:fill="CEFFE7"/>
          </w:tcPr>
          <w:p>
            <w:pPr>
              <w:spacing w:after="0"/>
              <w:rPr>
                <w:sz w:val="22"/>
                <w:szCs w:val="22"/>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213,826</w:t>
            </w:r>
          </w:p>
        </w:tc>
        <w:tc>
          <w:tcPr>
            <w:tcW w:w="100" w:type="dxa"/>
            <w:vAlign w:val="bottom"/>
            <w:tcBorders>
              <w:bottom w:val="single" w:sz="8" w:color="CEFFE7"/>
            </w:tcBorders>
            <w:shd w:val="clear" w:color="auto" w:fill="CEFFE7"/>
          </w:tcPr>
          <w:p>
            <w:pPr>
              <w:spacing w:after="0"/>
              <w:rPr>
                <w:sz w:val="22"/>
                <w:szCs w:val="22"/>
                <w:color w:val="auto"/>
              </w:rPr>
            </w:pPr>
          </w:p>
        </w:tc>
        <w:tc>
          <w:tcPr>
            <w:tcW w:w="22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213,870</w:t>
            </w:r>
          </w:p>
        </w:tc>
        <w:tc>
          <w:tcPr>
            <w:tcW w:w="24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EFFE7"/>
            </w:tcBorders>
            <w:shd w:val="clear" w:color="auto" w:fill="CEFFE7"/>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50"/>
        </w:trPr>
        <w:tc>
          <w:tcPr>
            <w:tcW w:w="46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47,031</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48,733</w:t>
            </w:r>
          </w:p>
        </w:tc>
        <w:tc>
          <w:tcPr>
            <w:tcW w:w="20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(1,702)</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97,530</w:t>
            </w:r>
          </w:p>
        </w:tc>
        <w:tc>
          <w:tcPr>
            <w:tcW w:w="1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95,877</w:t>
            </w:r>
          </w:p>
        </w:tc>
        <w:tc>
          <w:tcPr>
            <w:tcW w:w="24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1,653</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4640" w:type="dxa"/>
            <w:vAlign w:val="bottom"/>
            <w:gridSpan w:val="4"/>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23,123</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21,947</w:t>
            </w:r>
          </w:p>
        </w:tc>
        <w:tc>
          <w:tcPr>
            <w:tcW w:w="2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1,176</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43,427</w:t>
            </w: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3,226</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94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EFFE7"/>
            </w:tcBorders>
            <w:shd w:val="clear" w:color="auto" w:fill="CEFFE7"/>
          </w:tcPr>
          <w:p>
            <w:pPr>
              <w:spacing w:after="0"/>
              <w:rPr>
                <w:sz w:val="22"/>
                <w:szCs w:val="22"/>
                <w:color w:val="auto"/>
              </w:rPr>
            </w:pPr>
          </w:p>
        </w:tc>
        <w:tc>
          <w:tcPr>
            <w:tcW w:w="4600" w:type="dxa"/>
            <w:vAlign w:val="bottom"/>
            <w:tcBorders>
              <w:bottom w:val="single" w:sz="8" w:color="CEFFE7"/>
            </w:tcBorders>
            <w:gridSpan w:val="3"/>
            <w:shd w:val="clear" w:color="auto" w:fill="CEFFE7"/>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EFFE7"/>
            </w:tcBorders>
            <w:shd w:val="clear" w:color="auto" w:fill="CEFFE7"/>
          </w:tcPr>
          <w:p>
            <w:pPr>
              <w:spacing w:after="0"/>
              <w:rPr>
                <w:sz w:val="22"/>
                <w:szCs w:val="22"/>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70,154</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70,680</w:t>
            </w:r>
          </w:p>
        </w:tc>
        <w:tc>
          <w:tcPr>
            <w:tcW w:w="20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(526)</w:t>
            </w:r>
          </w:p>
        </w:tc>
        <w:tc>
          <w:tcPr>
            <w:tcW w:w="280" w:type="dxa"/>
            <w:vAlign w:val="bottom"/>
            <w:tcBorders>
              <w:bottom w:val="single" w:sz="8" w:color="CEFFE7"/>
            </w:tcBorders>
            <w:shd w:val="clear" w:color="auto" w:fill="CEFFE7"/>
          </w:tcPr>
          <w:p>
            <w:pPr>
              <w:spacing w:after="0"/>
              <w:rPr>
                <w:sz w:val="22"/>
                <w:szCs w:val="22"/>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144,183</w:t>
            </w:r>
          </w:p>
        </w:tc>
        <w:tc>
          <w:tcPr>
            <w:tcW w:w="100" w:type="dxa"/>
            <w:vAlign w:val="bottom"/>
            <w:tcBorders>
              <w:bottom w:val="single" w:sz="8" w:color="CEFFE7"/>
            </w:tcBorders>
            <w:shd w:val="clear" w:color="auto" w:fill="CEFFE7"/>
          </w:tcPr>
          <w:p>
            <w:pPr>
              <w:spacing w:after="0"/>
              <w:rPr>
                <w:sz w:val="22"/>
                <w:szCs w:val="22"/>
                <w:color w:val="auto"/>
              </w:rPr>
            </w:pPr>
          </w:p>
        </w:tc>
        <w:tc>
          <w:tcPr>
            <w:tcW w:w="22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139,304</w:t>
            </w:r>
          </w:p>
        </w:tc>
        <w:tc>
          <w:tcPr>
            <w:tcW w:w="24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4,879</w:t>
            </w:r>
          </w:p>
        </w:tc>
        <w:tc>
          <w:tcPr>
            <w:tcW w:w="20" w:type="dxa"/>
            <w:vAlign w:val="bottom"/>
            <w:tcBorders>
              <w:bottom w:val="single" w:sz="8" w:color="CEFFE7"/>
            </w:tcBorders>
            <w:shd w:val="clear" w:color="auto" w:fill="CEFFE7"/>
          </w:tcPr>
          <w:p>
            <w:pPr>
              <w:spacing w:after="0"/>
              <w:rPr>
                <w:sz w:val="22"/>
                <w:szCs w:val="22"/>
                <w:color w:val="auto"/>
              </w:rPr>
            </w:pPr>
          </w:p>
        </w:tc>
      </w:tr>
      <w:tr>
        <w:trPr>
          <w:trHeight w:val="250"/>
        </w:trPr>
        <w:tc>
          <w:tcPr>
            <w:tcW w:w="40" w:type="dxa"/>
            <w:vAlign w:val="bottom"/>
            <w:tcBorders>
              <w:bottom w:val="single" w:sz="8" w:color="CEFFE7"/>
            </w:tcBorders>
          </w:tcPr>
          <w:p>
            <w:pPr>
              <w:spacing w:after="0"/>
              <w:rPr>
                <w:sz w:val="21"/>
                <w:szCs w:val="21"/>
                <w:color w:val="auto"/>
              </w:rPr>
            </w:pPr>
          </w:p>
        </w:tc>
        <w:tc>
          <w:tcPr>
            <w:tcW w:w="940" w:type="dxa"/>
            <w:vAlign w:val="bottom"/>
            <w:tcBorders>
              <w:bottom w:val="single" w:sz="8" w:color="CEFFE7"/>
            </w:tcBorders>
          </w:tcPr>
          <w:p>
            <w:pPr>
              <w:spacing w:after="0"/>
              <w:rPr>
                <w:sz w:val="21"/>
                <w:szCs w:val="21"/>
                <w:color w:val="auto"/>
              </w:rPr>
            </w:pPr>
          </w:p>
        </w:tc>
        <w:tc>
          <w:tcPr>
            <w:tcW w:w="240" w:type="dxa"/>
            <w:vAlign w:val="bottom"/>
            <w:tcBorders>
              <w:bottom w:val="single" w:sz="8" w:color="CEFFE7"/>
            </w:tcBorders>
          </w:tcPr>
          <w:p>
            <w:pPr>
              <w:spacing w:after="0"/>
              <w:rPr>
                <w:sz w:val="21"/>
                <w:szCs w:val="21"/>
                <w:color w:val="auto"/>
              </w:rPr>
            </w:pPr>
          </w:p>
        </w:tc>
        <w:tc>
          <w:tcPr>
            <w:tcW w:w="3420" w:type="dxa"/>
            <w:vAlign w:val="bottom"/>
            <w:tcBorders>
              <w:bottom w:val="single" w:sz="8" w:color="CEFFE7"/>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r>
      <w:tr>
        <w:trPr>
          <w:trHeight w:val="288"/>
        </w:trPr>
        <w:tc>
          <w:tcPr>
            <w:tcW w:w="46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33,993</w:t>
            </w:r>
          </w:p>
        </w:tc>
        <w:tc>
          <w:tcPr>
            <w:tcW w:w="3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33,546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447</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69,643</w:t>
            </w:r>
          </w:p>
        </w:tc>
        <w:tc>
          <w:tcPr>
            <w:tcW w:w="320" w:type="dxa"/>
            <w:vAlign w:val="bottom"/>
            <w:tcBorders>
              <w:bottom w:val="single" w:sz="8" w:color="auto"/>
            </w:tcBorders>
            <w:gridSpan w:val="2"/>
            <w:shd w:val="clear" w:color="auto" w:fill="CEFFE7"/>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74,566</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(4,923)</w:t>
            </w:r>
          </w:p>
        </w:tc>
        <w:tc>
          <w:tcPr>
            <w:tcW w:w="20" w:type="dxa"/>
            <w:vAlign w:val="bottom"/>
            <w:tcBorders>
              <w:bottom w:val="single" w:sz="8" w:color="auto"/>
            </w:tcBorders>
            <w:shd w:val="clear" w:color="auto" w:fill="CEFFE7"/>
          </w:tcPr>
          <w:p>
            <w:pPr>
              <w:spacing w:after="0"/>
              <w:rPr>
                <w:sz w:val="24"/>
                <w:szCs w:val="24"/>
                <w:color w:val="auto"/>
              </w:rPr>
            </w:pPr>
          </w:p>
        </w:tc>
      </w:tr>
      <w:tr>
        <w:trPr>
          <w:trHeight w:val="20"/>
        </w:trPr>
        <w:tc>
          <w:tcPr>
            <w:tcW w:w="40" w:type="dxa"/>
            <w:vAlign w:val="bottom"/>
            <w:tcBorders>
              <w:top w:val="single" w:sz="8" w:color="CEFFE7"/>
            </w:tcBorders>
          </w:tcPr>
          <w:p>
            <w:pPr>
              <w:spacing w:after="0" w:line="20" w:lineRule="exact"/>
              <w:rPr>
                <w:sz w:val="1"/>
                <w:szCs w:val="1"/>
                <w:color w:val="auto"/>
              </w:rPr>
            </w:pPr>
          </w:p>
        </w:tc>
        <w:tc>
          <w:tcPr>
            <w:tcW w:w="940" w:type="dxa"/>
            <w:vAlign w:val="bottom"/>
            <w:tcBorders>
              <w:top w:val="single" w:sz="8" w:color="CEFFE7"/>
            </w:tcBorders>
          </w:tcPr>
          <w:p>
            <w:pPr>
              <w:spacing w:after="0" w:line="20" w:lineRule="exact"/>
              <w:rPr>
                <w:sz w:val="1"/>
                <w:szCs w:val="1"/>
                <w:color w:val="auto"/>
              </w:rPr>
            </w:pPr>
          </w:p>
        </w:tc>
        <w:tc>
          <w:tcPr>
            <w:tcW w:w="3660" w:type="dxa"/>
            <w:vAlign w:val="bottom"/>
            <w:tcBorders>
              <w:top w:val="single" w:sz="8" w:color="CEFFE7"/>
            </w:tcBorders>
            <w:gridSpan w:val="2"/>
          </w:tcPr>
          <w:p>
            <w:pPr>
              <w:spacing w:after="0" w:line="20" w:lineRule="exact"/>
              <w:rPr>
                <w:sz w:val="1"/>
                <w:szCs w:val="1"/>
                <w:color w:val="auto"/>
              </w:rPr>
            </w:pPr>
          </w:p>
        </w:tc>
        <w:tc>
          <w:tcPr>
            <w:tcW w:w="2360" w:type="dxa"/>
            <w:vAlign w:val="bottom"/>
            <w:tcBorders>
              <w:top w:val="single" w:sz="8" w:color="CEFFE7"/>
              <w:bottom w:val="single" w:sz="8" w:color="auto"/>
            </w:tcBorders>
            <w:gridSpan w:val="5"/>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r>
      <w:tr>
        <w:trPr>
          <w:trHeight w:val="514"/>
        </w:trPr>
        <w:tc>
          <w:tcPr>
            <w:tcW w:w="7000" w:type="dxa"/>
            <w:vAlign w:val="bottom"/>
            <w:gridSpan w:val="9"/>
          </w:tcPr>
          <w:p>
            <w:pPr>
              <w:spacing w:after="0"/>
              <w:rPr>
                <w:sz w:val="20"/>
                <w:szCs w:val="20"/>
                <w:color w:val="auto"/>
              </w:rPr>
            </w:pPr>
            <w:r>
              <w:rPr>
                <w:rFonts w:ascii="Arial" w:cs="Arial" w:eastAsia="Arial" w:hAnsi="Arial"/>
                <w:sz w:val="18"/>
                <w:szCs w:val="18"/>
                <w:b w:val="1"/>
                <w:bCs w:val="1"/>
                <w:color w:val="auto"/>
                <w:w w:val="91"/>
              </w:rPr>
              <w:t>Three Months Ended June 30, 2020 Compared to the Three Months Ended June 30, 2019:</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6800" w:type="dxa"/>
            <w:vAlign w:val="bottom"/>
            <w:gridSpan w:val="8"/>
          </w:tcPr>
          <w:p>
            <w:pPr>
              <w:spacing w:after="0"/>
              <w:rPr>
                <w:sz w:val="20"/>
                <w:szCs w:val="20"/>
                <w:color w:val="auto"/>
              </w:rPr>
            </w:pPr>
            <w:r>
              <w:rPr>
                <w:rFonts w:ascii="Arial" w:cs="Arial" w:eastAsia="Arial" w:hAnsi="Arial"/>
                <w:sz w:val="18"/>
                <w:szCs w:val="18"/>
                <w:color w:val="auto"/>
                <w:w w:val="89"/>
              </w:rPr>
              <w:t>Gross margin for the three months ended June 30, 2020 decreased as a result of the following:</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4"/>
          </w:tcPr>
          <w:p>
            <w:pPr>
              <w:jc w:val="right"/>
              <w:ind w:right="660"/>
              <w:spacing w:after="0"/>
              <w:rPr>
                <w:sz w:val="20"/>
                <w:szCs w:val="20"/>
                <w:color w:val="auto"/>
              </w:rPr>
            </w:pPr>
            <w:r>
              <w:rPr>
                <w:rFonts w:ascii="Arial" w:cs="Arial" w:eastAsia="Arial" w:hAnsi="Arial"/>
                <w:sz w:val="18"/>
                <w:szCs w:val="18"/>
                <w:color w:val="auto"/>
              </w:rPr>
              <w:t>(in millions)</w:t>
            </w:r>
          </w:p>
        </w:tc>
      </w:tr>
      <w:tr>
        <w:trPr>
          <w:trHeight w:val="27"/>
        </w:trPr>
        <w:tc>
          <w:tcPr>
            <w:tcW w:w="40" w:type="dxa"/>
            <w:vAlign w:val="bottom"/>
          </w:tcPr>
          <w:p>
            <w:pPr>
              <w:spacing w:after="0"/>
              <w:rPr>
                <w:sz w:val="2"/>
                <w:szCs w:val="2"/>
                <w:color w:val="auto"/>
              </w:rPr>
            </w:pPr>
          </w:p>
        </w:tc>
        <w:tc>
          <w:tcPr>
            <w:tcW w:w="46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4600" w:type="dxa"/>
            <w:vAlign w:val="bottom"/>
            <w:gridSpan w:val="3"/>
            <w:shd w:val="clear" w:color="auto" w:fill="CEFFE7"/>
          </w:tcPr>
          <w:p>
            <w:pPr>
              <w:spacing w:after="0"/>
              <w:rPr>
                <w:sz w:val="20"/>
                <w:szCs w:val="20"/>
                <w:color w:val="auto"/>
              </w:rPr>
            </w:pPr>
            <w:r>
              <w:rPr>
                <w:rFonts w:ascii="Arial" w:cs="Arial" w:eastAsia="Arial" w:hAnsi="Arial"/>
                <w:sz w:val="18"/>
                <w:szCs w:val="18"/>
                <w:color w:val="auto"/>
              </w:rPr>
              <w:t xml:space="preserve">COVID-19 impacts </w:t>
            </w:r>
            <w:r>
              <w:rPr>
                <w:rFonts w:ascii="Arial" w:cs="Arial" w:eastAsia="Arial" w:hAnsi="Arial"/>
                <w:sz w:val="23"/>
                <w:szCs w:val="23"/>
                <w:color w:val="auto"/>
                <w:vertAlign w:val="superscript"/>
              </w:rPr>
              <w:t>(a)</w:t>
            </w:r>
          </w:p>
        </w:tc>
        <w:tc>
          <w:tcPr>
            <w:tcW w:w="240" w:type="dxa"/>
            <w:vAlign w:val="bottom"/>
            <w:shd w:val="clear" w:color="auto" w:fill="CEFFE7"/>
          </w:tcPr>
          <w:p>
            <w:pPr>
              <w:spacing w:after="0"/>
              <w:rPr>
                <w:sz w:val="22"/>
                <w:szCs w:val="22"/>
                <w:color w:val="auto"/>
              </w:rPr>
            </w:pPr>
          </w:p>
        </w:tc>
        <w:tc>
          <w:tcPr>
            <w:tcW w:w="780" w:type="dxa"/>
            <w:vAlign w:val="bottom"/>
            <w:shd w:val="clear" w:color="auto" w:fill="CEFFE7"/>
          </w:tcPr>
          <w:p>
            <w:pPr>
              <w:spacing w:after="0"/>
              <w:rPr>
                <w:sz w:val="22"/>
                <w:szCs w:val="22"/>
                <w:color w:val="auto"/>
              </w:rPr>
            </w:pPr>
          </w:p>
        </w:tc>
        <w:tc>
          <w:tcPr>
            <w:tcW w:w="300" w:type="dxa"/>
            <w:vAlign w:val="bottom"/>
            <w:shd w:val="clear" w:color="auto" w:fill="CEFFE7"/>
          </w:tcPr>
          <w:p>
            <w:pPr>
              <w:spacing w:after="0"/>
              <w:rPr>
                <w:sz w:val="22"/>
                <w:szCs w:val="22"/>
                <w:color w:val="auto"/>
              </w:rPr>
            </w:pPr>
          </w:p>
        </w:tc>
        <w:tc>
          <w:tcPr>
            <w:tcW w:w="840" w:type="dxa"/>
            <w:vAlign w:val="bottom"/>
            <w:shd w:val="clear" w:color="auto" w:fill="CEFFE7"/>
          </w:tcPr>
          <w:p>
            <w:pPr>
              <w:spacing w:after="0"/>
              <w:rPr>
                <w:sz w:val="22"/>
                <w:szCs w:val="22"/>
                <w:color w:val="auto"/>
              </w:rPr>
            </w:pPr>
          </w:p>
        </w:tc>
        <w:tc>
          <w:tcPr>
            <w:tcW w:w="200" w:type="dxa"/>
            <w:vAlign w:val="bottom"/>
            <w:shd w:val="clear" w:color="auto" w:fill="CEFFE7"/>
          </w:tcPr>
          <w:p>
            <w:pPr>
              <w:spacing w:after="0"/>
              <w:rPr>
                <w:sz w:val="22"/>
                <w:szCs w:val="22"/>
                <w:color w:val="auto"/>
              </w:rPr>
            </w:pPr>
          </w:p>
        </w:tc>
        <w:tc>
          <w:tcPr>
            <w:tcW w:w="880" w:type="dxa"/>
            <w:vAlign w:val="bottom"/>
            <w:shd w:val="clear" w:color="auto" w:fill="CEFFE7"/>
          </w:tcPr>
          <w:p>
            <w:pPr>
              <w:spacing w:after="0"/>
              <w:rPr>
                <w:sz w:val="22"/>
                <w:szCs w:val="22"/>
                <w:color w:val="auto"/>
              </w:rPr>
            </w:pPr>
          </w:p>
        </w:tc>
        <w:tc>
          <w:tcPr>
            <w:tcW w:w="280" w:type="dxa"/>
            <w:vAlign w:val="bottom"/>
            <w:shd w:val="clear" w:color="auto" w:fill="CEFFE7"/>
          </w:tcPr>
          <w:p>
            <w:pPr>
              <w:spacing w:after="0"/>
              <w:rPr>
                <w:sz w:val="22"/>
                <w:szCs w:val="22"/>
                <w:color w:val="auto"/>
              </w:rPr>
            </w:pPr>
          </w:p>
        </w:tc>
        <w:tc>
          <w:tcPr>
            <w:tcW w:w="780" w:type="dxa"/>
            <w:vAlign w:val="bottom"/>
            <w:shd w:val="clear" w:color="auto" w:fill="CEFFE7"/>
          </w:tcPr>
          <w:p>
            <w:pPr>
              <w:spacing w:after="0"/>
              <w:rPr>
                <w:sz w:val="22"/>
                <w:szCs w:val="22"/>
                <w:color w:val="auto"/>
              </w:rPr>
            </w:pPr>
          </w:p>
        </w:tc>
        <w:tc>
          <w:tcPr>
            <w:tcW w:w="320" w:type="dxa"/>
            <w:vAlign w:val="bottom"/>
            <w:gridSpan w:val="2"/>
            <w:shd w:val="clear" w:color="auto" w:fill="CEFFE7"/>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EFFE7"/>
          </w:tcPr>
          <w:p>
            <w:pPr>
              <w:spacing w:after="0"/>
              <w:rPr>
                <w:sz w:val="22"/>
                <w:szCs w:val="22"/>
                <w:color w:val="auto"/>
              </w:rPr>
            </w:pPr>
          </w:p>
        </w:tc>
        <w:tc>
          <w:tcPr>
            <w:tcW w:w="240" w:type="dxa"/>
            <w:vAlign w:val="bottom"/>
            <w:shd w:val="clear" w:color="auto" w:fill="CEFFE7"/>
          </w:tcPr>
          <w:p>
            <w:pPr>
              <w:spacing w:after="0"/>
              <w:rPr>
                <w:sz w:val="22"/>
                <w:szCs w:val="22"/>
                <w:color w:val="auto"/>
              </w:rPr>
            </w:pPr>
          </w:p>
        </w:tc>
        <w:tc>
          <w:tcPr>
            <w:tcW w:w="9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 xml:space="preserve">Rider recovery and true-up </w:t>
            </w:r>
            <w:r>
              <w:rPr>
                <w:rFonts w:ascii="Arial" w:cs="Arial" w:eastAsia="Arial" w:hAnsi="Arial"/>
                <w:sz w:val="23"/>
                <w:szCs w:val="23"/>
                <w:color w:val="auto"/>
                <w:vertAlign w:val="superscript"/>
              </w:rPr>
              <w:t>(b)</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460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8"/>
                <w:szCs w:val="18"/>
                <w:color w:val="auto"/>
              </w:rPr>
              <w:t>Weather</w:t>
            </w: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0" w:type="dxa"/>
            <w:vAlign w:val="bottom"/>
            <w:tcBorders>
              <w:bottom w:val="single" w:sz="8" w:color="CEFFE7"/>
            </w:tcBorders>
            <w:gridSpan w:val="3"/>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300" w:type="dxa"/>
            <w:vAlign w:val="bottom"/>
            <w:tcBorders>
              <w:bottom w:val="single" w:sz="8" w:color="CEFFE7"/>
            </w:tcBorders>
          </w:tcPr>
          <w:p>
            <w:pPr>
              <w:spacing w:after="0"/>
              <w:rPr>
                <w:sz w:val="2"/>
                <w:szCs w:val="2"/>
                <w:color w:val="auto"/>
              </w:rPr>
            </w:pPr>
          </w:p>
        </w:tc>
        <w:tc>
          <w:tcPr>
            <w:tcW w:w="840" w:type="dxa"/>
            <w:vAlign w:val="bottom"/>
            <w:tcBorders>
              <w:bottom w:val="single" w:sz="8" w:color="CEFFE7"/>
            </w:tcBorders>
          </w:tcPr>
          <w:p>
            <w:pPr>
              <w:spacing w:after="0"/>
              <w:rPr>
                <w:sz w:val="2"/>
                <w:szCs w:val="2"/>
                <w:color w:val="auto"/>
              </w:rPr>
            </w:pPr>
          </w:p>
        </w:tc>
        <w:tc>
          <w:tcPr>
            <w:tcW w:w="200" w:type="dxa"/>
            <w:vAlign w:val="bottom"/>
            <w:tcBorders>
              <w:bottom w:val="single" w:sz="8" w:color="CEFFE7"/>
            </w:tcBorders>
          </w:tcPr>
          <w:p>
            <w:pPr>
              <w:spacing w:after="0"/>
              <w:rPr>
                <w:sz w:val="2"/>
                <w:szCs w:val="2"/>
                <w:color w:val="auto"/>
              </w:rPr>
            </w:pPr>
          </w:p>
        </w:tc>
        <w:tc>
          <w:tcPr>
            <w:tcW w:w="88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40" w:type="dxa"/>
            <w:vAlign w:val="bottom"/>
          </w:tcPr>
          <w:p>
            <w:pPr>
              <w:spacing w:after="0"/>
              <w:rPr>
                <w:sz w:val="24"/>
                <w:szCs w:val="24"/>
                <w:color w:val="auto"/>
              </w:rPr>
            </w:pPr>
          </w:p>
        </w:tc>
        <w:tc>
          <w:tcPr>
            <w:tcW w:w="4600" w:type="dxa"/>
            <w:vAlign w:val="bottom"/>
            <w:gridSpan w:val="3"/>
            <w:shd w:val="clear" w:color="auto" w:fill="CEFFE7"/>
          </w:tcPr>
          <w:p>
            <w:pPr>
              <w:spacing w:after="0"/>
              <w:rPr>
                <w:sz w:val="20"/>
                <w:szCs w:val="20"/>
                <w:color w:val="auto"/>
              </w:rPr>
            </w:pPr>
            <w:r>
              <w:rPr>
                <w:rFonts w:ascii="Arial" w:cs="Arial" w:eastAsia="Arial" w:hAnsi="Arial"/>
                <w:sz w:val="18"/>
                <w:szCs w:val="18"/>
                <w:color w:val="auto"/>
              </w:rPr>
              <w:t>Total decrease in Gross margin (non-GAAP)</w:t>
            </w:r>
          </w:p>
        </w:tc>
        <w:tc>
          <w:tcPr>
            <w:tcW w:w="240" w:type="dxa"/>
            <w:vAlign w:val="bottom"/>
            <w:shd w:val="clear" w:color="auto" w:fill="CEFFE7"/>
          </w:tcPr>
          <w:p>
            <w:pPr>
              <w:spacing w:after="0"/>
              <w:rPr>
                <w:sz w:val="24"/>
                <w:szCs w:val="24"/>
                <w:color w:val="auto"/>
              </w:rPr>
            </w:pPr>
          </w:p>
        </w:tc>
        <w:tc>
          <w:tcPr>
            <w:tcW w:w="78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780" w:type="dxa"/>
            <w:vAlign w:val="bottom"/>
            <w:shd w:val="clear" w:color="auto" w:fill="CEFFE7"/>
          </w:tcPr>
          <w:p>
            <w:pPr>
              <w:spacing w:after="0"/>
              <w:rPr>
                <w:sz w:val="24"/>
                <w:szCs w:val="24"/>
                <w:color w:val="auto"/>
              </w:rPr>
            </w:pPr>
          </w:p>
        </w:tc>
        <w:tc>
          <w:tcPr>
            <w:tcW w:w="320" w:type="dxa"/>
            <w:vAlign w:val="bottom"/>
            <w:gridSpan w:val="2"/>
            <w:shd w:val="clear" w:color="auto" w:fill="CEFFE7"/>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9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34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tcBorders>
          </w:tcPr>
          <w:p>
            <w:pPr>
              <w:spacing w:after="0" w:line="20" w:lineRule="exact"/>
              <w:rPr>
                <w:sz w:val="1"/>
                <w:szCs w:val="1"/>
                <w:color w:val="auto"/>
              </w:rPr>
            </w:pPr>
          </w:p>
        </w:tc>
        <w:tc>
          <w:tcPr>
            <w:tcW w:w="84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tcBorders>
          </w:tcPr>
          <w:p>
            <w:pPr>
              <w:spacing w:after="0" w:line="20" w:lineRule="exact"/>
              <w:rPr>
                <w:sz w:val="1"/>
                <w:szCs w:val="1"/>
                <w:color w:val="auto"/>
              </w:rPr>
            </w:pPr>
          </w:p>
        </w:tc>
        <w:tc>
          <w:tcPr>
            <w:tcW w:w="88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impacts to Electric Utilities gross margin from COVID-19 were driven by reduced commercial volumes partially offset by higher residential usage.</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Gross margin decreased due to a $2.5 million rider true-up, which was partially offset by $1.2 million of increased rider recovery.</w:t>
      </w:r>
    </w:p>
    <w:p>
      <w:pPr>
        <w:spacing w:after="0" w:line="23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lower generation expenses driven by timing of planned outages and lower employee costs. COVID-19 impacts to operations and maintenance expense included $1.6 million of expenses related to the sequestration of essential employees and $0.5 million of additional bad debt expense which were offset by $2.0 million of lower travel, training and outside services related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year and current year capital expenditures.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the Six Months Ended June 30,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six months ended June 30, 2020 remained constant as a result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7"/>
        </w:trPr>
        <w:tc>
          <w:tcPr>
            <w:tcW w:w="9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9000" w:type="dxa"/>
            <w:vAlign w:val="bottom"/>
            <w:shd w:val="clear" w:color="auto" w:fill="CEFFE7"/>
          </w:tcPr>
          <w:p>
            <w:pPr>
              <w:spacing w:after="0"/>
              <w:rPr>
                <w:sz w:val="20"/>
                <w:szCs w:val="20"/>
                <w:color w:val="auto"/>
              </w:rPr>
            </w:pPr>
            <w:r>
              <w:rPr>
                <w:rFonts w:ascii="Arial" w:cs="Arial" w:eastAsia="Arial" w:hAnsi="Arial"/>
                <w:sz w:val="18"/>
                <w:szCs w:val="18"/>
                <w:color w:val="auto"/>
              </w:rPr>
              <w:t xml:space="preserve">COVID-19 impacts </w:t>
            </w:r>
            <w:r>
              <w:rPr>
                <w:rFonts w:ascii="Arial" w:cs="Arial" w:eastAsia="Arial" w:hAnsi="Arial"/>
                <w:sz w:val="23"/>
                <w:szCs w:val="23"/>
                <w:color w:val="auto"/>
                <w:vertAlign w:val="superscript"/>
              </w:rPr>
              <w:t>(a)</w:t>
            </w:r>
          </w:p>
        </w:tc>
        <w:tc>
          <w:tcPr>
            <w:tcW w:w="36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9000" w:type="dxa"/>
            <w:vAlign w:val="bottom"/>
          </w:tcPr>
          <w:p>
            <w:pPr>
              <w:spacing w:after="0"/>
              <w:rPr>
                <w:sz w:val="20"/>
                <w:szCs w:val="20"/>
                <w:color w:val="auto"/>
              </w:rPr>
            </w:pPr>
            <w:r>
              <w:rPr>
                <w:rFonts w:ascii="Arial" w:cs="Arial" w:eastAsia="Arial" w:hAnsi="Arial"/>
                <w:sz w:val="18"/>
                <w:szCs w:val="18"/>
                <w:color w:val="auto"/>
              </w:rPr>
              <w:t>Off-system power marketing</w:t>
            </w:r>
          </w:p>
        </w:tc>
        <w:tc>
          <w:tcPr>
            <w:tcW w:w="3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9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9000" w:type="dxa"/>
            <w:vAlign w:val="bottom"/>
            <w:shd w:val="clear" w:color="auto" w:fill="CEFFE7"/>
          </w:tcPr>
          <w:p>
            <w:pPr>
              <w:spacing w:after="0"/>
              <w:rPr>
                <w:sz w:val="20"/>
                <w:szCs w:val="20"/>
                <w:color w:val="auto"/>
              </w:rPr>
            </w:pPr>
            <w:r>
              <w:rPr>
                <w:rFonts w:ascii="Arial" w:cs="Arial" w:eastAsia="Arial" w:hAnsi="Arial"/>
                <w:sz w:val="18"/>
                <w:szCs w:val="18"/>
                <w:color w:val="auto"/>
              </w:rPr>
              <w:t xml:space="preserve">Rider recovery and true-up </w:t>
            </w:r>
            <w:r>
              <w:rPr>
                <w:rFonts w:ascii="Arial" w:cs="Arial" w:eastAsia="Arial" w:hAnsi="Arial"/>
                <w:sz w:val="23"/>
                <w:szCs w:val="23"/>
                <w:color w:val="auto"/>
                <w:vertAlign w:val="superscript"/>
              </w:rPr>
              <w:t>(b)</w:t>
            </w:r>
          </w:p>
        </w:tc>
        <w:tc>
          <w:tcPr>
            <w:tcW w:w="360" w:type="dxa"/>
            <w:vAlign w:val="bottom"/>
            <w:shd w:val="clear" w:color="auto" w:fill="CEFFE7"/>
          </w:tcPr>
          <w:p>
            <w:pPr>
              <w:spacing w:after="0"/>
              <w:rPr>
                <w:sz w:val="23"/>
                <w:szCs w:val="23"/>
                <w:color w:val="auto"/>
              </w:rPr>
            </w:pPr>
          </w:p>
        </w:tc>
        <w:tc>
          <w:tcPr>
            <w:tcW w:w="18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9000" w:type="dxa"/>
            <w:vAlign w:val="bottom"/>
          </w:tcPr>
          <w:p>
            <w:pPr>
              <w:spacing w:after="0"/>
              <w:rPr>
                <w:sz w:val="20"/>
                <w:szCs w:val="20"/>
                <w:color w:val="auto"/>
              </w:rPr>
            </w:pPr>
            <w:r>
              <w:rPr>
                <w:rFonts w:ascii="Arial" w:cs="Arial" w:eastAsia="Arial" w:hAnsi="Arial"/>
                <w:sz w:val="18"/>
                <w:szCs w:val="18"/>
                <w:color w:val="auto"/>
              </w:rPr>
              <w:t>Mark-to-market on wholesale energy contracts</w:t>
            </w:r>
          </w:p>
        </w:tc>
        <w:tc>
          <w:tcPr>
            <w:tcW w:w="36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9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0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Weather</w:t>
            </w:r>
          </w:p>
        </w:tc>
        <w:tc>
          <w:tcPr>
            <w:tcW w:w="36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0.6</w:t>
            </w:r>
          </w:p>
        </w:tc>
      </w:tr>
      <w:tr>
        <w:trPr>
          <w:trHeight w:val="243"/>
        </w:trPr>
        <w:tc>
          <w:tcPr>
            <w:tcW w:w="9000" w:type="dxa"/>
            <w:vAlign w:val="bottom"/>
          </w:tcPr>
          <w:p>
            <w:pPr>
              <w:spacing w:after="0"/>
              <w:rPr>
                <w:sz w:val="20"/>
                <w:szCs w:val="20"/>
                <w:color w:val="auto"/>
              </w:rPr>
            </w:pPr>
            <w:r>
              <w:rPr>
                <w:rFonts w:ascii="Arial" w:cs="Arial" w:eastAsia="Arial" w:hAnsi="Arial"/>
                <w:sz w:val="18"/>
                <w:szCs w:val="18"/>
                <w:color w:val="auto"/>
              </w:rPr>
              <w:t>Residential customer growth</w:t>
            </w:r>
          </w:p>
        </w:tc>
        <w:tc>
          <w:tcPr>
            <w:tcW w:w="36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9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90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0.8</w:t>
            </w:r>
          </w:p>
        </w:tc>
      </w:tr>
      <w:tr>
        <w:trPr>
          <w:trHeight w:val="264"/>
        </w:trPr>
        <w:tc>
          <w:tcPr>
            <w:tcW w:w="9000" w:type="dxa"/>
            <w:vAlign w:val="bottom"/>
          </w:tcPr>
          <w:p>
            <w:pPr>
              <w:spacing w:after="0"/>
              <w:rPr>
                <w:sz w:val="20"/>
                <w:szCs w:val="20"/>
                <w:color w:val="auto"/>
              </w:rPr>
            </w:pPr>
            <w:r>
              <w:rPr>
                <w:rFonts w:ascii="Arial" w:cs="Arial" w:eastAsia="Arial" w:hAnsi="Arial"/>
                <w:sz w:val="18"/>
                <w:szCs w:val="18"/>
                <w:color w:val="auto"/>
              </w:rPr>
              <w:t>Total change in Gross margin (non-GAAP)</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impacts to Electric Utilities gross margin from COVID-19 were driven by reduced commercial volumes partially offset by higher residential usage.</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Gross margin decreased due to a $2.5 million rider true-up, which was mostly offset by $2.2 million of increased rider recovery.</w:t>
      </w:r>
    </w:p>
    <w:p>
      <w:pPr>
        <w:spacing w:after="0" w:line="23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$1.4 million of expenses related to the municipalization efforts in Pueblo, Colorado. COVID-19 impacts to operations and maintenance expense included $1.6 million of expenses related to the sequestration of essential employees and $0.6 million of additional bad debt expense which were offset by $2.0 million of lower travel, training and outside services related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year and current year capital expenditures.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ind w:right="319"/>
              <w:spacing w:after="0"/>
              <w:rPr>
                <w:sz w:val="20"/>
                <w:szCs w:val="20"/>
                <w:color w:val="auto"/>
              </w:rPr>
            </w:pPr>
            <w:r>
              <w:rPr>
                <w:rFonts w:ascii="Arial" w:cs="Arial" w:eastAsia="Arial" w:hAnsi="Arial"/>
                <w:sz w:val="16"/>
                <w:szCs w:val="16"/>
                <w:color w:val="auto"/>
              </w:rPr>
              <w:t>Electric Revenue</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gridSpan w:val="2"/>
          </w:tcPr>
          <w:p>
            <w:pPr>
              <w:jc w:val="right"/>
              <w:ind w:right="439"/>
              <w:spacing w:after="0"/>
              <w:rPr>
                <w:sz w:val="20"/>
                <w:szCs w:val="20"/>
                <w:color w:val="auto"/>
              </w:rPr>
            </w:pPr>
            <w:r>
              <w:rPr>
                <w:rFonts w:ascii="Arial" w:cs="Arial" w:eastAsia="Arial" w:hAnsi="Arial"/>
                <w:sz w:val="16"/>
                <w:szCs w:val="16"/>
                <w:color w:val="auto"/>
              </w:rPr>
              <w:t>Quantities Sold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60" w:type="dxa"/>
            <w:vAlign w:val="bottom"/>
            <w:gridSpan w:val="3"/>
          </w:tcPr>
          <w:p>
            <w:pPr>
              <w:jc w:val="right"/>
              <w:ind w:right="399"/>
              <w:spacing w:after="0"/>
              <w:rPr>
                <w:sz w:val="20"/>
                <w:szCs w:val="20"/>
                <w:color w:val="auto"/>
              </w:rPr>
            </w:pPr>
            <w:r>
              <w:rPr>
                <w:rFonts w:ascii="Arial" w:cs="Arial" w:eastAsia="Arial" w:hAnsi="Arial"/>
                <w:sz w:val="16"/>
                <w:szCs w:val="16"/>
                <w:color w:val="auto"/>
              </w:rPr>
              <w:t>(in thousands)</w:t>
            </w: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980" w:type="dxa"/>
            <w:vAlign w:val="bottom"/>
            <w:gridSpan w:val="2"/>
          </w:tcPr>
          <w:p>
            <w:pPr>
              <w:jc w:val="right"/>
              <w:ind w:right="699"/>
              <w:spacing w:after="0"/>
              <w:rPr>
                <w:sz w:val="20"/>
                <w:szCs w:val="20"/>
                <w:color w:val="auto"/>
              </w:rPr>
            </w:pPr>
            <w:r>
              <w:rPr>
                <w:rFonts w:ascii="Arial" w:cs="Arial" w:eastAsia="Arial" w:hAnsi="Arial"/>
                <w:sz w:val="16"/>
                <w:szCs w:val="16"/>
                <w:color w:val="auto"/>
              </w:rPr>
              <w:t>(MWh)</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right"/>
              <w:ind w:right="179"/>
              <w:spacing w:after="0"/>
              <w:rPr>
                <w:sz w:val="20"/>
                <w:szCs w:val="20"/>
                <w:color w:val="auto"/>
              </w:rPr>
            </w:pPr>
            <w:r>
              <w:rPr>
                <w:rFonts w:ascii="Arial" w:cs="Arial" w:eastAsia="Arial" w:hAnsi="Arial"/>
                <w:sz w:val="16"/>
                <w:szCs w:val="16"/>
                <w:color w:val="auto"/>
                <w:w w:val="97"/>
              </w:rPr>
              <w:t>Three Months Ended</w:t>
            </w:r>
          </w:p>
        </w:tc>
        <w:tc>
          <w:tcPr>
            <w:tcW w:w="280" w:type="dxa"/>
            <w:vAlign w:val="bottom"/>
          </w:tcPr>
          <w:p>
            <w:pPr>
              <w:spacing w:after="0"/>
              <w:rPr>
                <w:sz w:val="18"/>
                <w:szCs w:val="18"/>
                <w:color w:val="auto"/>
              </w:rPr>
            </w:pPr>
          </w:p>
        </w:tc>
        <w:tc>
          <w:tcPr>
            <w:tcW w:w="1820" w:type="dxa"/>
            <w:vAlign w:val="bottom"/>
            <w:gridSpan w:val="3"/>
          </w:tcPr>
          <w:p>
            <w:pPr>
              <w:jc w:val="right"/>
              <w:ind w:right="339"/>
              <w:spacing w:after="0"/>
              <w:rPr>
                <w:sz w:val="20"/>
                <w:szCs w:val="20"/>
                <w:color w:val="auto"/>
              </w:rPr>
            </w:pPr>
            <w:r>
              <w:rPr>
                <w:rFonts w:ascii="Arial" w:cs="Arial" w:eastAsia="Arial" w:hAnsi="Arial"/>
                <w:sz w:val="16"/>
                <w:szCs w:val="16"/>
                <w:color w:val="auto"/>
              </w:rPr>
              <w:t>Six Months Ended</w:t>
            </w:r>
          </w:p>
        </w:tc>
        <w:tc>
          <w:tcPr>
            <w:tcW w:w="100" w:type="dxa"/>
            <w:vAlign w:val="bottom"/>
          </w:tcPr>
          <w:p>
            <w:pPr>
              <w:spacing w:after="0"/>
              <w:rPr>
                <w:sz w:val="18"/>
                <w:szCs w:val="18"/>
                <w:color w:val="auto"/>
              </w:rPr>
            </w:pPr>
          </w:p>
        </w:tc>
        <w:tc>
          <w:tcPr>
            <w:tcW w:w="2020" w:type="dxa"/>
            <w:vAlign w:val="bottom"/>
            <w:gridSpan w:val="2"/>
          </w:tcPr>
          <w:p>
            <w:pPr>
              <w:jc w:val="right"/>
              <w:ind w:right="259"/>
              <w:spacing w:after="0"/>
              <w:rPr>
                <w:sz w:val="20"/>
                <w:szCs w:val="20"/>
                <w:color w:val="auto"/>
              </w:rPr>
            </w:pPr>
            <w:r>
              <w:rPr>
                <w:rFonts w:ascii="Arial" w:cs="Arial" w:eastAsia="Arial" w:hAnsi="Arial"/>
                <w:sz w:val="16"/>
                <w:szCs w:val="16"/>
                <w:color w:val="auto"/>
              </w:rPr>
              <w:t>Three Months Ended</w:t>
            </w:r>
          </w:p>
        </w:tc>
        <w:tc>
          <w:tcPr>
            <w:tcW w:w="1980" w:type="dxa"/>
            <w:vAlign w:val="bottom"/>
            <w:gridSpan w:val="2"/>
          </w:tcPr>
          <w:p>
            <w:pPr>
              <w:jc w:val="right"/>
              <w:ind w:right="31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June 30,</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right"/>
              <w:ind w:right="659"/>
              <w:spacing w:after="0"/>
              <w:rPr>
                <w:sz w:val="20"/>
                <w:szCs w:val="20"/>
                <w:color w:val="auto"/>
              </w:rPr>
            </w:pPr>
            <w:r>
              <w:rPr>
                <w:rFonts w:ascii="Arial" w:cs="Arial" w:eastAsia="Arial" w:hAnsi="Arial"/>
                <w:sz w:val="16"/>
                <w:szCs w:val="16"/>
                <w:color w:val="auto"/>
              </w:rPr>
              <w:t>June 30,</w:t>
            </w:r>
          </w:p>
        </w:tc>
        <w:tc>
          <w:tcPr>
            <w:tcW w:w="1980" w:type="dxa"/>
            <w:vAlign w:val="bottom"/>
            <w:gridSpan w:val="2"/>
          </w:tcPr>
          <w:p>
            <w:pPr>
              <w:jc w:val="right"/>
              <w:ind w:right="639"/>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22"/>
                <w:szCs w:val="22"/>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w w:val="95"/>
              </w:rPr>
              <w:t>2019</w:t>
            </w:r>
          </w:p>
        </w:tc>
        <w:tc>
          <w:tcPr>
            <w:tcW w:w="280" w:type="dxa"/>
            <w:vAlign w:val="bottom"/>
          </w:tcPr>
          <w:p>
            <w:pPr>
              <w:spacing w:after="0"/>
              <w:rPr>
                <w:sz w:val="22"/>
                <w:szCs w:val="22"/>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22"/>
                <w:szCs w:val="22"/>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140" w:type="dxa"/>
            <w:vAlign w:val="bottom"/>
            <w:gridSpan w:val="2"/>
          </w:tcPr>
          <w:p>
            <w:pPr>
              <w:jc w:val="right"/>
              <w:ind w:right="299"/>
              <w:spacing w:after="0"/>
              <w:rPr>
                <w:sz w:val="20"/>
                <w:szCs w:val="20"/>
                <w:color w:val="auto"/>
              </w:rPr>
            </w:pPr>
            <w:r>
              <w:rPr>
                <w:rFonts w:ascii="Arial" w:cs="Arial" w:eastAsia="Arial" w:hAnsi="Arial"/>
                <w:sz w:val="16"/>
                <w:szCs w:val="16"/>
                <w:color w:val="auto"/>
              </w:rPr>
              <w:t>2020</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2020</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50,148</w:t>
            </w:r>
          </w:p>
        </w:tc>
        <w:tc>
          <w:tcPr>
            <w:tcW w:w="36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45,700</w:t>
            </w:r>
          </w:p>
        </w:tc>
        <w:tc>
          <w:tcPr>
            <w:tcW w:w="2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104,653</w:t>
            </w:r>
          </w:p>
        </w:tc>
        <w:tc>
          <w:tcPr>
            <w:tcW w:w="36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w w:val="93"/>
              </w:rPr>
              <w:t>103,338</w:t>
            </w:r>
          </w:p>
        </w:tc>
        <w:tc>
          <w:tcPr>
            <w:tcW w:w="1140" w:type="dxa"/>
            <w:vAlign w:val="bottom"/>
            <w:tcBorders>
              <w:bottom w:val="single" w:sz="8" w:color="CEFFE7"/>
            </w:tcBorders>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334,682</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301,481</w:t>
            </w: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707,832</w:t>
            </w:r>
          </w:p>
        </w:tc>
        <w:tc>
          <w:tcPr>
            <w:tcW w:w="9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690,659</w:t>
            </w: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56,400</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59,739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114,223</w:t>
            </w:r>
          </w:p>
        </w:tc>
        <w:tc>
          <w:tcPr>
            <w:tcW w:w="36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w w:val="93"/>
              </w:rPr>
              <w:t>120,702</w:t>
            </w:r>
          </w:p>
        </w:tc>
        <w:tc>
          <w:tcPr>
            <w:tcW w:w="1140" w:type="dxa"/>
            <w:vAlign w:val="bottom"/>
            <w:gridSpan w:val="2"/>
          </w:tcPr>
          <w:p>
            <w:pPr>
              <w:jc w:val="right"/>
              <w:ind w:right="99"/>
              <w:spacing w:after="0"/>
              <w:rPr>
                <w:sz w:val="20"/>
                <w:szCs w:val="20"/>
                <w:color w:val="auto"/>
              </w:rPr>
            </w:pPr>
            <w:r>
              <w:rPr>
                <w:rFonts w:ascii="Arial" w:cs="Arial" w:eastAsia="Arial" w:hAnsi="Arial"/>
                <w:sz w:val="16"/>
                <w:szCs w:val="16"/>
                <w:color w:val="auto"/>
              </w:rPr>
              <w:t>459,632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490,329</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953,940</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995,902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2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31,896</w:t>
            </w:r>
          </w:p>
        </w:tc>
        <w:tc>
          <w:tcPr>
            <w:tcW w:w="360" w:type="dxa"/>
            <w:vAlign w:val="bottom"/>
            <w:tcBorders>
              <w:bottom w:val="single" w:sz="8" w:color="CEFFE7"/>
            </w:tcBorders>
            <w:shd w:val="clear" w:color="auto" w:fill="CEFFE7"/>
          </w:tcPr>
          <w:p>
            <w:pPr>
              <w:spacing w:after="0"/>
              <w:rPr>
                <w:sz w:val="20"/>
                <w:szCs w:val="20"/>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31,697</w:t>
            </w:r>
          </w:p>
        </w:tc>
        <w:tc>
          <w:tcPr>
            <w:tcW w:w="28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64,065</w:t>
            </w:r>
          </w:p>
        </w:tc>
        <w:tc>
          <w:tcPr>
            <w:tcW w:w="36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64,137</w:t>
            </w:r>
          </w:p>
        </w:tc>
        <w:tc>
          <w:tcPr>
            <w:tcW w:w="1140" w:type="dxa"/>
            <w:vAlign w:val="bottom"/>
            <w:tcBorders>
              <w:bottom w:val="single" w:sz="8" w:color="CEFFE7"/>
            </w:tcBorders>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459,533</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445,837</w:t>
            </w: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920,165</w:t>
            </w:r>
          </w:p>
        </w:tc>
        <w:tc>
          <w:tcPr>
            <w:tcW w:w="9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872,451</w:t>
            </w:r>
          </w:p>
        </w:tc>
        <w:tc>
          <w:tcPr>
            <w:tcW w:w="0" w:type="dxa"/>
            <w:vAlign w:val="bottom"/>
          </w:tcPr>
          <w:p>
            <w:pPr>
              <w:spacing w:after="0"/>
              <w:rPr>
                <w:sz w:val="1"/>
                <w:szCs w:val="1"/>
                <w:color w:val="auto"/>
              </w:rPr>
            </w:pPr>
          </w:p>
        </w:tc>
      </w:tr>
      <w:tr>
        <w:trPr>
          <w:trHeight w:val="224"/>
        </w:trPr>
        <w:tc>
          <w:tcPr>
            <w:tcW w:w="2740" w:type="dxa"/>
            <w:vAlign w:val="bottom"/>
          </w:tcPr>
          <w:p>
            <w:pPr>
              <w:ind w:left="20"/>
              <w:spacing w:after="0"/>
              <w:rPr>
                <w:sz w:val="20"/>
                <w:szCs w:val="20"/>
                <w:color w:val="auto"/>
              </w:rPr>
            </w:pPr>
            <w:r>
              <w:rPr>
                <w:rFonts w:ascii="Arial" w:cs="Arial" w:eastAsia="Arial" w:hAnsi="Arial"/>
                <w:sz w:val="16"/>
                <w:szCs w:val="16"/>
                <w:color w:val="auto"/>
              </w:rPr>
              <w:t>Municipal</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4,020</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4,253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7,898</w:t>
            </w:r>
          </w:p>
        </w:tc>
        <w:tc>
          <w:tcPr>
            <w:tcW w:w="36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8,392</w:t>
            </w:r>
          </w:p>
        </w:tc>
        <w:tc>
          <w:tcPr>
            <w:tcW w:w="1140" w:type="dxa"/>
            <w:vAlign w:val="bottom"/>
            <w:gridSpan w:val="2"/>
          </w:tcPr>
          <w:p>
            <w:pPr>
              <w:jc w:val="right"/>
              <w:ind w:right="99"/>
              <w:spacing w:after="0"/>
              <w:rPr>
                <w:sz w:val="20"/>
                <w:szCs w:val="20"/>
                <w:color w:val="auto"/>
              </w:rPr>
            </w:pPr>
            <w:r>
              <w:rPr>
                <w:rFonts w:ascii="Arial" w:cs="Arial" w:eastAsia="Arial" w:hAnsi="Arial"/>
                <w:sz w:val="16"/>
                <w:szCs w:val="16"/>
                <w:color w:val="auto"/>
              </w:rPr>
              <w:t>38,372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38,283</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74,771</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74,919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Subtotal Retail Revenue - Electric</w:t>
            </w:r>
          </w:p>
        </w:tc>
        <w:tc>
          <w:tcPr>
            <w:tcW w:w="22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142,464</w:t>
            </w:r>
          </w:p>
        </w:tc>
        <w:tc>
          <w:tcPr>
            <w:tcW w:w="3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93"/>
              </w:rPr>
              <w:t>141,389</w:t>
            </w:r>
          </w:p>
        </w:tc>
        <w:tc>
          <w:tcPr>
            <w:tcW w:w="28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290,839</w:t>
            </w:r>
          </w:p>
        </w:tc>
        <w:tc>
          <w:tcPr>
            <w:tcW w:w="36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w w:val="93"/>
              </w:rPr>
              <w:t>296,569</w:t>
            </w:r>
          </w:p>
        </w:tc>
        <w:tc>
          <w:tcPr>
            <w:tcW w:w="1140" w:type="dxa"/>
            <w:vAlign w:val="bottom"/>
            <w:tcBorders>
              <w:bottom w:val="single" w:sz="8" w:color="CEFFE7"/>
            </w:tcBorders>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1,292,219</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1,275,930</w:t>
            </w: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2,656,708</w:t>
            </w:r>
          </w:p>
        </w:tc>
        <w:tc>
          <w:tcPr>
            <w:tcW w:w="9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2,633,931</w:t>
            </w:r>
          </w:p>
        </w:tc>
        <w:tc>
          <w:tcPr>
            <w:tcW w:w="0" w:type="dxa"/>
            <w:vAlign w:val="bottom"/>
          </w:tcPr>
          <w:p>
            <w:pPr>
              <w:spacing w:after="0"/>
              <w:rPr>
                <w:sz w:val="1"/>
                <w:szCs w:val="1"/>
                <w:color w:val="auto"/>
              </w:rPr>
            </w:pPr>
          </w:p>
        </w:tc>
      </w:tr>
      <w:tr>
        <w:trPr>
          <w:trHeight w:val="250"/>
        </w:trPr>
        <w:tc>
          <w:tcPr>
            <w:tcW w:w="2740" w:type="dxa"/>
            <w:vAlign w:val="bottom"/>
          </w:tcPr>
          <w:p>
            <w:pPr>
              <w:ind w:left="20"/>
              <w:spacing w:after="0"/>
              <w:rPr>
                <w:sz w:val="20"/>
                <w:szCs w:val="20"/>
                <w:color w:val="auto"/>
              </w:rPr>
            </w:pPr>
            <w:r>
              <w:rPr>
                <w:rFonts w:ascii="Arial" w:cs="Arial" w:eastAsia="Arial" w:hAnsi="Arial"/>
                <w:sz w:val="16"/>
                <w:szCs w:val="16"/>
                <w:color w:val="auto"/>
              </w:rPr>
              <w:t xml:space="preserve">Contract Wholesale </w:t>
            </w:r>
            <w:r>
              <w:rPr>
                <w:rFonts w:ascii="Arial" w:cs="Arial" w:eastAsia="Arial" w:hAnsi="Arial"/>
                <w:sz w:val="21"/>
                <w:szCs w:val="21"/>
                <w:color w:val="auto"/>
                <w:vertAlign w:val="superscript"/>
              </w:rPr>
              <w:t>(a)</w:t>
            </w: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3,470</w:t>
            </w:r>
          </w:p>
        </w:tc>
        <w:tc>
          <w:tcPr>
            <w:tcW w:w="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6,781</w:t>
            </w: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9,023</w:t>
            </w:r>
          </w:p>
        </w:tc>
        <w:tc>
          <w:tcPr>
            <w:tcW w:w="3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15,124</w:t>
            </w:r>
          </w:p>
        </w:tc>
        <w:tc>
          <w:tcPr>
            <w:tcW w:w="100" w:type="dxa"/>
            <w:vAlign w:val="bottom"/>
          </w:tcPr>
          <w:p>
            <w:pPr>
              <w:spacing w:after="0"/>
              <w:rPr>
                <w:sz w:val="21"/>
                <w:szCs w:val="21"/>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87,253</w:t>
            </w: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194,222</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219,031</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417,242</w:t>
            </w:r>
          </w:p>
        </w:tc>
        <w:tc>
          <w:tcPr>
            <w:tcW w:w="0" w:type="dxa"/>
            <w:vAlign w:val="bottom"/>
          </w:tcPr>
          <w:p>
            <w:pPr>
              <w:spacing w:after="0"/>
              <w:rPr>
                <w:sz w:val="1"/>
                <w:szCs w:val="1"/>
                <w:color w:val="auto"/>
              </w:rPr>
            </w:pPr>
          </w:p>
        </w:tc>
      </w:tr>
      <w:tr>
        <w:trPr>
          <w:trHeight w:val="236"/>
        </w:trPr>
        <w:tc>
          <w:tcPr>
            <w:tcW w:w="27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w w:val="96"/>
              </w:rPr>
              <w:t>Off-system/Power Marketing Wholesale</w:t>
            </w:r>
          </w:p>
        </w:tc>
        <w:tc>
          <w:tcPr>
            <w:tcW w:w="22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3,537</w:t>
            </w:r>
          </w:p>
        </w:tc>
        <w:tc>
          <w:tcPr>
            <w:tcW w:w="360" w:type="dxa"/>
            <w:vAlign w:val="bottom"/>
            <w:tcBorders>
              <w:bottom w:val="single" w:sz="8" w:color="CEFFE7"/>
            </w:tcBorders>
            <w:shd w:val="clear" w:color="auto" w:fill="CEFFE7"/>
          </w:tcPr>
          <w:p>
            <w:pPr>
              <w:spacing w:after="0"/>
              <w:rPr>
                <w:sz w:val="20"/>
                <w:szCs w:val="20"/>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3,448</w:t>
            </w:r>
          </w:p>
        </w:tc>
        <w:tc>
          <w:tcPr>
            <w:tcW w:w="28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8,404</w:t>
            </w:r>
          </w:p>
        </w:tc>
        <w:tc>
          <w:tcPr>
            <w:tcW w:w="36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10,140</w:t>
            </w:r>
          </w:p>
        </w:tc>
        <w:tc>
          <w:tcPr>
            <w:tcW w:w="1140" w:type="dxa"/>
            <w:vAlign w:val="bottom"/>
            <w:tcBorders>
              <w:bottom w:val="single" w:sz="8" w:color="CEFFE7"/>
            </w:tcBorders>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136,311</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135,091</w:t>
            </w: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302,096</w:t>
            </w:r>
          </w:p>
        </w:tc>
        <w:tc>
          <w:tcPr>
            <w:tcW w:w="9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275,941</w:t>
            </w:r>
          </w:p>
        </w:tc>
        <w:tc>
          <w:tcPr>
            <w:tcW w:w="0" w:type="dxa"/>
            <w:vAlign w:val="bottom"/>
          </w:tcPr>
          <w:p>
            <w:pPr>
              <w:spacing w:after="0"/>
              <w:rPr>
                <w:sz w:val="1"/>
                <w:szCs w:val="1"/>
                <w:color w:val="auto"/>
              </w:rPr>
            </w:pPr>
          </w:p>
        </w:tc>
      </w:tr>
      <w:tr>
        <w:trPr>
          <w:trHeight w:val="224"/>
        </w:trPr>
        <w:tc>
          <w:tcPr>
            <w:tcW w:w="274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13,729</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14,736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29,073</w:t>
            </w:r>
          </w:p>
        </w:tc>
        <w:tc>
          <w:tcPr>
            <w:tcW w:w="36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27,448</w:t>
            </w:r>
          </w:p>
        </w:tc>
        <w:tc>
          <w:tcPr>
            <w:tcW w:w="10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Total Revenue and Energy Sold</w:t>
            </w:r>
          </w:p>
        </w:tc>
        <w:tc>
          <w:tcPr>
            <w:tcW w:w="22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163,200</w:t>
            </w:r>
          </w:p>
        </w:tc>
        <w:tc>
          <w:tcPr>
            <w:tcW w:w="360" w:type="dxa"/>
            <w:vAlign w:val="bottom"/>
            <w:tcBorders>
              <w:bottom w:val="single" w:sz="8" w:color="CEFFE7"/>
            </w:tcBorders>
            <w:shd w:val="clear" w:color="auto" w:fill="CEFFE7"/>
          </w:tcPr>
          <w:p>
            <w:pPr>
              <w:spacing w:after="0"/>
              <w:rPr>
                <w:sz w:val="20"/>
                <w:szCs w:val="20"/>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93"/>
              </w:rPr>
              <w:t>166,354</w:t>
            </w:r>
          </w:p>
        </w:tc>
        <w:tc>
          <w:tcPr>
            <w:tcW w:w="28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337,339</w:t>
            </w:r>
          </w:p>
        </w:tc>
        <w:tc>
          <w:tcPr>
            <w:tcW w:w="36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w w:val="93"/>
              </w:rPr>
              <w:t>349,281</w:t>
            </w:r>
          </w:p>
        </w:tc>
        <w:tc>
          <w:tcPr>
            <w:tcW w:w="1140" w:type="dxa"/>
            <w:vAlign w:val="bottom"/>
            <w:tcBorders>
              <w:bottom w:val="single" w:sz="8" w:color="CEFFE7"/>
            </w:tcBorders>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1,515,783</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1,605,243</w:t>
            </w: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3,177,835</w:t>
            </w:r>
          </w:p>
        </w:tc>
        <w:tc>
          <w:tcPr>
            <w:tcW w:w="9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3,327,114</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w w:val="91"/>
              </w:rPr>
              <w:t xml:space="preserve">Other Uses, Losses or Generation, net </w:t>
            </w:r>
            <w:r>
              <w:rPr>
                <w:rFonts w:ascii="Arial" w:cs="Arial" w:eastAsia="Arial" w:hAnsi="Arial"/>
                <w:sz w:val="21"/>
                <w:szCs w:val="21"/>
                <w:color w:val="auto"/>
                <w:w w:val="91"/>
                <w:vertAlign w:val="superscript"/>
              </w:rPr>
              <w:t>(b)</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EFFE7"/>
            </w:tcBorders>
          </w:tcPr>
          <w:p>
            <w:pPr>
              <w:spacing w:after="0"/>
              <w:rPr>
                <w:sz w:val="22"/>
                <w:szCs w:val="22"/>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85,185</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89,866</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176,056</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186,866</w:t>
            </w:r>
          </w:p>
        </w:tc>
        <w:tc>
          <w:tcPr>
            <w:tcW w:w="0" w:type="dxa"/>
            <w:vAlign w:val="bottom"/>
          </w:tcPr>
          <w:p>
            <w:pPr>
              <w:spacing w:after="0"/>
              <w:rPr>
                <w:sz w:val="1"/>
                <w:szCs w:val="1"/>
                <w:color w:val="auto"/>
              </w:rPr>
            </w:pPr>
          </w:p>
        </w:tc>
      </w:tr>
      <w:tr>
        <w:trPr>
          <w:trHeight w:val="267"/>
        </w:trPr>
        <w:tc>
          <w:tcPr>
            <w:tcW w:w="2740" w:type="dxa"/>
            <w:vAlign w:val="bottom"/>
            <w:shd w:val="clear" w:color="auto" w:fill="CEFFE7"/>
          </w:tcPr>
          <w:p>
            <w:pPr>
              <w:ind w:left="200"/>
              <w:spacing w:after="0"/>
              <w:rPr>
                <w:sz w:val="20"/>
                <w:szCs w:val="20"/>
                <w:color w:val="auto"/>
              </w:rPr>
            </w:pPr>
            <w:r>
              <w:rPr>
                <w:rFonts w:ascii="Arial" w:cs="Arial" w:eastAsia="Arial" w:hAnsi="Arial"/>
                <w:sz w:val="16"/>
                <w:szCs w:val="16"/>
                <w:color w:val="auto"/>
              </w:rPr>
              <w:t>Total Revenue and Energy</w:t>
            </w:r>
          </w:p>
        </w:tc>
        <w:tc>
          <w:tcPr>
            <w:tcW w:w="220" w:type="dxa"/>
            <w:vAlign w:val="bottom"/>
            <w:shd w:val="clear" w:color="auto" w:fill="CEFFE7"/>
          </w:tcPr>
          <w:p>
            <w:pPr>
              <w:spacing w:after="0"/>
              <w:rPr>
                <w:sz w:val="23"/>
                <w:szCs w:val="23"/>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163,200</w:t>
            </w:r>
          </w:p>
        </w:tc>
        <w:tc>
          <w:tcPr>
            <w:tcW w:w="360" w:type="dxa"/>
            <w:vAlign w:val="bottom"/>
            <w:shd w:val="clear" w:color="auto" w:fill="CEFFE7"/>
          </w:tcPr>
          <w:p>
            <w:pPr>
              <w:spacing w:after="0"/>
              <w:rPr>
                <w:sz w:val="23"/>
                <w:szCs w:val="23"/>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3"/>
              </w:rPr>
              <w:t>166,354</w:t>
            </w:r>
          </w:p>
        </w:tc>
        <w:tc>
          <w:tcPr>
            <w:tcW w:w="280" w:type="dxa"/>
            <w:vAlign w:val="bottom"/>
            <w:shd w:val="clear" w:color="auto" w:fill="CEFFE7"/>
          </w:tcPr>
          <w:p>
            <w:pPr>
              <w:spacing w:after="0"/>
              <w:rPr>
                <w:sz w:val="23"/>
                <w:szCs w:val="23"/>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337,339</w:t>
            </w:r>
          </w:p>
        </w:tc>
        <w:tc>
          <w:tcPr>
            <w:tcW w:w="360" w:type="dxa"/>
            <w:vAlign w:val="bottom"/>
            <w:shd w:val="clear" w:color="auto" w:fill="CEFFE7"/>
          </w:tcPr>
          <w:p>
            <w:pPr>
              <w:spacing w:after="0"/>
              <w:rPr>
                <w:sz w:val="23"/>
                <w:szCs w:val="23"/>
                <w:color w:val="auto"/>
              </w:rPr>
            </w:pPr>
          </w:p>
        </w:tc>
        <w:tc>
          <w:tcPr>
            <w:tcW w:w="7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93"/>
              </w:rPr>
              <w:t>349,281</w:t>
            </w:r>
          </w:p>
        </w:tc>
        <w:tc>
          <w:tcPr>
            <w:tcW w:w="1140" w:type="dxa"/>
            <w:vAlign w:val="bottom"/>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1,600,968</w:t>
            </w:r>
          </w:p>
        </w:tc>
        <w:tc>
          <w:tcPr>
            <w:tcW w:w="9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1,695,109</w:t>
            </w:r>
          </w:p>
        </w:tc>
        <w:tc>
          <w:tcPr>
            <w:tcW w:w="10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3,353,891</w:t>
            </w:r>
          </w:p>
        </w:tc>
        <w:tc>
          <w:tcPr>
            <w:tcW w:w="9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3,513,980</w:t>
            </w:r>
          </w:p>
        </w:tc>
        <w:tc>
          <w:tcPr>
            <w:tcW w:w="0" w:type="dxa"/>
            <w:vAlign w:val="bottom"/>
          </w:tcPr>
          <w:p>
            <w:pPr>
              <w:spacing w:after="0"/>
              <w:rPr>
                <w:sz w:val="1"/>
                <w:szCs w:val="1"/>
                <w:color w:val="auto"/>
              </w:rPr>
            </w:pPr>
          </w:p>
        </w:tc>
      </w:tr>
      <w:tr>
        <w:trPr>
          <w:trHeight w:val="20"/>
        </w:trPr>
        <w:tc>
          <w:tcPr>
            <w:tcW w:w="2740" w:type="dxa"/>
            <w:vAlign w:val="bottom"/>
            <w:tcBorders>
              <w:top w:val="single" w:sz="8" w:color="CEFFE7"/>
              <w:bottom w:val="single" w:sz="8" w:color="CEFFE7"/>
            </w:tcBorders>
            <w:vMerge w:val="restart"/>
          </w:tcPr>
          <w:p>
            <w:pPr>
              <w:ind w:left="20"/>
              <w:spacing w:after="0"/>
              <w:rPr>
                <w:sz w:val="20"/>
                <w:szCs w:val="20"/>
                <w:color w:val="auto"/>
              </w:rPr>
            </w:pPr>
            <w:r>
              <w:rPr>
                <w:rFonts w:ascii="Arial" w:cs="Arial" w:eastAsia="Arial" w:hAnsi="Arial"/>
                <w:sz w:val="16"/>
                <w:szCs w:val="16"/>
                <w:color w:val="auto"/>
                <w:w w:val="98"/>
              </w:rPr>
              <w:t>Less cost of fuel and purchased power</w:t>
            </w:r>
          </w:p>
        </w:tc>
        <w:tc>
          <w:tcPr>
            <w:tcW w:w="220" w:type="dxa"/>
            <w:vAlign w:val="bottom"/>
            <w:tcBorders>
              <w:top w:val="single" w:sz="8" w:color="CEFFE7"/>
            </w:tcBorders>
          </w:tcPr>
          <w:p>
            <w:pPr>
              <w:spacing w:after="0" w:line="20" w:lineRule="exact"/>
              <w:rPr>
                <w:sz w:val="1"/>
                <w:szCs w:val="1"/>
                <w:color w:val="auto"/>
              </w:rPr>
            </w:pPr>
          </w:p>
        </w:tc>
        <w:tc>
          <w:tcPr>
            <w:tcW w:w="74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6"/>
                <w:szCs w:val="16"/>
                <w:color w:val="auto"/>
              </w:rPr>
              <w:t>59,053</w:t>
            </w:r>
          </w:p>
        </w:tc>
        <w:tc>
          <w:tcPr>
            <w:tcW w:w="360" w:type="dxa"/>
            <w:vAlign w:val="bottom"/>
            <w:tcBorders>
              <w:top w:val="single" w:sz="8" w:color="CEFFE7"/>
            </w:tcBorders>
          </w:tcPr>
          <w:p>
            <w:pPr>
              <w:spacing w:after="0" w:line="20" w:lineRule="exact"/>
              <w:rPr>
                <w:sz w:val="1"/>
                <w:szCs w:val="1"/>
                <w:color w:val="auto"/>
              </w:rPr>
            </w:pPr>
          </w:p>
        </w:tc>
        <w:tc>
          <w:tcPr>
            <w:tcW w:w="64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6"/>
                <w:szCs w:val="16"/>
                <w:color w:val="auto"/>
              </w:rPr>
              <w:t>62,128</w:t>
            </w:r>
          </w:p>
        </w:tc>
        <w:tc>
          <w:tcPr>
            <w:tcW w:w="280" w:type="dxa"/>
            <w:vAlign w:val="bottom"/>
            <w:tcBorders>
              <w:top w:val="single" w:sz="8" w:color="CEFFE7"/>
            </w:tcBorders>
          </w:tcPr>
          <w:p>
            <w:pPr>
              <w:spacing w:after="0" w:line="20" w:lineRule="exact"/>
              <w:rPr>
                <w:sz w:val="1"/>
                <w:szCs w:val="1"/>
                <w:color w:val="auto"/>
              </w:rPr>
            </w:pPr>
          </w:p>
        </w:tc>
        <w:tc>
          <w:tcPr>
            <w:tcW w:w="74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6"/>
                <w:szCs w:val="16"/>
                <w:color w:val="auto"/>
              </w:rPr>
              <w:t>123,513</w:t>
            </w:r>
          </w:p>
        </w:tc>
        <w:tc>
          <w:tcPr>
            <w:tcW w:w="360" w:type="dxa"/>
            <w:vAlign w:val="bottom"/>
            <w:tcBorders>
              <w:top w:val="single" w:sz="8" w:color="CEFFE7"/>
            </w:tcBorders>
          </w:tcPr>
          <w:p>
            <w:pPr>
              <w:spacing w:after="0" w:line="20" w:lineRule="exact"/>
              <w:rPr>
                <w:sz w:val="1"/>
                <w:szCs w:val="1"/>
                <w:color w:val="auto"/>
              </w:rPr>
            </w:pPr>
          </w:p>
        </w:tc>
        <w:tc>
          <w:tcPr>
            <w:tcW w:w="720" w:type="dxa"/>
            <w:vAlign w:val="bottom"/>
            <w:tcBorders>
              <w:top w:val="single" w:sz="8" w:color="CEFFE7"/>
              <w:bottom w:val="single" w:sz="8" w:color="CEFFE7"/>
            </w:tcBorders>
            <w:vMerge w:val="restart"/>
          </w:tcPr>
          <w:p>
            <w:pPr>
              <w:jc w:val="right"/>
              <w:ind w:right="79"/>
              <w:spacing w:after="0"/>
              <w:rPr>
                <w:sz w:val="20"/>
                <w:szCs w:val="20"/>
                <w:color w:val="auto"/>
              </w:rPr>
            </w:pPr>
            <w:r>
              <w:rPr>
                <w:rFonts w:ascii="Arial" w:cs="Arial" w:eastAsia="Arial" w:hAnsi="Arial"/>
                <w:sz w:val="16"/>
                <w:szCs w:val="16"/>
                <w:color w:val="auto"/>
                <w:w w:val="93"/>
              </w:rPr>
              <w:t>135,411</w:t>
            </w:r>
          </w:p>
        </w:tc>
        <w:tc>
          <w:tcPr>
            <w:tcW w:w="10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74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040" w:type="dxa"/>
            <w:vAlign w:val="bottom"/>
            <w:tcBorders>
              <w:bottom w:val="single" w:sz="8" w:color="CEFFE7"/>
            </w:tcBorders>
          </w:tcPr>
          <w:p>
            <w:pPr>
              <w:spacing w:after="0"/>
              <w:rPr>
                <w:sz w:val="2"/>
                <w:szCs w:val="2"/>
                <w:color w:val="auto"/>
              </w:rPr>
            </w:pPr>
          </w:p>
        </w:tc>
        <w:tc>
          <w:tcPr>
            <w:tcW w:w="980" w:type="dxa"/>
            <w:vAlign w:val="bottom"/>
            <w:tcBorders>
              <w:bottom w:val="single" w:sz="8" w:color="CEFFE7"/>
            </w:tcBorders>
          </w:tcPr>
          <w:p>
            <w:pPr>
              <w:spacing w:after="0"/>
              <w:rPr>
                <w:sz w:val="2"/>
                <w:szCs w:val="2"/>
                <w:color w:val="auto"/>
              </w:rPr>
            </w:pPr>
          </w:p>
        </w:tc>
        <w:tc>
          <w:tcPr>
            <w:tcW w:w="1000" w:type="dxa"/>
            <w:vAlign w:val="bottom"/>
            <w:tcBorders>
              <w:bottom w:val="single" w:sz="8" w:color="CEFFE7"/>
            </w:tcBorders>
          </w:tcPr>
          <w:p>
            <w:pPr>
              <w:spacing w:after="0"/>
              <w:rPr>
                <w:sz w:val="2"/>
                <w:szCs w:val="2"/>
                <w:color w:val="auto"/>
              </w:rPr>
            </w:pPr>
          </w:p>
        </w:tc>
        <w:tc>
          <w:tcPr>
            <w:tcW w:w="98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74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Gross Margin (non-GAAP)</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104,147</w:t>
            </w:r>
          </w:p>
        </w:tc>
        <w:tc>
          <w:tcPr>
            <w:tcW w:w="36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3"/>
              </w:rPr>
              <w:t>104,226</w:t>
            </w:r>
          </w:p>
        </w:tc>
        <w:tc>
          <w:tcPr>
            <w:tcW w:w="2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213,826</w:t>
            </w:r>
          </w:p>
        </w:tc>
        <w:tc>
          <w:tcPr>
            <w:tcW w:w="36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93"/>
              </w:rPr>
              <w:t>213,870</w:t>
            </w:r>
          </w:p>
        </w:tc>
        <w:tc>
          <w:tcPr>
            <w:tcW w:w="1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CEFFE7"/>
            </w:tcBorders>
          </w:tcPr>
          <w:p>
            <w:pPr>
              <w:spacing w:after="0" w:line="20" w:lineRule="exact"/>
              <w:rPr>
                <w:sz w:val="1"/>
                <w:szCs w:val="1"/>
                <w:color w:val="auto"/>
              </w:rPr>
            </w:pPr>
          </w:p>
        </w:tc>
        <w:tc>
          <w:tcPr>
            <w:tcW w:w="98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tcBorders>
          </w:tcPr>
          <w:p>
            <w:pPr>
              <w:spacing w:after="0" w:line="20" w:lineRule="exact"/>
              <w:rPr>
                <w:sz w:val="1"/>
                <w:szCs w:val="1"/>
                <w:color w:val="auto"/>
              </w:rPr>
            </w:pPr>
          </w:p>
        </w:tc>
        <w:tc>
          <w:tcPr>
            <w:tcW w:w="98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0"/>
        </w:trPr>
        <w:tc>
          <w:tcPr>
            <w:tcW w:w="4240" w:type="dxa"/>
            <w:vAlign w:val="bottom"/>
            <w:gridSpan w:val="2"/>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4"/>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4"/>
          </w:tcPr>
          <w:p>
            <w:pPr>
              <w:jc w:val="center"/>
              <w:ind w:right="400"/>
              <w:spacing w:after="0"/>
              <w:rPr>
                <w:sz w:val="20"/>
                <w:szCs w:val="20"/>
                <w:color w:val="auto"/>
              </w:rPr>
            </w:pPr>
            <w:r>
              <w:rPr>
                <w:rFonts w:ascii="Arial" w:cs="Arial" w:eastAsia="Arial" w:hAnsi="Arial"/>
                <w:sz w:val="16"/>
                <w:szCs w:val="16"/>
                <w:color w:val="auto"/>
                <w:w w:val="92"/>
              </w:rPr>
              <w:t>Electric Revenue</w:t>
            </w:r>
          </w:p>
        </w:tc>
        <w:tc>
          <w:tcPr>
            <w:tcW w:w="120" w:type="dxa"/>
            <w:vAlign w:val="bottom"/>
          </w:tcPr>
          <w:p>
            <w:pPr>
              <w:spacing w:after="0"/>
              <w:rPr>
                <w:sz w:val="24"/>
                <w:szCs w:val="24"/>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16"/>
                <w:szCs w:val="16"/>
                <w:color w:val="auto"/>
                <w:w w:val="95"/>
              </w:rPr>
              <w:t>Gross Margin (non-GAAP) (in</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4"/>
          </w:tcPr>
          <w:p>
            <w:pPr>
              <w:jc w:val="center"/>
              <w:ind w:right="360"/>
              <w:spacing w:after="0"/>
              <w:rPr>
                <w:sz w:val="20"/>
                <w:szCs w:val="20"/>
                <w:color w:val="auto"/>
              </w:rPr>
            </w:pPr>
            <w:r>
              <w:rPr>
                <w:rFonts w:ascii="Arial" w:cs="Arial" w:eastAsia="Arial" w:hAnsi="Arial"/>
                <w:sz w:val="16"/>
                <w:szCs w:val="16"/>
                <w:color w:val="auto"/>
                <w:w w:val="90"/>
              </w:rPr>
              <w:t>(in thousands)</w:t>
            </w:r>
          </w:p>
        </w:tc>
        <w:tc>
          <w:tcPr>
            <w:tcW w:w="120" w:type="dxa"/>
            <w:vAlign w:val="bottom"/>
          </w:tcPr>
          <w:p>
            <w:pPr>
              <w:spacing w:after="0"/>
              <w:rPr>
                <w:sz w:val="20"/>
                <w:szCs w:val="20"/>
                <w:color w:val="auto"/>
              </w:rPr>
            </w:pPr>
          </w:p>
        </w:tc>
        <w:tc>
          <w:tcPr>
            <w:tcW w:w="1400" w:type="dxa"/>
            <w:vAlign w:val="bottom"/>
            <w:gridSpan w:val="2"/>
          </w:tcPr>
          <w:p>
            <w:pPr>
              <w:jc w:val="center"/>
              <w:ind w:left="539"/>
              <w:spacing w:after="0"/>
              <w:rPr>
                <w:sz w:val="20"/>
                <w:szCs w:val="20"/>
                <w:color w:val="auto"/>
              </w:rPr>
            </w:pPr>
            <w:r>
              <w:rPr>
                <w:rFonts w:ascii="Arial" w:cs="Arial" w:eastAsia="Arial" w:hAnsi="Arial"/>
                <w:sz w:val="16"/>
                <w:szCs w:val="16"/>
                <w:color w:val="auto"/>
                <w:w w:val="88"/>
              </w:rPr>
              <w:t>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jc w:val="right"/>
              <w:ind w:right="159"/>
              <w:spacing w:after="0" w:line="239" w:lineRule="exact"/>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(b)</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Three Months Ended June 30,</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10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EFE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EFE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90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Colorado Electric</w:t>
            </w:r>
          </w:p>
        </w:tc>
        <w:tc>
          <w:tcPr>
            <w:tcW w:w="26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57,897</w:t>
            </w:r>
          </w:p>
        </w:tc>
        <w:tc>
          <w:tcPr>
            <w:tcW w:w="32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rPr>
              <w:t>55,412</w:t>
            </w:r>
          </w:p>
        </w:tc>
        <w:tc>
          <w:tcPr>
            <w:tcW w:w="100" w:type="dxa"/>
            <w:vAlign w:val="bottom"/>
            <w:tcBorders>
              <w:bottom w:val="single" w:sz="8" w:color="CEFEE7"/>
            </w:tcBorders>
            <w:shd w:val="clear" w:color="auto" w:fill="CEFEE7"/>
          </w:tcPr>
          <w:p>
            <w:pPr>
              <w:spacing w:after="0"/>
              <w:rPr>
                <w:sz w:val="20"/>
                <w:szCs w:val="20"/>
                <w:color w:val="auto"/>
              </w:rPr>
            </w:pPr>
          </w:p>
        </w:tc>
        <w:tc>
          <w:tcPr>
            <w:tcW w:w="1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32,455</w:t>
            </w:r>
          </w:p>
        </w:tc>
        <w:tc>
          <w:tcPr>
            <w:tcW w:w="440" w:type="dxa"/>
            <w:vAlign w:val="bottom"/>
            <w:tcBorders>
              <w:bottom w:val="single" w:sz="8" w:color="CEFEE7"/>
            </w:tcBorders>
            <w:shd w:val="clear" w:color="auto" w:fill="CEFEE7"/>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rPr>
              <w:t>31,051</w:t>
            </w:r>
          </w:p>
        </w:tc>
        <w:tc>
          <w:tcPr>
            <w:tcW w:w="100" w:type="dxa"/>
            <w:vAlign w:val="bottom"/>
            <w:tcBorders>
              <w:bottom w:val="single" w:sz="8" w:color="CEFEE7"/>
            </w:tcBorders>
            <w:shd w:val="clear" w:color="auto" w:fill="CEFEE7"/>
          </w:tcPr>
          <w:p>
            <w:pPr>
              <w:spacing w:after="0"/>
              <w:rPr>
                <w:sz w:val="20"/>
                <w:szCs w:val="20"/>
                <w:color w:val="auto"/>
              </w:rPr>
            </w:pPr>
          </w:p>
        </w:tc>
        <w:tc>
          <w:tcPr>
            <w:tcW w:w="1140" w:type="dxa"/>
            <w:vAlign w:val="bottom"/>
            <w:tcBorders>
              <w:bottom w:val="single" w:sz="8" w:color="CEFEE7"/>
            </w:tcBorders>
            <w:shd w:val="clear" w:color="auto" w:fill="CEFEE7"/>
          </w:tcPr>
          <w:p>
            <w:pPr>
              <w:jc w:val="right"/>
              <w:ind w:right="119"/>
              <w:spacing w:after="0"/>
              <w:rPr>
                <w:sz w:val="20"/>
                <w:szCs w:val="20"/>
                <w:color w:val="auto"/>
              </w:rPr>
            </w:pPr>
            <w:r>
              <w:rPr>
                <w:rFonts w:ascii="Arial" w:cs="Arial" w:eastAsia="Arial" w:hAnsi="Arial"/>
                <w:sz w:val="16"/>
                <w:szCs w:val="16"/>
                <w:color w:val="auto"/>
              </w:rPr>
              <w:t>547,814</w:t>
            </w:r>
          </w:p>
        </w:tc>
        <w:tc>
          <w:tcPr>
            <w:tcW w:w="1020" w:type="dxa"/>
            <w:vAlign w:val="bottom"/>
            <w:tcBorders>
              <w:bottom w:val="single" w:sz="8" w:color="CEFEE7"/>
            </w:tcBorders>
            <w:shd w:val="clear" w:color="auto" w:fill="CEFEE7"/>
          </w:tcPr>
          <w:p>
            <w:pPr>
              <w:jc w:val="right"/>
              <w:ind w:right="59"/>
              <w:spacing w:after="0"/>
              <w:rPr>
                <w:sz w:val="20"/>
                <w:szCs w:val="20"/>
                <w:color w:val="auto"/>
              </w:rPr>
            </w:pPr>
            <w:r>
              <w:rPr>
                <w:rFonts w:ascii="Arial" w:cs="Arial" w:eastAsia="Arial" w:hAnsi="Arial"/>
                <w:sz w:val="16"/>
                <w:szCs w:val="16"/>
                <w:color w:val="auto"/>
              </w:rPr>
              <w:t>485,346</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62,587</w:t>
            </w:r>
          </w:p>
        </w:tc>
        <w:tc>
          <w:tcPr>
            <w:tcW w:w="32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69,246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49,973</w:t>
            </w:r>
          </w:p>
        </w:tc>
        <w:tc>
          <w:tcPr>
            <w:tcW w:w="44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50,865</w:t>
            </w:r>
          </w:p>
        </w:tc>
        <w:tc>
          <w:tcPr>
            <w:tcW w:w="100" w:type="dxa"/>
            <w:vAlign w:val="bottom"/>
          </w:tcPr>
          <w:p>
            <w:pPr>
              <w:spacing w:after="0"/>
              <w:rPr>
                <w:sz w:val="22"/>
                <w:szCs w:val="22"/>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570,528</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757,640</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390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Wyoming Electric</w:t>
            </w:r>
          </w:p>
        </w:tc>
        <w:tc>
          <w:tcPr>
            <w:tcW w:w="260" w:type="dxa"/>
            <w:vAlign w:val="bottom"/>
            <w:tcBorders>
              <w:bottom w:val="single" w:sz="8" w:color="CEFEE7"/>
            </w:tcBorders>
            <w:shd w:val="clear" w:color="auto" w:fill="CEFEE7"/>
          </w:tcPr>
          <w:p>
            <w:pPr>
              <w:spacing w:after="0"/>
              <w:rPr>
                <w:sz w:val="22"/>
                <w:szCs w:val="22"/>
                <w:color w:val="auto"/>
              </w:rPr>
            </w:pPr>
          </w:p>
        </w:tc>
        <w:tc>
          <w:tcPr>
            <w:tcW w:w="86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42,716</w:t>
            </w:r>
          </w:p>
        </w:tc>
        <w:tc>
          <w:tcPr>
            <w:tcW w:w="320" w:type="dxa"/>
            <w:vAlign w:val="bottom"/>
            <w:tcBorders>
              <w:bottom w:val="single" w:sz="8" w:color="CEFEE7"/>
            </w:tcBorders>
            <w:shd w:val="clear" w:color="auto" w:fill="CEFEE7"/>
          </w:tcPr>
          <w:p>
            <w:pPr>
              <w:spacing w:after="0"/>
              <w:rPr>
                <w:sz w:val="22"/>
                <w:szCs w:val="22"/>
                <w:color w:val="auto"/>
              </w:rPr>
            </w:pPr>
          </w:p>
        </w:tc>
        <w:tc>
          <w:tcPr>
            <w:tcW w:w="92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rPr>
              <w:t>41,696</w:t>
            </w:r>
          </w:p>
        </w:tc>
        <w:tc>
          <w:tcPr>
            <w:tcW w:w="100" w:type="dxa"/>
            <w:vAlign w:val="bottom"/>
            <w:tcBorders>
              <w:bottom w:val="single" w:sz="8" w:color="CEFEE7"/>
            </w:tcBorders>
            <w:shd w:val="clear" w:color="auto" w:fill="CEFEE7"/>
          </w:tcPr>
          <w:p>
            <w:pPr>
              <w:spacing w:after="0"/>
              <w:rPr>
                <w:sz w:val="22"/>
                <w:szCs w:val="22"/>
                <w:color w:val="auto"/>
              </w:rPr>
            </w:pPr>
          </w:p>
        </w:tc>
        <w:tc>
          <w:tcPr>
            <w:tcW w:w="120" w:type="dxa"/>
            <w:vAlign w:val="bottom"/>
            <w:tcBorders>
              <w:bottom w:val="single" w:sz="8" w:color="CEFEE7"/>
            </w:tcBorders>
            <w:shd w:val="clear" w:color="auto" w:fill="CEFEE7"/>
          </w:tcPr>
          <w:p>
            <w:pPr>
              <w:spacing w:after="0"/>
              <w:rPr>
                <w:sz w:val="22"/>
                <w:szCs w:val="22"/>
                <w:color w:val="auto"/>
              </w:rPr>
            </w:pPr>
          </w:p>
        </w:tc>
        <w:tc>
          <w:tcPr>
            <w:tcW w:w="96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21,719</w:t>
            </w:r>
          </w:p>
        </w:tc>
        <w:tc>
          <w:tcPr>
            <w:tcW w:w="440" w:type="dxa"/>
            <w:vAlign w:val="bottom"/>
            <w:tcBorders>
              <w:bottom w:val="single" w:sz="8" w:color="CEFEE7"/>
            </w:tcBorders>
            <w:shd w:val="clear" w:color="auto" w:fill="CEFEE7"/>
          </w:tcPr>
          <w:p>
            <w:pPr>
              <w:spacing w:after="0"/>
              <w:rPr>
                <w:sz w:val="22"/>
                <w:szCs w:val="22"/>
                <w:color w:val="auto"/>
              </w:rPr>
            </w:pPr>
          </w:p>
        </w:tc>
        <w:tc>
          <w:tcPr>
            <w:tcW w:w="76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rPr>
              <w:t>22,310</w:t>
            </w:r>
          </w:p>
        </w:tc>
        <w:tc>
          <w:tcPr>
            <w:tcW w:w="100" w:type="dxa"/>
            <w:vAlign w:val="bottom"/>
            <w:tcBorders>
              <w:bottom w:val="single" w:sz="8" w:color="CEFEE7"/>
            </w:tcBorders>
            <w:shd w:val="clear" w:color="auto" w:fill="CEFEE7"/>
          </w:tcPr>
          <w:p>
            <w:pPr>
              <w:spacing w:after="0"/>
              <w:rPr>
                <w:sz w:val="22"/>
                <w:szCs w:val="22"/>
                <w:color w:val="auto"/>
              </w:rPr>
            </w:pPr>
          </w:p>
        </w:tc>
        <w:tc>
          <w:tcPr>
            <w:tcW w:w="1140" w:type="dxa"/>
            <w:vAlign w:val="bottom"/>
            <w:tcBorders>
              <w:bottom w:val="single" w:sz="8" w:color="CEFEE7"/>
            </w:tcBorders>
            <w:shd w:val="clear" w:color="auto" w:fill="CEFEE7"/>
          </w:tcPr>
          <w:p>
            <w:pPr>
              <w:jc w:val="right"/>
              <w:ind w:right="119"/>
              <w:spacing w:after="0"/>
              <w:rPr>
                <w:sz w:val="20"/>
                <w:szCs w:val="20"/>
                <w:color w:val="auto"/>
              </w:rPr>
            </w:pPr>
            <w:r>
              <w:rPr>
                <w:rFonts w:ascii="Arial" w:cs="Arial" w:eastAsia="Arial" w:hAnsi="Arial"/>
                <w:sz w:val="16"/>
                <w:szCs w:val="16"/>
                <w:color w:val="auto"/>
              </w:rPr>
              <w:t>482,626</w:t>
            </w:r>
          </w:p>
        </w:tc>
        <w:tc>
          <w:tcPr>
            <w:tcW w:w="1020" w:type="dxa"/>
            <w:vAlign w:val="bottom"/>
            <w:tcBorders>
              <w:bottom w:val="single" w:sz="8" w:color="CEFEE7"/>
            </w:tcBorders>
            <w:shd w:val="clear" w:color="auto" w:fill="CEFEE7"/>
          </w:tcPr>
          <w:p>
            <w:pPr>
              <w:jc w:val="right"/>
              <w:ind w:right="59"/>
              <w:spacing w:after="0"/>
              <w:rPr>
                <w:sz w:val="20"/>
                <w:szCs w:val="20"/>
                <w:color w:val="auto"/>
              </w:rPr>
            </w:pPr>
            <w:r>
              <w:rPr>
                <w:rFonts w:ascii="Arial" w:cs="Arial" w:eastAsia="Arial" w:hAnsi="Arial"/>
                <w:sz w:val="16"/>
                <w:szCs w:val="16"/>
                <w:color w:val="auto"/>
              </w:rPr>
              <w:t>452,123</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3900" w:type="dxa"/>
            <w:vAlign w:val="bottom"/>
          </w:tcPr>
          <w:p>
            <w:pPr>
              <w:ind w:left="200"/>
              <w:spacing w:after="0"/>
              <w:rPr>
                <w:sz w:val="20"/>
                <w:szCs w:val="20"/>
                <w:color w:val="auto"/>
              </w:rPr>
            </w:pPr>
            <w:r>
              <w:rPr>
                <w:rFonts w:ascii="Arial" w:cs="Arial" w:eastAsia="Arial" w:hAnsi="Arial"/>
                <w:sz w:val="16"/>
                <w:szCs w:val="16"/>
                <w:color w:val="auto"/>
                <w:w w:val="93"/>
              </w:rPr>
              <w:t>Total Electric Revenue, Gross Margin (non-GAAP), and</w:t>
            </w: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163,200</w:t>
            </w:r>
          </w:p>
        </w:tc>
        <w:tc>
          <w:tcPr>
            <w:tcW w:w="3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166,354</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104,147</w:t>
            </w:r>
          </w:p>
        </w:tc>
        <w:tc>
          <w:tcPr>
            <w:tcW w:w="44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104,226</w:t>
            </w:r>
          </w:p>
        </w:tc>
        <w:tc>
          <w:tcPr>
            <w:tcW w:w="100" w:type="dxa"/>
            <w:vAlign w:val="bottom"/>
          </w:tcPr>
          <w:p>
            <w:pPr>
              <w:spacing w:after="0"/>
              <w:rPr>
                <w:sz w:val="17"/>
                <w:szCs w:val="17"/>
                <w:color w:val="auto"/>
              </w:rPr>
            </w:pPr>
          </w:p>
        </w:tc>
        <w:tc>
          <w:tcPr>
            <w:tcW w:w="114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1,600,968</w:t>
            </w:r>
          </w:p>
        </w:tc>
        <w:tc>
          <w:tcPr>
            <w:tcW w:w="10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1,695,109</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6"/>
                <w:szCs w:val="16"/>
                <w:color w:val="auto"/>
              </w:rPr>
              <w:t>Quantities Sold</w:t>
            </w: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4"/>
          </w:tcPr>
          <w:p>
            <w:pPr>
              <w:jc w:val="center"/>
              <w:ind w:right="400"/>
              <w:spacing w:after="0"/>
              <w:rPr>
                <w:sz w:val="20"/>
                <w:szCs w:val="20"/>
                <w:color w:val="auto"/>
              </w:rPr>
            </w:pPr>
            <w:r>
              <w:rPr>
                <w:rFonts w:ascii="Arial" w:cs="Arial" w:eastAsia="Arial" w:hAnsi="Arial"/>
                <w:sz w:val="16"/>
                <w:szCs w:val="16"/>
                <w:color w:val="auto"/>
                <w:w w:val="92"/>
              </w:rPr>
              <w:t>Electric Revenue</w:t>
            </w:r>
          </w:p>
        </w:tc>
        <w:tc>
          <w:tcPr>
            <w:tcW w:w="120" w:type="dxa"/>
            <w:vAlign w:val="bottom"/>
          </w:tcPr>
          <w:p>
            <w:pPr>
              <w:spacing w:after="0"/>
              <w:rPr>
                <w:sz w:val="24"/>
                <w:szCs w:val="24"/>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16"/>
                <w:szCs w:val="16"/>
                <w:color w:val="auto"/>
                <w:w w:val="95"/>
              </w:rPr>
              <w:t>Gross Margin (non-GAAP) (in</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4"/>
          </w:tcPr>
          <w:p>
            <w:pPr>
              <w:jc w:val="center"/>
              <w:ind w:right="360"/>
              <w:spacing w:after="0"/>
              <w:rPr>
                <w:sz w:val="20"/>
                <w:szCs w:val="20"/>
                <w:color w:val="auto"/>
              </w:rPr>
            </w:pPr>
            <w:r>
              <w:rPr>
                <w:rFonts w:ascii="Arial" w:cs="Arial" w:eastAsia="Arial" w:hAnsi="Arial"/>
                <w:sz w:val="16"/>
                <w:szCs w:val="16"/>
                <w:color w:val="auto"/>
                <w:w w:val="90"/>
              </w:rPr>
              <w:t>(in thousands)</w:t>
            </w:r>
          </w:p>
        </w:tc>
        <w:tc>
          <w:tcPr>
            <w:tcW w:w="120" w:type="dxa"/>
            <w:vAlign w:val="bottom"/>
          </w:tcPr>
          <w:p>
            <w:pPr>
              <w:spacing w:after="0"/>
              <w:rPr>
                <w:sz w:val="20"/>
                <w:szCs w:val="20"/>
                <w:color w:val="auto"/>
              </w:rPr>
            </w:pPr>
          </w:p>
        </w:tc>
        <w:tc>
          <w:tcPr>
            <w:tcW w:w="1400" w:type="dxa"/>
            <w:vAlign w:val="bottom"/>
            <w:gridSpan w:val="2"/>
          </w:tcPr>
          <w:p>
            <w:pPr>
              <w:jc w:val="center"/>
              <w:ind w:left="539"/>
              <w:spacing w:after="0"/>
              <w:rPr>
                <w:sz w:val="20"/>
                <w:szCs w:val="20"/>
                <w:color w:val="auto"/>
              </w:rPr>
            </w:pPr>
            <w:r>
              <w:rPr>
                <w:rFonts w:ascii="Arial" w:cs="Arial" w:eastAsia="Arial" w:hAnsi="Arial"/>
                <w:sz w:val="16"/>
                <w:szCs w:val="16"/>
                <w:color w:val="auto"/>
                <w:w w:val="88"/>
              </w:rPr>
              <w:t>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jc w:val="right"/>
              <w:ind w:right="159"/>
              <w:spacing w:after="0" w:line="239" w:lineRule="exact"/>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(b)</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Six Months Ended June 30,</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10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EFE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EFE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90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Colorado Electric</w:t>
            </w:r>
          </w:p>
        </w:tc>
        <w:tc>
          <w:tcPr>
            <w:tcW w:w="26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116,455</w:t>
            </w:r>
          </w:p>
        </w:tc>
        <w:tc>
          <w:tcPr>
            <w:tcW w:w="32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rPr>
              <w:t>115,259</w:t>
            </w:r>
          </w:p>
        </w:tc>
        <w:tc>
          <w:tcPr>
            <w:tcW w:w="100" w:type="dxa"/>
            <w:vAlign w:val="bottom"/>
            <w:tcBorders>
              <w:bottom w:val="single" w:sz="8" w:color="CEFEE7"/>
            </w:tcBorders>
            <w:shd w:val="clear" w:color="auto" w:fill="CEFEE7"/>
          </w:tcPr>
          <w:p>
            <w:pPr>
              <w:spacing w:after="0"/>
              <w:rPr>
                <w:sz w:val="20"/>
                <w:szCs w:val="20"/>
                <w:color w:val="auto"/>
              </w:rPr>
            </w:pPr>
          </w:p>
        </w:tc>
        <w:tc>
          <w:tcPr>
            <w:tcW w:w="1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64,725</w:t>
            </w:r>
          </w:p>
        </w:tc>
        <w:tc>
          <w:tcPr>
            <w:tcW w:w="440" w:type="dxa"/>
            <w:vAlign w:val="bottom"/>
            <w:tcBorders>
              <w:bottom w:val="single" w:sz="8" w:color="CEFEE7"/>
            </w:tcBorders>
            <w:shd w:val="clear" w:color="auto" w:fill="CEFEE7"/>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rPr>
              <w:t>62,495</w:t>
            </w:r>
          </w:p>
        </w:tc>
        <w:tc>
          <w:tcPr>
            <w:tcW w:w="100" w:type="dxa"/>
            <w:vAlign w:val="bottom"/>
            <w:tcBorders>
              <w:bottom w:val="single" w:sz="8" w:color="CEFEE7"/>
            </w:tcBorders>
            <w:shd w:val="clear" w:color="auto" w:fill="CEFEE7"/>
          </w:tcPr>
          <w:p>
            <w:pPr>
              <w:spacing w:after="0"/>
              <w:rPr>
                <w:sz w:val="20"/>
                <w:szCs w:val="20"/>
                <w:color w:val="auto"/>
              </w:rPr>
            </w:pPr>
          </w:p>
        </w:tc>
        <w:tc>
          <w:tcPr>
            <w:tcW w:w="1140" w:type="dxa"/>
            <w:vAlign w:val="bottom"/>
            <w:tcBorders>
              <w:bottom w:val="single" w:sz="8" w:color="CEFEE7"/>
            </w:tcBorders>
            <w:shd w:val="clear" w:color="auto" w:fill="CEFEE7"/>
          </w:tcPr>
          <w:p>
            <w:pPr>
              <w:jc w:val="right"/>
              <w:ind w:right="119"/>
              <w:spacing w:after="0"/>
              <w:rPr>
                <w:sz w:val="20"/>
                <w:szCs w:val="20"/>
                <w:color w:val="auto"/>
              </w:rPr>
            </w:pPr>
            <w:r>
              <w:rPr>
                <w:rFonts w:ascii="Arial" w:cs="Arial" w:eastAsia="Arial" w:hAnsi="Arial"/>
                <w:sz w:val="16"/>
                <w:szCs w:val="16"/>
                <w:color w:val="auto"/>
              </w:rPr>
              <w:t>1,098,585</w:t>
            </w:r>
          </w:p>
        </w:tc>
        <w:tc>
          <w:tcPr>
            <w:tcW w:w="1020" w:type="dxa"/>
            <w:vAlign w:val="bottom"/>
            <w:tcBorders>
              <w:bottom w:val="single" w:sz="8" w:color="CEFEE7"/>
            </w:tcBorders>
            <w:shd w:val="clear" w:color="auto" w:fill="CEFEE7"/>
          </w:tcPr>
          <w:p>
            <w:pPr>
              <w:jc w:val="right"/>
              <w:ind w:right="59"/>
              <w:spacing w:after="0"/>
              <w:rPr>
                <w:sz w:val="20"/>
                <w:szCs w:val="20"/>
                <w:color w:val="auto"/>
              </w:rPr>
            </w:pPr>
            <w:r>
              <w:rPr>
                <w:rFonts w:ascii="Arial" w:cs="Arial" w:eastAsia="Arial" w:hAnsi="Arial"/>
                <w:sz w:val="16"/>
                <w:szCs w:val="16"/>
                <w:color w:val="auto"/>
              </w:rPr>
              <w:t>977,028</w:t>
            </w: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134,198</w:t>
            </w:r>
          </w:p>
        </w:tc>
        <w:tc>
          <w:tcPr>
            <w:tcW w:w="32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148,287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105,597</w:t>
            </w:r>
          </w:p>
        </w:tc>
        <w:tc>
          <w:tcPr>
            <w:tcW w:w="44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107,173</w:t>
            </w:r>
          </w:p>
        </w:tc>
        <w:tc>
          <w:tcPr>
            <w:tcW w:w="100" w:type="dxa"/>
            <w:vAlign w:val="bottom"/>
          </w:tcPr>
          <w:p>
            <w:pPr>
              <w:spacing w:after="0"/>
              <w:rPr>
                <w:sz w:val="22"/>
                <w:szCs w:val="22"/>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1,255,752</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1,602,641</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390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Wyoming Electric</w:t>
            </w:r>
          </w:p>
        </w:tc>
        <w:tc>
          <w:tcPr>
            <w:tcW w:w="260" w:type="dxa"/>
            <w:vAlign w:val="bottom"/>
            <w:tcBorders>
              <w:bottom w:val="single" w:sz="8" w:color="CEFEE7"/>
            </w:tcBorders>
            <w:shd w:val="clear" w:color="auto" w:fill="CEFEE7"/>
          </w:tcPr>
          <w:p>
            <w:pPr>
              <w:spacing w:after="0"/>
              <w:rPr>
                <w:sz w:val="22"/>
                <w:szCs w:val="22"/>
                <w:color w:val="auto"/>
              </w:rPr>
            </w:pPr>
          </w:p>
        </w:tc>
        <w:tc>
          <w:tcPr>
            <w:tcW w:w="86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86,686</w:t>
            </w:r>
          </w:p>
        </w:tc>
        <w:tc>
          <w:tcPr>
            <w:tcW w:w="320" w:type="dxa"/>
            <w:vAlign w:val="bottom"/>
            <w:tcBorders>
              <w:bottom w:val="single" w:sz="8" w:color="CEFEE7"/>
            </w:tcBorders>
            <w:shd w:val="clear" w:color="auto" w:fill="CEFEE7"/>
          </w:tcPr>
          <w:p>
            <w:pPr>
              <w:spacing w:after="0"/>
              <w:rPr>
                <w:sz w:val="22"/>
                <w:szCs w:val="22"/>
                <w:color w:val="auto"/>
              </w:rPr>
            </w:pPr>
          </w:p>
        </w:tc>
        <w:tc>
          <w:tcPr>
            <w:tcW w:w="92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rPr>
              <w:t>85,735</w:t>
            </w:r>
          </w:p>
        </w:tc>
        <w:tc>
          <w:tcPr>
            <w:tcW w:w="100" w:type="dxa"/>
            <w:vAlign w:val="bottom"/>
            <w:tcBorders>
              <w:bottom w:val="single" w:sz="8" w:color="CEFEE7"/>
            </w:tcBorders>
            <w:shd w:val="clear" w:color="auto" w:fill="CEFEE7"/>
          </w:tcPr>
          <w:p>
            <w:pPr>
              <w:spacing w:after="0"/>
              <w:rPr>
                <w:sz w:val="22"/>
                <w:szCs w:val="22"/>
                <w:color w:val="auto"/>
              </w:rPr>
            </w:pPr>
          </w:p>
        </w:tc>
        <w:tc>
          <w:tcPr>
            <w:tcW w:w="120" w:type="dxa"/>
            <w:vAlign w:val="bottom"/>
            <w:tcBorders>
              <w:bottom w:val="single" w:sz="8" w:color="CEFEE7"/>
            </w:tcBorders>
            <w:shd w:val="clear" w:color="auto" w:fill="CEFEE7"/>
          </w:tcPr>
          <w:p>
            <w:pPr>
              <w:spacing w:after="0"/>
              <w:rPr>
                <w:sz w:val="22"/>
                <w:szCs w:val="22"/>
                <w:color w:val="auto"/>
              </w:rPr>
            </w:pPr>
          </w:p>
        </w:tc>
        <w:tc>
          <w:tcPr>
            <w:tcW w:w="96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43,504</w:t>
            </w:r>
          </w:p>
        </w:tc>
        <w:tc>
          <w:tcPr>
            <w:tcW w:w="440" w:type="dxa"/>
            <w:vAlign w:val="bottom"/>
            <w:tcBorders>
              <w:bottom w:val="single" w:sz="8" w:color="CEFEE7"/>
            </w:tcBorders>
            <w:shd w:val="clear" w:color="auto" w:fill="CEFEE7"/>
          </w:tcPr>
          <w:p>
            <w:pPr>
              <w:spacing w:after="0"/>
              <w:rPr>
                <w:sz w:val="22"/>
                <w:szCs w:val="22"/>
                <w:color w:val="auto"/>
              </w:rPr>
            </w:pPr>
          </w:p>
        </w:tc>
        <w:tc>
          <w:tcPr>
            <w:tcW w:w="760" w:type="dxa"/>
            <w:vAlign w:val="bottom"/>
            <w:tcBorders>
              <w:bottom w:val="single" w:sz="8" w:color="CEFEE7"/>
            </w:tcBorders>
            <w:shd w:val="clear" w:color="auto" w:fill="CEFEE7"/>
          </w:tcPr>
          <w:p>
            <w:pPr>
              <w:jc w:val="right"/>
              <w:ind w:right="79"/>
              <w:spacing w:after="0"/>
              <w:rPr>
                <w:sz w:val="20"/>
                <w:szCs w:val="20"/>
                <w:color w:val="auto"/>
              </w:rPr>
            </w:pPr>
            <w:r>
              <w:rPr>
                <w:rFonts w:ascii="Arial" w:cs="Arial" w:eastAsia="Arial" w:hAnsi="Arial"/>
                <w:sz w:val="16"/>
                <w:szCs w:val="16"/>
                <w:color w:val="auto"/>
              </w:rPr>
              <w:t>44,202</w:t>
            </w:r>
          </w:p>
        </w:tc>
        <w:tc>
          <w:tcPr>
            <w:tcW w:w="100" w:type="dxa"/>
            <w:vAlign w:val="bottom"/>
            <w:tcBorders>
              <w:bottom w:val="single" w:sz="8" w:color="CEFEE7"/>
            </w:tcBorders>
            <w:shd w:val="clear" w:color="auto" w:fill="CEFEE7"/>
          </w:tcPr>
          <w:p>
            <w:pPr>
              <w:spacing w:after="0"/>
              <w:rPr>
                <w:sz w:val="22"/>
                <w:szCs w:val="22"/>
                <w:color w:val="auto"/>
              </w:rPr>
            </w:pPr>
          </w:p>
        </w:tc>
        <w:tc>
          <w:tcPr>
            <w:tcW w:w="1140" w:type="dxa"/>
            <w:vAlign w:val="bottom"/>
            <w:tcBorders>
              <w:bottom w:val="single" w:sz="8" w:color="CEFEE7"/>
            </w:tcBorders>
            <w:shd w:val="clear" w:color="auto" w:fill="CEFEE7"/>
          </w:tcPr>
          <w:p>
            <w:pPr>
              <w:jc w:val="right"/>
              <w:ind w:right="119"/>
              <w:spacing w:after="0"/>
              <w:rPr>
                <w:sz w:val="20"/>
                <w:szCs w:val="20"/>
                <w:color w:val="auto"/>
              </w:rPr>
            </w:pPr>
            <w:r>
              <w:rPr>
                <w:rFonts w:ascii="Arial" w:cs="Arial" w:eastAsia="Arial" w:hAnsi="Arial"/>
                <w:sz w:val="16"/>
                <w:szCs w:val="16"/>
                <w:color w:val="auto"/>
              </w:rPr>
              <w:t>999,554</w:t>
            </w:r>
          </w:p>
        </w:tc>
        <w:tc>
          <w:tcPr>
            <w:tcW w:w="1020" w:type="dxa"/>
            <w:vAlign w:val="bottom"/>
            <w:tcBorders>
              <w:bottom w:val="single" w:sz="8" w:color="CEFEE7"/>
            </w:tcBorders>
            <w:shd w:val="clear" w:color="auto" w:fill="CEFEE7"/>
          </w:tcPr>
          <w:p>
            <w:pPr>
              <w:jc w:val="right"/>
              <w:ind w:right="59"/>
              <w:spacing w:after="0"/>
              <w:rPr>
                <w:sz w:val="20"/>
                <w:szCs w:val="20"/>
                <w:color w:val="auto"/>
              </w:rPr>
            </w:pPr>
            <w:r>
              <w:rPr>
                <w:rFonts w:ascii="Arial" w:cs="Arial" w:eastAsia="Arial" w:hAnsi="Arial"/>
                <w:sz w:val="16"/>
                <w:szCs w:val="16"/>
                <w:color w:val="auto"/>
              </w:rPr>
              <w:t>934,311</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3900" w:type="dxa"/>
            <w:vAlign w:val="bottom"/>
          </w:tcPr>
          <w:p>
            <w:pPr>
              <w:ind w:left="200"/>
              <w:spacing w:after="0"/>
              <w:rPr>
                <w:sz w:val="20"/>
                <w:szCs w:val="20"/>
                <w:color w:val="auto"/>
              </w:rPr>
            </w:pPr>
            <w:r>
              <w:rPr>
                <w:rFonts w:ascii="Arial" w:cs="Arial" w:eastAsia="Arial" w:hAnsi="Arial"/>
                <w:sz w:val="16"/>
                <w:szCs w:val="16"/>
                <w:color w:val="auto"/>
                <w:w w:val="93"/>
              </w:rPr>
              <w:t>Total Electric Revenue, Gross Margin (non-GAAP), and</w:t>
            </w: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337,339</w:t>
            </w:r>
          </w:p>
        </w:tc>
        <w:tc>
          <w:tcPr>
            <w:tcW w:w="3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349,281</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213,826</w:t>
            </w:r>
          </w:p>
        </w:tc>
        <w:tc>
          <w:tcPr>
            <w:tcW w:w="44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213,870</w:t>
            </w:r>
          </w:p>
        </w:tc>
        <w:tc>
          <w:tcPr>
            <w:tcW w:w="100" w:type="dxa"/>
            <w:vAlign w:val="bottom"/>
          </w:tcPr>
          <w:p>
            <w:pPr>
              <w:spacing w:after="0"/>
              <w:rPr>
                <w:sz w:val="17"/>
                <w:szCs w:val="17"/>
                <w:color w:val="auto"/>
              </w:rPr>
            </w:pPr>
          </w:p>
        </w:tc>
        <w:tc>
          <w:tcPr>
            <w:tcW w:w="114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3,353,891</w:t>
            </w:r>
          </w:p>
        </w:tc>
        <w:tc>
          <w:tcPr>
            <w:tcW w:w="10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3,513,980</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6"/>
                <w:szCs w:val="16"/>
                <w:color w:val="auto"/>
              </w:rPr>
              <w:t>Quantities Sold</w:t>
            </w: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340" w:right="20" w:hanging="332"/>
        <w:spacing w:after="0" w:line="248" w:lineRule="auto"/>
        <w:tabs>
          <w:tab w:leader="none" w:pos="2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 and purchased power for the three and six months ended June 30, 2020 as well as associated quantities, for certain wholesale contracts have been presented on a net basis. Amounts for the three and six months ended June 30, 2019, were presented on a gross basis and, due to their immaterial nature, were not revised. This presentation change has no impact on Gross margin.</w:t>
      </w: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company uses, line losses, and excess exchange production.</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2820" w:type="dxa"/>
            <w:vAlign w:val="bottom"/>
            <w:gridSpan w:val="2"/>
          </w:tcPr>
          <w:p>
            <w:pPr>
              <w:jc w:val="center"/>
              <w:ind w:right="99"/>
              <w:spacing w:after="0"/>
              <w:rPr>
                <w:sz w:val="20"/>
                <w:szCs w:val="20"/>
                <w:color w:val="auto"/>
              </w:rPr>
            </w:pPr>
            <w:r>
              <w:rPr>
                <w:rFonts w:ascii="Arial" w:cs="Arial" w:eastAsia="Arial" w:hAnsi="Arial"/>
                <w:sz w:val="16"/>
                <w:szCs w:val="16"/>
                <w:color w:val="auto"/>
                <w:w w:val="90"/>
              </w:rPr>
              <w:t>Three Months Ended</w:t>
            </w:r>
          </w:p>
        </w:tc>
        <w:tc>
          <w:tcPr>
            <w:tcW w:w="2440" w:type="dxa"/>
            <w:vAlign w:val="bottom"/>
            <w:gridSpan w:val="2"/>
          </w:tcPr>
          <w:p>
            <w:pPr>
              <w:jc w:val="center"/>
              <w:ind w:right="99"/>
              <w:spacing w:after="0"/>
              <w:rPr>
                <w:sz w:val="20"/>
                <w:szCs w:val="20"/>
                <w:color w:val="auto"/>
              </w:rPr>
            </w:pPr>
            <w:r>
              <w:rPr>
                <w:rFonts w:ascii="Arial" w:cs="Arial" w:eastAsia="Arial" w:hAnsi="Arial"/>
                <w:sz w:val="16"/>
                <w:szCs w:val="16"/>
                <w:color w:val="auto"/>
                <w:w w:val="93"/>
              </w:rPr>
              <w:t>Six Months Ended</w:t>
            </w:r>
          </w:p>
        </w:tc>
      </w:tr>
      <w:tr>
        <w:trPr>
          <w:trHeight w:val="206"/>
        </w:trPr>
        <w:tc>
          <w:tcPr>
            <w:tcW w:w="5640" w:type="dxa"/>
            <w:vAlign w:val="bottom"/>
          </w:tcPr>
          <w:p>
            <w:pPr>
              <w:spacing w:after="0"/>
              <w:rPr>
                <w:sz w:val="17"/>
                <w:szCs w:val="17"/>
                <w:color w:val="auto"/>
              </w:rPr>
            </w:pPr>
          </w:p>
        </w:tc>
        <w:tc>
          <w:tcPr>
            <w:tcW w:w="1700" w:type="dxa"/>
            <w:vAlign w:val="bottom"/>
          </w:tcPr>
          <w:p>
            <w:pPr>
              <w:jc w:val="center"/>
              <w:ind w:left="839"/>
              <w:spacing w:after="0"/>
              <w:rPr>
                <w:sz w:val="20"/>
                <w:szCs w:val="20"/>
                <w:color w:val="auto"/>
              </w:rPr>
            </w:pPr>
            <w:r>
              <w:rPr>
                <w:rFonts w:ascii="Arial" w:cs="Arial" w:eastAsia="Arial" w:hAnsi="Arial"/>
                <w:sz w:val="16"/>
                <w:szCs w:val="16"/>
                <w:color w:val="auto"/>
                <w:w w:val="87"/>
              </w:rPr>
              <w:t>June 30,</w:t>
            </w:r>
          </w:p>
        </w:tc>
        <w:tc>
          <w:tcPr>
            <w:tcW w:w="1120" w:type="dxa"/>
            <w:vAlign w:val="bottom"/>
          </w:tcPr>
          <w:p>
            <w:pPr>
              <w:spacing w:after="0"/>
              <w:rPr>
                <w:sz w:val="17"/>
                <w:szCs w:val="17"/>
                <w:color w:val="auto"/>
              </w:rPr>
            </w:pPr>
          </w:p>
        </w:tc>
        <w:tc>
          <w:tcPr>
            <w:tcW w:w="1520" w:type="dxa"/>
            <w:vAlign w:val="bottom"/>
          </w:tcPr>
          <w:p>
            <w:pPr>
              <w:jc w:val="center"/>
              <w:ind w:left="659"/>
              <w:spacing w:after="0"/>
              <w:rPr>
                <w:sz w:val="20"/>
                <w:szCs w:val="20"/>
                <w:color w:val="auto"/>
              </w:rPr>
            </w:pPr>
            <w:r>
              <w:rPr>
                <w:rFonts w:ascii="Arial" w:cs="Arial" w:eastAsia="Arial" w:hAnsi="Arial"/>
                <w:sz w:val="16"/>
                <w:szCs w:val="16"/>
                <w:color w:val="auto"/>
                <w:w w:val="87"/>
              </w:rPr>
              <w:t>June 30,</w:t>
            </w:r>
          </w:p>
        </w:tc>
        <w:tc>
          <w:tcPr>
            <w:tcW w:w="920" w:type="dxa"/>
            <w:vAlign w:val="bottom"/>
          </w:tcPr>
          <w:p>
            <w:pPr>
              <w:spacing w:after="0"/>
              <w:rPr>
                <w:sz w:val="17"/>
                <w:szCs w:val="17"/>
                <w:color w:val="auto"/>
              </w:rPr>
            </w:pPr>
          </w:p>
        </w:tc>
      </w:tr>
      <w:tr>
        <w:trPr>
          <w:trHeight w:val="257"/>
        </w:trPr>
        <w:tc>
          <w:tcPr>
            <w:tcW w:w="5640" w:type="dxa"/>
            <w:vAlign w:val="bottom"/>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700" w:type="dxa"/>
            <w:vAlign w:val="bottom"/>
          </w:tcPr>
          <w:p>
            <w:pPr>
              <w:jc w:val="right"/>
              <w:ind w:right="799"/>
              <w:spacing w:after="0"/>
              <w:rPr>
                <w:sz w:val="20"/>
                <w:szCs w:val="20"/>
                <w:color w:val="auto"/>
              </w:rPr>
            </w:pPr>
            <w:r>
              <w:rPr>
                <w:rFonts w:ascii="Arial" w:cs="Arial" w:eastAsia="Arial" w:hAnsi="Arial"/>
                <w:sz w:val="16"/>
                <w:szCs w:val="16"/>
                <w:color w:val="auto"/>
              </w:rPr>
              <w:t>2020</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2019</w:t>
            </w:r>
          </w:p>
        </w:tc>
        <w:tc>
          <w:tcPr>
            <w:tcW w:w="1520" w:type="dxa"/>
            <w:vAlign w:val="bottom"/>
          </w:tcPr>
          <w:p>
            <w:pPr>
              <w:jc w:val="right"/>
              <w:ind w:right="799"/>
              <w:spacing w:after="0"/>
              <w:rPr>
                <w:sz w:val="20"/>
                <w:szCs w:val="20"/>
                <w:color w:val="auto"/>
              </w:rPr>
            </w:pPr>
            <w:r>
              <w:rPr>
                <w:rFonts w:ascii="Arial" w:cs="Arial" w:eastAsia="Arial" w:hAnsi="Arial"/>
                <w:sz w:val="16"/>
                <w:szCs w:val="16"/>
                <w:color w:val="auto"/>
              </w:rPr>
              <w:t>2020</w:t>
            </w:r>
          </w:p>
        </w:tc>
        <w:tc>
          <w:tcPr>
            <w:tcW w:w="920" w:type="dxa"/>
            <w:vAlign w:val="bottom"/>
          </w:tcPr>
          <w:p>
            <w:pPr>
              <w:jc w:val="right"/>
              <w:ind w:right="419"/>
              <w:spacing w:after="0"/>
              <w:rPr>
                <w:sz w:val="20"/>
                <w:szCs w:val="20"/>
                <w:color w:val="auto"/>
              </w:rPr>
            </w:pPr>
            <w:r>
              <w:rPr>
                <w:rFonts w:ascii="Arial" w:cs="Arial" w:eastAsia="Arial" w:hAnsi="Arial"/>
                <w:sz w:val="16"/>
                <w:szCs w:val="16"/>
                <w:color w:val="auto"/>
              </w:rPr>
              <w:t>2019</w:t>
            </w:r>
          </w:p>
        </w:tc>
      </w:tr>
      <w:tr>
        <w:trPr>
          <w:trHeight w:val="33"/>
        </w:trPr>
        <w:tc>
          <w:tcPr>
            <w:tcW w:w="5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42"/>
        </w:trPr>
        <w:tc>
          <w:tcPr>
            <w:tcW w:w="5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36"/>
        </w:trPr>
        <w:tc>
          <w:tcPr>
            <w:tcW w:w="5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Coal-fired</w:t>
            </w:r>
          </w:p>
        </w:tc>
        <w:tc>
          <w:tcPr>
            <w:tcW w:w="170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572,030</w:t>
            </w:r>
          </w:p>
        </w:tc>
        <w:tc>
          <w:tcPr>
            <w:tcW w:w="112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471,840</w:t>
            </w:r>
          </w:p>
        </w:tc>
        <w:tc>
          <w:tcPr>
            <w:tcW w:w="152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1,119,859</w:t>
            </w:r>
          </w:p>
        </w:tc>
        <w:tc>
          <w:tcPr>
            <w:tcW w:w="9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1,057,135</w:t>
            </w:r>
          </w:p>
        </w:tc>
      </w:tr>
      <w:tr>
        <w:trPr>
          <w:trHeight w:val="224"/>
        </w:trPr>
        <w:tc>
          <w:tcPr>
            <w:tcW w:w="5640" w:type="dxa"/>
            <w:vAlign w:val="bottom"/>
          </w:tcPr>
          <w:p>
            <w:pPr>
              <w:ind w:left="20"/>
              <w:spacing w:after="0"/>
              <w:rPr>
                <w:sz w:val="20"/>
                <w:szCs w:val="20"/>
                <w:color w:val="auto"/>
              </w:rPr>
            </w:pPr>
            <w:r>
              <w:rPr>
                <w:rFonts w:ascii="Arial" w:cs="Arial" w:eastAsia="Arial" w:hAnsi="Arial"/>
                <w:sz w:val="16"/>
                <w:szCs w:val="16"/>
                <w:color w:val="auto"/>
              </w:rPr>
              <w:t>Natural Gas and Oil</w:t>
            </w:r>
          </w:p>
        </w:tc>
        <w:tc>
          <w:tcPr>
            <w:tcW w:w="1700" w:type="dxa"/>
            <w:vAlign w:val="bottom"/>
          </w:tcPr>
          <w:p>
            <w:pPr>
              <w:jc w:val="right"/>
              <w:ind w:right="439"/>
              <w:spacing w:after="0"/>
              <w:rPr>
                <w:sz w:val="20"/>
                <w:szCs w:val="20"/>
                <w:color w:val="auto"/>
              </w:rPr>
            </w:pPr>
            <w:r>
              <w:rPr>
                <w:rFonts w:ascii="Arial" w:cs="Arial" w:eastAsia="Arial" w:hAnsi="Arial"/>
                <w:sz w:val="16"/>
                <w:szCs w:val="16"/>
                <w:color w:val="auto"/>
              </w:rPr>
              <w:t>86,798</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86,475</w:t>
            </w:r>
          </w:p>
        </w:tc>
        <w:tc>
          <w:tcPr>
            <w:tcW w:w="1520" w:type="dxa"/>
            <w:vAlign w:val="bottom"/>
          </w:tcPr>
          <w:p>
            <w:pPr>
              <w:jc w:val="right"/>
              <w:ind w:right="459"/>
              <w:spacing w:after="0"/>
              <w:rPr>
                <w:sz w:val="20"/>
                <w:szCs w:val="20"/>
                <w:color w:val="auto"/>
              </w:rPr>
            </w:pPr>
            <w:r>
              <w:rPr>
                <w:rFonts w:ascii="Arial" w:cs="Arial" w:eastAsia="Arial" w:hAnsi="Arial"/>
                <w:sz w:val="16"/>
                <w:szCs w:val="16"/>
                <w:color w:val="auto"/>
              </w:rPr>
              <w:t>254,542</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211,132</w:t>
            </w:r>
          </w:p>
        </w:tc>
      </w:tr>
      <w:tr>
        <w:trPr>
          <w:trHeight w:val="33"/>
        </w:trPr>
        <w:tc>
          <w:tcPr>
            <w:tcW w:w="5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5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170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63,628</w:t>
            </w:r>
          </w:p>
        </w:tc>
        <w:tc>
          <w:tcPr>
            <w:tcW w:w="112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56,505</w:t>
            </w:r>
          </w:p>
        </w:tc>
        <w:tc>
          <w:tcPr>
            <w:tcW w:w="152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137,178</w:t>
            </w:r>
          </w:p>
        </w:tc>
        <w:tc>
          <w:tcPr>
            <w:tcW w:w="9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111,924</w:t>
            </w:r>
          </w:p>
        </w:tc>
      </w:tr>
      <w:tr>
        <w:trPr>
          <w:trHeight w:val="217"/>
        </w:trPr>
        <w:tc>
          <w:tcPr>
            <w:tcW w:w="5640" w:type="dxa"/>
            <w:vAlign w:val="bottom"/>
          </w:tcPr>
          <w:p>
            <w:pPr>
              <w:ind w:left="200"/>
              <w:spacing w:after="0"/>
              <w:rPr>
                <w:sz w:val="20"/>
                <w:szCs w:val="20"/>
                <w:color w:val="auto"/>
              </w:rPr>
            </w:pPr>
            <w:r>
              <w:rPr>
                <w:rFonts w:ascii="Arial" w:cs="Arial" w:eastAsia="Arial" w:hAnsi="Arial"/>
                <w:sz w:val="16"/>
                <w:szCs w:val="16"/>
                <w:color w:val="auto"/>
              </w:rPr>
              <w:t>Total Generated</w:t>
            </w:r>
          </w:p>
        </w:tc>
        <w:tc>
          <w:tcPr>
            <w:tcW w:w="17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722,456</w:t>
            </w: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614,820</w:t>
            </w:r>
          </w:p>
        </w:tc>
        <w:tc>
          <w:tcPr>
            <w:tcW w:w="15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1,511,579</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1,380,191</w:t>
            </w:r>
          </w:p>
        </w:tc>
      </w:tr>
      <w:tr>
        <w:trPr>
          <w:trHeight w:val="33"/>
        </w:trPr>
        <w:tc>
          <w:tcPr>
            <w:tcW w:w="5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170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878,512</w:t>
            </w:r>
          </w:p>
        </w:tc>
        <w:tc>
          <w:tcPr>
            <w:tcW w:w="11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1,080,289</w:t>
            </w:r>
          </w:p>
        </w:tc>
        <w:tc>
          <w:tcPr>
            <w:tcW w:w="1520" w:type="dxa"/>
            <w:vAlign w:val="bottom"/>
            <w:tcBorders>
              <w:bottom w:val="single" w:sz="8" w:color="auto"/>
            </w:tcBorders>
            <w:shd w:val="clear" w:color="auto" w:fill="CEFFE7"/>
          </w:tcPr>
          <w:p>
            <w:pPr>
              <w:jc w:val="right"/>
              <w:ind w:right="459"/>
              <w:spacing w:after="0"/>
              <w:rPr>
                <w:sz w:val="20"/>
                <w:szCs w:val="20"/>
                <w:color w:val="auto"/>
              </w:rPr>
            </w:pPr>
            <w:r>
              <w:rPr>
                <w:rFonts w:ascii="Arial" w:cs="Arial" w:eastAsia="Arial" w:hAnsi="Arial"/>
                <w:sz w:val="16"/>
                <w:szCs w:val="16"/>
                <w:color w:val="auto"/>
              </w:rPr>
              <w:t>1,842,312</w:t>
            </w:r>
          </w:p>
        </w:tc>
        <w:tc>
          <w:tcPr>
            <w:tcW w:w="92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2,133,789</w:t>
            </w:r>
          </w:p>
        </w:tc>
      </w:tr>
      <w:tr>
        <w:trPr>
          <w:trHeight w:val="247"/>
        </w:trPr>
        <w:tc>
          <w:tcPr>
            <w:tcW w:w="5640" w:type="dxa"/>
            <w:vAlign w:val="bottom"/>
          </w:tcPr>
          <w:p>
            <w:pPr>
              <w:ind w:left="200"/>
              <w:spacing w:after="0"/>
              <w:rPr>
                <w:sz w:val="20"/>
                <w:szCs w:val="20"/>
                <w:color w:val="auto"/>
              </w:rPr>
            </w:pPr>
            <w:r>
              <w:rPr>
                <w:rFonts w:ascii="Arial" w:cs="Arial" w:eastAsia="Arial" w:hAnsi="Arial"/>
                <w:sz w:val="16"/>
                <w:szCs w:val="16"/>
                <w:color w:val="auto"/>
              </w:rPr>
              <w:t>Total Generated and Purchased</w:t>
            </w:r>
          </w:p>
        </w:tc>
        <w:tc>
          <w:tcPr>
            <w:tcW w:w="17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1,600,968</w:t>
            </w: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1,695,109</w:t>
            </w: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3,353,891</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3,513,980</w:t>
            </w:r>
          </w:p>
        </w:tc>
      </w:tr>
      <w:tr>
        <w:trPr>
          <w:trHeight w:val="23"/>
        </w:trPr>
        <w:tc>
          <w:tcPr>
            <w:tcW w:w="5640" w:type="dxa"/>
            <w:vAlign w:val="bottom"/>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r>
      <w:tr>
        <w:trPr>
          <w:trHeight w:val="659"/>
        </w:trPr>
        <w:tc>
          <w:tcPr>
            <w:tcW w:w="5640" w:type="dxa"/>
            <w:vAlign w:val="bottom"/>
          </w:tcPr>
          <w:p>
            <w:pPr>
              <w:spacing w:after="0"/>
              <w:rPr>
                <w:sz w:val="24"/>
                <w:szCs w:val="24"/>
                <w:color w:val="auto"/>
              </w:rPr>
            </w:pPr>
          </w:p>
        </w:tc>
        <w:tc>
          <w:tcPr>
            <w:tcW w:w="2820" w:type="dxa"/>
            <w:vAlign w:val="bottom"/>
            <w:gridSpan w:val="2"/>
          </w:tcPr>
          <w:p>
            <w:pPr>
              <w:jc w:val="center"/>
              <w:ind w:right="99"/>
              <w:spacing w:after="0"/>
              <w:rPr>
                <w:sz w:val="20"/>
                <w:szCs w:val="20"/>
                <w:color w:val="auto"/>
              </w:rPr>
            </w:pPr>
            <w:r>
              <w:rPr>
                <w:rFonts w:ascii="Arial" w:cs="Arial" w:eastAsia="Arial" w:hAnsi="Arial"/>
                <w:sz w:val="16"/>
                <w:szCs w:val="16"/>
                <w:color w:val="auto"/>
                <w:w w:val="90"/>
              </w:rPr>
              <w:t>Three Months Ended</w:t>
            </w:r>
          </w:p>
        </w:tc>
        <w:tc>
          <w:tcPr>
            <w:tcW w:w="2440" w:type="dxa"/>
            <w:vAlign w:val="bottom"/>
            <w:gridSpan w:val="2"/>
          </w:tcPr>
          <w:p>
            <w:pPr>
              <w:jc w:val="center"/>
              <w:ind w:right="99"/>
              <w:spacing w:after="0"/>
              <w:rPr>
                <w:sz w:val="20"/>
                <w:szCs w:val="20"/>
                <w:color w:val="auto"/>
              </w:rPr>
            </w:pPr>
            <w:r>
              <w:rPr>
                <w:rFonts w:ascii="Arial" w:cs="Arial" w:eastAsia="Arial" w:hAnsi="Arial"/>
                <w:sz w:val="16"/>
                <w:szCs w:val="16"/>
                <w:color w:val="auto"/>
                <w:w w:val="93"/>
              </w:rPr>
              <w:t>Six Months Ended</w:t>
            </w:r>
          </w:p>
        </w:tc>
      </w:tr>
      <w:tr>
        <w:trPr>
          <w:trHeight w:val="206"/>
        </w:trPr>
        <w:tc>
          <w:tcPr>
            <w:tcW w:w="5640" w:type="dxa"/>
            <w:vAlign w:val="bottom"/>
          </w:tcPr>
          <w:p>
            <w:pPr>
              <w:spacing w:after="0"/>
              <w:rPr>
                <w:sz w:val="17"/>
                <w:szCs w:val="17"/>
                <w:color w:val="auto"/>
              </w:rPr>
            </w:pPr>
          </w:p>
        </w:tc>
        <w:tc>
          <w:tcPr>
            <w:tcW w:w="1700" w:type="dxa"/>
            <w:vAlign w:val="bottom"/>
          </w:tcPr>
          <w:p>
            <w:pPr>
              <w:jc w:val="center"/>
              <w:ind w:left="839"/>
              <w:spacing w:after="0"/>
              <w:rPr>
                <w:sz w:val="20"/>
                <w:szCs w:val="20"/>
                <w:color w:val="auto"/>
              </w:rPr>
            </w:pPr>
            <w:r>
              <w:rPr>
                <w:rFonts w:ascii="Arial" w:cs="Arial" w:eastAsia="Arial" w:hAnsi="Arial"/>
                <w:sz w:val="16"/>
                <w:szCs w:val="16"/>
                <w:color w:val="auto"/>
                <w:w w:val="87"/>
              </w:rPr>
              <w:t>June 30,</w:t>
            </w:r>
          </w:p>
        </w:tc>
        <w:tc>
          <w:tcPr>
            <w:tcW w:w="1120" w:type="dxa"/>
            <w:vAlign w:val="bottom"/>
          </w:tcPr>
          <w:p>
            <w:pPr>
              <w:spacing w:after="0"/>
              <w:rPr>
                <w:sz w:val="17"/>
                <w:szCs w:val="17"/>
                <w:color w:val="auto"/>
              </w:rPr>
            </w:pPr>
          </w:p>
        </w:tc>
        <w:tc>
          <w:tcPr>
            <w:tcW w:w="1520" w:type="dxa"/>
            <w:vAlign w:val="bottom"/>
          </w:tcPr>
          <w:p>
            <w:pPr>
              <w:jc w:val="center"/>
              <w:ind w:left="659"/>
              <w:spacing w:after="0"/>
              <w:rPr>
                <w:sz w:val="20"/>
                <w:szCs w:val="20"/>
                <w:color w:val="auto"/>
              </w:rPr>
            </w:pPr>
            <w:r>
              <w:rPr>
                <w:rFonts w:ascii="Arial" w:cs="Arial" w:eastAsia="Arial" w:hAnsi="Arial"/>
                <w:sz w:val="16"/>
                <w:szCs w:val="16"/>
                <w:color w:val="auto"/>
                <w:w w:val="87"/>
              </w:rPr>
              <w:t>June 30,</w:t>
            </w:r>
          </w:p>
        </w:tc>
        <w:tc>
          <w:tcPr>
            <w:tcW w:w="920" w:type="dxa"/>
            <w:vAlign w:val="bottom"/>
          </w:tcPr>
          <w:p>
            <w:pPr>
              <w:spacing w:after="0"/>
              <w:rPr>
                <w:sz w:val="17"/>
                <w:szCs w:val="17"/>
                <w:color w:val="auto"/>
              </w:rPr>
            </w:pPr>
          </w:p>
        </w:tc>
      </w:tr>
      <w:tr>
        <w:trPr>
          <w:trHeight w:val="256"/>
        </w:trPr>
        <w:tc>
          <w:tcPr>
            <w:tcW w:w="5640" w:type="dxa"/>
            <w:vAlign w:val="bottom"/>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700" w:type="dxa"/>
            <w:vAlign w:val="bottom"/>
          </w:tcPr>
          <w:p>
            <w:pPr>
              <w:jc w:val="right"/>
              <w:ind w:right="799"/>
              <w:spacing w:after="0"/>
              <w:rPr>
                <w:sz w:val="20"/>
                <w:szCs w:val="20"/>
                <w:color w:val="auto"/>
              </w:rPr>
            </w:pPr>
            <w:r>
              <w:rPr>
                <w:rFonts w:ascii="Arial" w:cs="Arial" w:eastAsia="Arial" w:hAnsi="Arial"/>
                <w:sz w:val="16"/>
                <w:szCs w:val="16"/>
                <w:color w:val="auto"/>
              </w:rPr>
              <w:t>2020</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2019</w:t>
            </w:r>
          </w:p>
        </w:tc>
        <w:tc>
          <w:tcPr>
            <w:tcW w:w="1520" w:type="dxa"/>
            <w:vAlign w:val="bottom"/>
          </w:tcPr>
          <w:p>
            <w:pPr>
              <w:jc w:val="right"/>
              <w:ind w:right="799"/>
              <w:spacing w:after="0"/>
              <w:rPr>
                <w:sz w:val="20"/>
                <w:szCs w:val="20"/>
                <w:color w:val="auto"/>
              </w:rPr>
            </w:pPr>
            <w:r>
              <w:rPr>
                <w:rFonts w:ascii="Arial" w:cs="Arial" w:eastAsia="Arial" w:hAnsi="Arial"/>
                <w:sz w:val="16"/>
                <w:szCs w:val="16"/>
                <w:color w:val="auto"/>
              </w:rPr>
              <w:t>2020</w:t>
            </w:r>
          </w:p>
        </w:tc>
        <w:tc>
          <w:tcPr>
            <w:tcW w:w="920" w:type="dxa"/>
            <w:vAlign w:val="bottom"/>
          </w:tcPr>
          <w:p>
            <w:pPr>
              <w:jc w:val="right"/>
              <w:ind w:right="419"/>
              <w:spacing w:after="0"/>
              <w:rPr>
                <w:sz w:val="20"/>
                <w:szCs w:val="20"/>
                <w:color w:val="auto"/>
              </w:rPr>
            </w:pPr>
            <w:r>
              <w:rPr>
                <w:rFonts w:ascii="Arial" w:cs="Arial" w:eastAsia="Arial" w:hAnsi="Arial"/>
                <w:sz w:val="16"/>
                <w:szCs w:val="16"/>
                <w:color w:val="auto"/>
              </w:rPr>
              <w:t>2019</w:t>
            </w:r>
          </w:p>
        </w:tc>
      </w:tr>
      <w:tr>
        <w:trPr>
          <w:trHeight w:val="33"/>
        </w:trPr>
        <w:tc>
          <w:tcPr>
            <w:tcW w:w="5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640" w:type="dxa"/>
            <w:vAlign w:val="bottom"/>
          </w:tcPr>
          <w:p>
            <w:pPr>
              <w:ind w:left="20"/>
              <w:spacing w:after="0"/>
              <w:rPr>
                <w:sz w:val="20"/>
                <w:szCs w:val="20"/>
                <w:color w:val="auto"/>
              </w:rPr>
            </w:pPr>
            <w:r>
              <w:rPr>
                <w:rFonts w:ascii="Arial" w:cs="Arial" w:eastAsia="Arial" w:hAnsi="Arial"/>
                <w:sz w:val="16"/>
                <w:szCs w:val="16"/>
                <w:color w:val="auto"/>
              </w:rPr>
              <w:t>Generated:</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564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Colorado Electric</w:t>
            </w:r>
          </w:p>
        </w:tc>
        <w:tc>
          <w:tcPr>
            <w:tcW w:w="170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80,456</w:t>
            </w:r>
          </w:p>
        </w:tc>
        <w:tc>
          <w:tcPr>
            <w:tcW w:w="112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91,886</w:t>
            </w:r>
          </w:p>
        </w:tc>
        <w:tc>
          <w:tcPr>
            <w:tcW w:w="152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174,507</w:t>
            </w:r>
          </w:p>
        </w:tc>
        <w:tc>
          <w:tcPr>
            <w:tcW w:w="9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192,416</w:t>
            </w:r>
          </w:p>
        </w:tc>
      </w:tr>
      <w:tr>
        <w:trPr>
          <w:trHeight w:val="223"/>
        </w:trPr>
        <w:tc>
          <w:tcPr>
            <w:tcW w:w="5640" w:type="dxa"/>
            <w:vAlign w:val="bottom"/>
          </w:tcPr>
          <w:p>
            <w:pPr>
              <w:ind w:left="200"/>
              <w:spacing w:after="0"/>
              <w:rPr>
                <w:sz w:val="20"/>
                <w:szCs w:val="20"/>
                <w:color w:val="auto"/>
              </w:rPr>
            </w:pPr>
            <w:r>
              <w:rPr>
                <w:rFonts w:ascii="Arial" w:cs="Arial" w:eastAsia="Arial" w:hAnsi="Arial"/>
                <w:sz w:val="16"/>
                <w:szCs w:val="16"/>
                <w:color w:val="auto"/>
              </w:rPr>
              <w:t>South Dakota Electric</w:t>
            </w:r>
          </w:p>
        </w:tc>
        <w:tc>
          <w:tcPr>
            <w:tcW w:w="1700" w:type="dxa"/>
            <w:vAlign w:val="bottom"/>
          </w:tcPr>
          <w:p>
            <w:pPr>
              <w:jc w:val="right"/>
              <w:ind w:right="439"/>
              <w:spacing w:after="0"/>
              <w:rPr>
                <w:sz w:val="20"/>
                <w:szCs w:val="20"/>
                <w:color w:val="auto"/>
              </w:rPr>
            </w:pPr>
            <w:r>
              <w:rPr>
                <w:rFonts w:ascii="Arial" w:cs="Arial" w:eastAsia="Arial" w:hAnsi="Arial"/>
                <w:sz w:val="16"/>
                <w:szCs w:val="16"/>
                <w:color w:val="auto"/>
              </w:rPr>
              <w:t>442,566</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315,925</w:t>
            </w:r>
          </w:p>
        </w:tc>
        <w:tc>
          <w:tcPr>
            <w:tcW w:w="1520" w:type="dxa"/>
            <w:vAlign w:val="bottom"/>
          </w:tcPr>
          <w:p>
            <w:pPr>
              <w:jc w:val="right"/>
              <w:ind w:right="459"/>
              <w:spacing w:after="0"/>
              <w:rPr>
                <w:sz w:val="20"/>
                <w:szCs w:val="20"/>
                <w:color w:val="auto"/>
              </w:rPr>
            </w:pPr>
            <w:r>
              <w:rPr>
                <w:rFonts w:ascii="Arial" w:cs="Arial" w:eastAsia="Arial" w:hAnsi="Arial"/>
                <w:sz w:val="16"/>
                <w:szCs w:val="16"/>
                <w:color w:val="auto"/>
              </w:rPr>
              <w:t>915,532</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773,294</w:t>
            </w:r>
          </w:p>
        </w:tc>
      </w:tr>
      <w:tr>
        <w:trPr>
          <w:trHeight w:val="33"/>
        </w:trPr>
        <w:tc>
          <w:tcPr>
            <w:tcW w:w="5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564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Wyoming Electric</w:t>
            </w:r>
          </w:p>
        </w:tc>
        <w:tc>
          <w:tcPr>
            <w:tcW w:w="170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199,434</w:t>
            </w:r>
          </w:p>
        </w:tc>
        <w:tc>
          <w:tcPr>
            <w:tcW w:w="112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207,009</w:t>
            </w:r>
          </w:p>
        </w:tc>
        <w:tc>
          <w:tcPr>
            <w:tcW w:w="152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421,540</w:t>
            </w:r>
          </w:p>
        </w:tc>
        <w:tc>
          <w:tcPr>
            <w:tcW w:w="9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414,481</w:t>
            </w:r>
          </w:p>
        </w:tc>
      </w:tr>
      <w:tr>
        <w:trPr>
          <w:trHeight w:val="217"/>
        </w:trPr>
        <w:tc>
          <w:tcPr>
            <w:tcW w:w="5640" w:type="dxa"/>
            <w:vAlign w:val="bottom"/>
          </w:tcPr>
          <w:p>
            <w:pPr>
              <w:ind w:left="440"/>
              <w:spacing w:after="0"/>
              <w:rPr>
                <w:sz w:val="20"/>
                <w:szCs w:val="20"/>
                <w:color w:val="auto"/>
              </w:rPr>
            </w:pPr>
            <w:r>
              <w:rPr>
                <w:rFonts w:ascii="Arial" w:cs="Arial" w:eastAsia="Arial" w:hAnsi="Arial"/>
                <w:sz w:val="16"/>
                <w:szCs w:val="16"/>
                <w:color w:val="auto"/>
              </w:rPr>
              <w:t>Total Generated</w:t>
            </w:r>
          </w:p>
        </w:tc>
        <w:tc>
          <w:tcPr>
            <w:tcW w:w="17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722,456</w:t>
            </w: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614,820</w:t>
            </w:r>
          </w:p>
        </w:tc>
        <w:tc>
          <w:tcPr>
            <w:tcW w:w="15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1,511,579</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1,380,191</w:t>
            </w:r>
          </w:p>
        </w:tc>
      </w:tr>
      <w:tr>
        <w:trPr>
          <w:trHeight w:val="33"/>
        </w:trPr>
        <w:tc>
          <w:tcPr>
            <w:tcW w:w="5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1700" w:type="dxa"/>
            <w:vAlign w:val="bottom"/>
            <w:tcBorders>
              <w:bottom w:val="single" w:sz="8" w:color="CEFFE7"/>
            </w:tcBorders>
            <w:shd w:val="clear" w:color="auto" w:fill="CEFFE7"/>
          </w:tcPr>
          <w:p>
            <w:pPr>
              <w:spacing w:after="0"/>
              <w:rPr>
                <w:sz w:val="20"/>
                <w:szCs w:val="20"/>
                <w:color w:val="auto"/>
              </w:rPr>
            </w:pPr>
          </w:p>
        </w:tc>
        <w:tc>
          <w:tcPr>
            <w:tcW w:w="112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spacing w:after="0"/>
              <w:rPr>
                <w:sz w:val="20"/>
                <w:szCs w:val="20"/>
                <w:color w:val="auto"/>
              </w:rPr>
            </w:pPr>
          </w:p>
        </w:tc>
      </w:tr>
      <w:tr>
        <w:trPr>
          <w:trHeight w:val="223"/>
        </w:trPr>
        <w:tc>
          <w:tcPr>
            <w:tcW w:w="5640" w:type="dxa"/>
            <w:vAlign w:val="bottom"/>
          </w:tcPr>
          <w:p>
            <w:pPr>
              <w:ind w:left="200"/>
              <w:spacing w:after="0"/>
              <w:rPr>
                <w:sz w:val="20"/>
                <w:szCs w:val="20"/>
                <w:color w:val="auto"/>
              </w:rPr>
            </w:pPr>
            <w:r>
              <w:rPr>
                <w:rFonts w:ascii="Arial" w:cs="Arial" w:eastAsia="Arial" w:hAnsi="Arial"/>
                <w:sz w:val="16"/>
                <w:szCs w:val="16"/>
                <w:color w:val="auto"/>
              </w:rPr>
              <w:t>Colorado Electric</w:t>
            </w:r>
          </w:p>
        </w:tc>
        <w:tc>
          <w:tcPr>
            <w:tcW w:w="1700" w:type="dxa"/>
            <w:vAlign w:val="bottom"/>
          </w:tcPr>
          <w:p>
            <w:pPr>
              <w:jc w:val="right"/>
              <w:ind w:right="439"/>
              <w:spacing w:after="0"/>
              <w:rPr>
                <w:sz w:val="20"/>
                <w:szCs w:val="20"/>
                <w:color w:val="auto"/>
              </w:rPr>
            </w:pPr>
            <w:r>
              <w:rPr>
                <w:rFonts w:ascii="Arial" w:cs="Arial" w:eastAsia="Arial" w:hAnsi="Arial"/>
                <w:sz w:val="16"/>
                <w:szCs w:val="16"/>
                <w:color w:val="auto"/>
              </w:rPr>
              <w:t>467,358</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393,460</w:t>
            </w:r>
          </w:p>
        </w:tc>
        <w:tc>
          <w:tcPr>
            <w:tcW w:w="1520" w:type="dxa"/>
            <w:vAlign w:val="bottom"/>
          </w:tcPr>
          <w:p>
            <w:pPr>
              <w:jc w:val="right"/>
              <w:ind w:right="459"/>
              <w:spacing w:after="0"/>
              <w:rPr>
                <w:sz w:val="20"/>
                <w:szCs w:val="20"/>
                <w:color w:val="auto"/>
              </w:rPr>
            </w:pPr>
            <w:r>
              <w:rPr>
                <w:rFonts w:ascii="Arial" w:cs="Arial" w:eastAsia="Arial" w:hAnsi="Arial"/>
                <w:sz w:val="16"/>
                <w:szCs w:val="16"/>
                <w:color w:val="auto"/>
              </w:rPr>
              <w:t>924,078</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784,612</w:t>
            </w:r>
          </w:p>
        </w:tc>
      </w:tr>
      <w:tr>
        <w:trPr>
          <w:trHeight w:val="33"/>
        </w:trPr>
        <w:tc>
          <w:tcPr>
            <w:tcW w:w="5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56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170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127,962</w:t>
            </w:r>
          </w:p>
        </w:tc>
        <w:tc>
          <w:tcPr>
            <w:tcW w:w="11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441,715</w:t>
            </w:r>
          </w:p>
        </w:tc>
        <w:tc>
          <w:tcPr>
            <w:tcW w:w="1520" w:type="dxa"/>
            <w:vAlign w:val="bottom"/>
            <w:shd w:val="clear" w:color="auto" w:fill="CEFFE7"/>
          </w:tcPr>
          <w:p>
            <w:pPr>
              <w:jc w:val="right"/>
              <w:ind w:right="459"/>
              <w:spacing w:after="0"/>
              <w:rPr>
                <w:sz w:val="20"/>
                <w:szCs w:val="20"/>
                <w:color w:val="auto"/>
              </w:rPr>
            </w:pPr>
            <w:r>
              <w:rPr>
                <w:rFonts w:ascii="Arial" w:cs="Arial" w:eastAsia="Arial" w:hAnsi="Arial"/>
                <w:sz w:val="16"/>
                <w:szCs w:val="16"/>
                <w:color w:val="auto"/>
              </w:rPr>
              <w:t>340,220</w:t>
            </w:r>
          </w:p>
        </w:tc>
        <w:tc>
          <w:tcPr>
            <w:tcW w:w="92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829,347</w:t>
            </w:r>
          </w:p>
        </w:tc>
      </w:tr>
      <w:tr>
        <w:trPr>
          <w:trHeight w:val="223"/>
        </w:trPr>
        <w:tc>
          <w:tcPr>
            <w:tcW w:w="5640" w:type="dxa"/>
            <w:vAlign w:val="bottom"/>
          </w:tcPr>
          <w:p>
            <w:pPr>
              <w:ind w:left="200"/>
              <w:spacing w:after="0"/>
              <w:rPr>
                <w:sz w:val="20"/>
                <w:szCs w:val="20"/>
                <w:color w:val="auto"/>
              </w:rPr>
            </w:pPr>
            <w:r>
              <w:rPr>
                <w:rFonts w:ascii="Arial" w:cs="Arial" w:eastAsia="Arial" w:hAnsi="Arial"/>
                <w:sz w:val="16"/>
                <w:szCs w:val="16"/>
                <w:color w:val="auto"/>
              </w:rPr>
              <w:t>Wyoming Electric</w:t>
            </w:r>
          </w:p>
        </w:tc>
        <w:tc>
          <w:tcPr>
            <w:tcW w:w="1700" w:type="dxa"/>
            <w:vAlign w:val="bottom"/>
          </w:tcPr>
          <w:p>
            <w:pPr>
              <w:jc w:val="right"/>
              <w:ind w:right="439"/>
              <w:spacing w:after="0"/>
              <w:rPr>
                <w:sz w:val="20"/>
                <w:szCs w:val="20"/>
                <w:color w:val="auto"/>
              </w:rPr>
            </w:pPr>
            <w:r>
              <w:rPr>
                <w:rFonts w:ascii="Arial" w:cs="Arial" w:eastAsia="Arial" w:hAnsi="Arial"/>
                <w:sz w:val="16"/>
                <w:szCs w:val="16"/>
                <w:color w:val="auto"/>
              </w:rPr>
              <w:t>283,192</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245,114</w:t>
            </w:r>
          </w:p>
        </w:tc>
        <w:tc>
          <w:tcPr>
            <w:tcW w:w="1520" w:type="dxa"/>
            <w:vAlign w:val="bottom"/>
          </w:tcPr>
          <w:p>
            <w:pPr>
              <w:jc w:val="right"/>
              <w:ind w:right="459"/>
              <w:spacing w:after="0"/>
              <w:rPr>
                <w:sz w:val="20"/>
                <w:szCs w:val="20"/>
                <w:color w:val="auto"/>
              </w:rPr>
            </w:pPr>
            <w:r>
              <w:rPr>
                <w:rFonts w:ascii="Arial" w:cs="Arial" w:eastAsia="Arial" w:hAnsi="Arial"/>
                <w:sz w:val="16"/>
                <w:szCs w:val="16"/>
                <w:color w:val="auto"/>
              </w:rPr>
              <w:t>578,014</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519,830</w:t>
            </w:r>
          </w:p>
        </w:tc>
      </w:tr>
      <w:tr>
        <w:trPr>
          <w:trHeight w:val="33"/>
        </w:trPr>
        <w:tc>
          <w:tcPr>
            <w:tcW w:w="5640" w:type="dxa"/>
            <w:vAlign w:val="bottom"/>
            <w:tcBorders>
              <w:bottom w:val="single" w:sz="8" w:color="CEFFE7"/>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40" w:type="dxa"/>
            <w:vAlign w:val="bottom"/>
            <w:tcBorders>
              <w:bottom w:val="single" w:sz="8" w:color="CEFFE7"/>
            </w:tcBorders>
            <w:shd w:val="clear" w:color="auto" w:fill="CEFFE7"/>
          </w:tcPr>
          <w:p>
            <w:pPr>
              <w:ind w:left="440"/>
              <w:spacing w:after="0"/>
              <w:rPr>
                <w:sz w:val="20"/>
                <w:szCs w:val="20"/>
                <w:color w:val="auto"/>
              </w:rPr>
            </w:pPr>
            <w:r>
              <w:rPr>
                <w:rFonts w:ascii="Arial" w:cs="Arial" w:eastAsia="Arial" w:hAnsi="Arial"/>
                <w:sz w:val="16"/>
                <w:szCs w:val="16"/>
                <w:color w:val="auto"/>
              </w:rPr>
              <w:t>Total Purchased</w:t>
            </w:r>
          </w:p>
        </w:tc>
        <w:tc>
          <w:tcPr>
            <w:tcW w:w="170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878,512</w:t>
            </w:r>
          </w:p>
        </w:tc>
        <w:tc>
          <w:tcPr>
            <w:tcW w:w="112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1,080,289</w:t>
            </w:r>
          </w:p>
        </w:tc>
        <w:tc>
          <w:tcPr>
            <w:tcW w:w="152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1,842,312</w:t>
            </w:r>
          </w:p>
        </w:tc>
        <w:tc>
          <w:tcPr>
            <w:tcW w:w="9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2,133,789</w:t>
            </w:r>
          </w:p>
        </w:tc>
      </w:tr>
      <w:tr>
        <w:trPr>
          <w:trHeight w:val="162"/>
        </w:trPr>
        <w:tc>
          <w:tcPr>
            <w:tcW w:w="5640" w:type="dxa"/>
            <w:vAlign w:val="bottom"/>
            <w:tcBorders>
              <w:bottom w:val="single" w:sz="8" w:color="CEFFE7"/>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72"/>
        </w:trPr>
        <w:tc>
          <w:tcPr>
            <w:tcW w:w="564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Total Generated and Purchased</w:t>
            </w:r>
          </w:p>
        </w:tc>
        <w:tc>
          <w:tcPr>
            <w:tcW w:w="170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1,600,968</w:t>
            </w:r>
          </w:p>
        </w:tc>
        <w:tc>
          <w:tcPr>
            <w:tcW w:w="11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1,695,109</w:t>
            </w:r>
          </w:p>
        </w:tc>
        <w:tc>
          <w:tcPr>
            <w:tcW w:w="1520" w:type="dxa"/>
            <w:vAlign w:val="bottom"/>
            <w:tcBorders>
              <w:bottom w:val="single" w:sz="8" w:color="auto"/>
            </w:tcBorders>
            <w:shd w:val="clear" w:color="auto" w:fill="CEFFE7"/>
          </w:tcPr>
          <w:p>
            <w:pPr>
              <w:jc w:val="right"/>
              <w:ind w:right="459"/>
              <w:spacing w:after="0"/>
              <w:rPr>
                <w:sz w:val="20"/>
                <w:szCs w:val="20"/>
                <w:color w:val="auto"/>
              </w:rPr>
            </w:pPr>
            <w:r>
              <w:rPr>
                <w:rFonts w:ascii="Arial" w:cs="Arial" w:eastAsia="Arial" w:hAnsi="Arial"/>
                <w:sz w:val="16"/>
                <w:szCs w:val="16"/>
                <w:color w:val="auto"/>
              </w:rPr>
              <w:t>3,353,891</w:t>
            </w:r>
          </w:p>
        </w:tc>
        <w:tc>
          <w:tcPr>
            <w:tcW w:w="92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3,513,980</w:t>
            </w:r>
          </w:p>
        </w:tc>
      </w:tr>
      <w:tr>
        <w:trPr>
          <w:trHeight w:val="20"/>
        </w:trPr>
        <w:tc>
          <w:tcPr>
            <w:tcW w:w="5640" w:type="dxa"/>
            <w:vAlign w:val="bottom"/>
            <w:tcBorders>
              <w:top w:val="single" w:sz="8" w:color="CEFFE7"/>
            </w:tcBorders>
          </w:tcPr>
          <w:p>
            <w:pPr>
              <w:spacing w:after="0" w:line="20" w:lineRule="exact"/>
              <w:rPr>
                <w:sz w:val="1"/>
                <w:szCs w:val="1"/>
                <w:color w:val="auto"/>
              </w:rPr>
            </w:pPr>
          </w:p>
        </w:tc>
        <w:tc>
          <w:tcPr>
            <w:tcW w:w="170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340" w:right="120" w:hanging="332"/>
        <w:spacing w:after="0" w:line="254" w:lineRule="auto"/>
        <w:tabs>
          <w:tab w:leader="none" w:pos="2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Purchased power quantities for the three and six months ended June 30, 2020, for certain wholesale contracts have been presented on a net basis. Amounts for the three and six months ended June 30, 2019, were presented on a gross basis and, due to their immaterial nature, were not revised. This presentation change has no impact on Gross margin.</w:t>
      </w:r>
    </w:p>
    <w:p>
      <w:pPr>
        <w:sectPr>
          <w:pgSz w:w="11900" w:h="16838" w:orient="portrait"/>
          <w:cols w:equalWidth="0" w:num="1">
            <w:col w:w="11240"/>
          </w:cols>
          <w:pgMar w:left="320" w:top="126"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80" w:type="dxa"/>
            <w:vAlign w:val="bottom"/>
            <w:gridSpan w:val="3"/>
          </w:tcPr>
          <w:p>
            <w:pPr>
              <w:jc w:val="right"/>
              <w:ind w:right="119"/>
              <w:spacing w:after="0"/>
              <w:rPr>
                <w:sz w:val="20"/>
                <w:szCs w:val="20"/>
                <w:color w:val="auto"/>
              </w:rPr>
            </w:pPr>
            <w:r>
              <w:rPr>
                <w:rFonts w:ascii="Arial" w:cs="Arial" w:eastAsia="Arial" w:hAnsi="Arial"/>
                <w:sz w:val="16"/>
                <w:szCs w:val="16"/>
                <w:color w:val="auto"/>
              </w:rPr>
              <w:t>Three Months Ended June 30,</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6"/>
                <w:szCs w:val="16"/>
                <w:color w:val="auto"/>
              </w:rPr>
              <w:t>Degree days</w:t>
            </w:r>
          </w:p>
        </w:tc>
        <w:tc>
          <w:tcPr>
            <w:tcW w:w="1180" w:type="dxa"/>
            <w:vAlign w:val="bottom"/>
          </w:tcPr>
          <w:p>
            <w:pPr>
              <w:spacing w:after="0"/>
              <w:rPr>
                <w:sz w:val="22"/>
                <w:szCs w:val="22"/>
                <w:color w:val="auto"/>
              </w:rPr>
            </w:pPr>
          </w:p>
        </w:tc>
        <w:tc>
          <w:tcPr>
            <w:tcW w:w="1320" w:type="dxa"/>
            <w:vAlign w:val="bottom"/>
          </w:tcPr>
          <w:p>
            <w:pPr>
              <w:jc w:val="right"/>
              <w:ind w:right="899"/>
              <w:spacing w:after="0"/>
              <w:rPr>
                <w:sz w:val="20"/>
                <w:szCs w:val="20"/>
                <w:color w:val="auto"/>
              </w:rPr>
            </w:pPr>
            <w:r>
              <w:rPr>
                <w:rFonts w:ascii="Arial" w:cs="Arial" w:eastAsia="Arial" w:hAnsi="Arial"/>
                <w:sz w:val="16"/>
                <w:szCs w:val="16"/>
                <w:color w:val="auto"/>
                <w:w w:val="89"/>
              </w:rPr>
              <w:t>2020</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20" w:type="dxa"/>
            <w:vAlign w:val="bottom"/>
          </w:tcPr>
          <w:p>
            <w:pPr>
              <w:jc w:val="right"/>
              <w:ind w:right="1099"/>
              <w:spacing w:after="0"/>
              <w:rPr>
                <w:sz w:val="20"/>
                <w:szCs w:val="20"/>
                <w:color w:val="auto"/>
              </w:rPr>
            </w:pPr>
            <w:r>
              <w:rPr>
                <w:rFonts w:ascii="Arial" w:cs="Arial" w:eastAsia="Arial" w:hAnsi="Arial"/>
                <w:sz w:val="16"/>
                <w:szCs w:val="16"/>
                <w:color w:val="auto"/>
                <w:w w:val="89"/>
              </w:rPr>
              <w:t>2019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ind w:left="199"/>
              <w:spacing w:after="0"/>
              <w:rPr>
                <w:sz w:val="20"/>
                <w:szCs w:val="20"/>
                <w:color w:val="auto"/>
              </w:rPr>
            </w:pPr>
            <w:r>
              <w:rPr>
                <w:rFonts w:ascii="Arial" w:cs="Arial" w:eastAsia="Arial" w:hAnsi="Arial"/>
                <w:sz w:val="16"/>
                <w:szCs w:val="16"/>
                <w:color w:val="auto"/>
                <w:w w:val="92"/>
              </w:rPr>
              <w:t>Variance from</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center"/>
              <w:ind w:left="39"/>
              <w:spacing w:after="0"/>
              <w:rPr>
                <w:sz w:val="20"/>
                <w:szCs w:val="20"/>
                <w:color w:val="auto"/>
              </w:rPr>
            </w:pPr>
            <w:r>
              <w:rPr>
                <w:rFonts w:ascii="Arial" w:cs="Arial" w:eastAsia="Arial" w:hAnsi="Arial"/>
                <w:sz w:val="16"/>
                <w:szCs w:val="16"/>
                <w:color w:val="auto"/>
                <w:w w:val="92"/>
              </w:rPr>
              <w:t>Variance from</w:t>
            </w:r>
          </w:p>
        </w:tc>
        <w:tc>
          <w:tcPr>
            <w:tcW w:w="0" w:type="dxa"/>
            <w:vAlign w:val="bottom"/>
          </w:tcPr>
          <w:p>
            <w:pPr>
              <w:spacing w:after="0"/>
              <w:rPr>
                <w:sz w:val="1"/>
                <w:szCs w:val="1"/>
                <w:color w:val="auto"/>
              </w:rPr>
            </w:pPr>
          </w:p>
        </w:tc>
      </w:tr>
      <w:tr>
        <w:trPr>
          <w:trHeight w:val="206"/>
        </w:trPr>
        <w:tc>
          <w:tcPr>
            <w:tcW w:w="586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Actual</w:t>
            </w:r>
          </w:p>
        </w:tc>
        <w:tc>
          <w:tcPr>
            <w:tcW w:w="1320" w:type="dxa"/>
            <w:vAlign w:val="bottom"/>
          </w:tcPr>
          <w:p>
            <w:pPr>
              <w:jc w:val="center"/>
              <w:ind w:left="259"/>
              <w:spacing w:after="0"/>
              <w:rPr>
                <w:sz w:val="20"/>
                <w:szCs w:val="20"/>
                <w:color w:val="auto"/>
              </w:rPr>
            </w:pPr>
            <w:r>
              <w:rPr>
                <w:rFonts w:ascii="Arial" w:cs="Arial" w:eastAsia="Arial" w:hAnsi="Arial"/>
                <w:sz w:val="16"/>
                <w:szCs w:val="16"/>
                <w:color w:val="auto"/>
                <w:w w:val="96"/>
              </w:rPr>
              <w:t>Normal</w:t>
            </w:r>
          </w:p>
        </w:tc>
        <w:tc>
          <w:tcPr>
            <w:tcW w:w="400" w:type="dxa"/>
            <w:vAlign w:val="bottom"/>
          </w:tcPr>
          <w:p>
            <w:pPr>
              <w:spacing w:after="0"/>
              <w:rPr>
                <w:sz w:val="17"/>
                <w:szCs w:val="17"/>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Actual</w:t>
            </w:r>
          </w:p>
        </w:tc>
        <w:tc>
          <w:tcPr>
            <w:tcW w:w="1520" w:type="dxa"/>
            <w:vAlign w:val="bottom"/>
          </w:tcPr>
          <w:p>
            <w:pPr>
              <w:jc w:val="center"/>
              <w:ind w:left="59"/>
              <w:spacing w:after="0"/>
              <w:rPr>
                <w:sz w:val="20"/>
                <w:szCs w:val="20"/>
                <w:color w:val="auto"/>
              </w:rPr>
            </w:pPr>
            <w:r>
              <w:rPr>
                <w:rFonts w:ascii="Arial" w:cs="Arial" w:eastAsia="Arial" w:hAnsi="Arial"/>
                <w:sz w:val="16"/>
                <w:szCs w:val="16"/>
                <w:color w:val="auto"/>
                <w:w w:val="96"/>
              </w:rPr>
              <w:t>Normal</w:t>
            </w:r>
          </w:p>
        </w:tc>
        <w:tc>
          <w:tcPr>
            <w:tcW w:w="0" w:type="dxa"/>
            <w:vAlign w:val="bottom"/>
          </w:tcPr>
          <w:p>
            <w:pPr>
              <w:spacing w:after="0"/>
              <w:rPr>
                <w:sz w:val="1"/>
                <w:szCs w:val="1"/>
                <w:color w:val="auto"/>
              </w:rPr>
            </w:pPr>
          </w:p>
        </w:tc>
      </w:tr>
      <w:tr>
        <w:trPr>
          <w:trHeight w:val="33"/>
        </w:trPr>
        <w:tc>
          <w:tcPr>
            <w:tcW w:w="5860" w:type="dxa"/>
            <w:vAlign w:val="bottom"/>
            <w:vMerge w:val="restart"/>
          </w:tcPr>
          <w:p>
            <w:pPr>
              <w:ind w:left="20"/>
              <w:spacing w:after="0"/>
              <w:rPr>
                <w:sz w:val="20"/>
                <w:szCs w:val="20"/>
                <w:color w:val="auto"/>
              </w:rPr>
            </w:pPr>
            <w:r>
              <w:rPr>
                <w:rFonts w:ascii="Arial" w:cs="Arial" w:eastAsia="Arial" w:hAnsi="Arial"/>
                <w:sz w:val="16"/>
                <w:szCs w:val="16"/>
                <w:color w:val="auto"/>
              </w:rPr>
              <w:t>Heating Degree Days:</w:t>
            </w: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86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Colorado Electric</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518</w:t>
            </w:r>
          </w:p>
        </w:tc>
        <w:tc>
          <w:tcPr>
            <w:tcW w:w="1720" w:type="dxa"/>
            <w:vAlign w:val="bottom"/>
            <w:tcBorders>
              <w:bottom w:val="single" w:sz="8" w:color="CEFFE7"/>
            </w:tcBorders>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(18) %</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603</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24"/>
        </w:trPr>
        <w:tc>
          <w:tcPr>
            <w:tcW w:w="5860" w:type="dxa"/>
            <w:vAlign w:val="bottom"/>
          </w:tcPr>
          <w:p>
            <w:pPr>
              <w:ind w:left="260"/>
              <w:spacing w:after="0"/>
              <w:rPr>
                <w:sz w:val="20"/>
                <w:szCs w:val="20"/>
                <w:color w:val="auto"/>
              </w:rPr>
            </w:pPr>
            <w:r>
              <w:rPr>
                <w:rFonts w:ascii="Arial" w:cs="Arial" w:eastAsia="Arial" w:hAnsi="Arial"/>
                <w:sz w:val="16"/>
                <w:szCs w:val="16"/>
                <w:color w:val="auto"/>
              </w:rPr>
              <w:t>South Dakota Electric</w:t>
            </w:r>
          </w:p>
        </w:tc>
        <w:tc>
          <w:tcPr>
            <w:tcW w:w="1180" w:type="dxa"/>
            <w:vAlign w:val="bottom"/>
          </w:tcPr>
          <w:p>
            <w:pPr>
              <w:jc w:val="right"/>
              <w:spacing w:after="0"/>
              <w:rPr>
                <w:sz w:val="20"/>
                <w:szCs w:val="20"/>
                <w:color w:val="auto"/>
              </w:rPr>
            </w:pPr>
            <w:r>
              <w:rPr>
                <w:rFonts w:ascii="Arial" w:cs="Arial" w:eastAsia="Arial" w:hAnsi="Arial"/>
                <w:sz w:val="16"/>
                <w:szCs w:val="16"/>
                <w:color w:val="auto"/>
              </w:rPr>
              <w:t>1,127</w:t>
            </w: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1,279</w:t>
            </w:r>
          </w:p>
        </w:tc>
        <w:tc>
          <w:tcPr>
            <w:tcW w:w="152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Wyoming Electric</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1,149</w:t>
            </w:r>
          </w:p>
        </w:tc>
        <w:tc>
          <w:tcPr>
            <w:tcW w:w="1720" w:type="dxa"/>
            <w:vAlign w:val="bottom"/>
            <w:tcBorders>
              <w:bottom w:val="single" w:sz="8" w:color="CEFFE7"/>
            </w:tcBorders>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(4) %</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1,359</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57"/>
        </w:trPr>
        <w:tc>
          <w:tcPr>
            <w:tcW w:w="5860" w:type="dxa"/>
            <w:vAlign w:val="bottom"/>
          </w:tcPr>
          <w:p>
            <w:pPr>
              <w:ind w:left="4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180" w:type="dxa"/>
            <w:vAlign w:val="bottom"/>
          </w:tcPr>
          <w:p>
            <w:pPr>
              <w:jc w:val="right"/>
              <w:spacing w:after="0"/>
              <w:rPr>
                <w:sz w:val="20"/>
                <w:szCs w:val="20"/>
                <w:color w:val="auto"/>
              </w:rPr>
            </w:pPr>
            <w:r>
              <w:rPr>
                <w:rFonts w:ascii="Arial" w:cs="Arial" w:eastAsia="Arial" w:hAnsi="Arial"/>
                <w:sz w:val="16"/>
                <w:szCs w:val="16"/>
                <w:color w:val="auto"/>
              </w:rPr>
              <w:t>853</w:t>
            </w:r>
          </w:p>
        </w:tc>
        <w:tc>
          <w:tcPr>
            <w:tcW w:w="1720" w:type="dxa"/>
            <w:vAlign w:val="bottom"/>
            <w:gridSpan w:val="2"/>
          </w:tcPr>
          <w:p>
            <w:pPr>
              <w:jc w:val="right"/>
              <w:ind w:right="139"/>
              <w:spacing w:after="0"/>
              <w:rPr>
                <w:sz w:val="20"/>
                <w:szCs w:val="20"/>
                <w:color w:val="auto"/>
              </w:rPr>
            </w:pPr>
            <w:r>
              <w:rPr>
                <w:rFonts w:ascii="Arial" w:cs="Arial" w:eastAsia="Arial" w:hAnsi="Arial"/>
                <w:sz w:val="16"/>
                <w:szCs w:val="16"/>
                <w:color w:val="auto"/>
              </w:rPr>
              <w:t>(3) %</w:t>
            </w:r>
          </w:p>
        </w:tc>
        <w:tc>
          <w:tcPr>
            <w:tcW w:w="960" w:type="dxa"/>
            <w:vAlign w:val="bottom"/>
          </w:tcPr>
          <w:p>
            <w:pPr>
              <w:jc w:val="right"/>
              <w:spacing w:after="0"/>
              <w:rPr>
                <w:sz w:val="20"/>
                <w:szCs w:val="20"/>
                <w:color w:val="auto"/>
              </w:rPr>
            </w:pPr>
            <w:r>
              <w:rPr>
                <w:rFonts w:ascii="Arial" w:cs="Arial" w:eastAsia="Arial" w:hAnsi="Arial"/>
                <w:sz w:val="16"/>
                <w:szCs w:val="16"/>
                <w:color w:val="auto"/>
              </w:rPr>
              <w:t>986</w:t>
            </w:r>
          </w:p>
        </w:tc>
        <w:tc>
          <w:tcPr>
            <w:tcW w:w="152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70"/>
        </w:trPr>
        <w:tc>
          <w:tcPr>
            <w:tcW w:w="586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132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15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6"/>
                <w:szCs w:val="16"/>
                <w:color w:val="auto"/>
              </w:rPr>
              <w:t>Cooling Degree Days:</w:t>
            </w:r>
          </w:p>
        </w:tc>
        <w:tc>
          <w:tcPr>
            <w:tcW w:w="1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Colorado Electric</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382</w:t>
            </w: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83</w:t>
            </w:r>
          </w:p>
        </w:tc>
        <w:tc>
          <w:tcPr>
            <w:tcW w:w="40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147</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24"/>
        </w:trPr>
        <w:tc>
          <w:tcPr>
            <w:tcW w:w="5860" w:type="dxa"/>
            <w:vAlign w:val="bottom"/>
          </w:tcPr>
          <w:p>
            <w:pPr>
              <w:ind w:left="260"/>
              <w:spacing w:after="0"/>
              <w:rPr>
                <w:sz w:val="20"/>
                <w:szCs w:val="20"/>
                <w:color w:val="auto"/>
              </w:rPr>
            </w:pPr>
            <w:r>
              <w:rPr>
                <w:rFonts w:ascii="Arial" w:cs="Arial" w:eastAsia="Arial" w:hAnsi="Arial"/>
                <w:sz w:val="16"/>
                <w:szCs w:val="16"/>
                <w:color w:val="auto"/>
              </w:rPr>
              <w:t>South Dakota Electric</w:t>
            </w: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1520" w:type="dxa"/>
            <w:vAlign w:val="bottom"/>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Wyoming Electric</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101</w:t>
            </w: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102</w:t>
            </w:r>
          </w:p>
        </w:tc>
        <w:tc>
          <w:tcPr>
            <w:tcW w:w="40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319"/>
        </w:trPr>
        <w:tc>
          <w:tcPr>
            <w:tcW w:w="5860" w:type="dxa"/>
            <w:vAlign w:val="bottom"/>
          </w:tcPr>
          <w:p>
            <w:pPr>
              <w:ind w:left="46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180" w:type="dxa"/>
            <w:vAlign w:val="bottom"/>
          </w:tcPr>
          <w:p>
            <w:pPr>
              <w:jc w:val="right"/>
              <w:spacing w:after="0"/>
              <w:rPr>
                <w:sz w:val="20"/>
                <w:szCs w:val="20"/>
                <w:color w:val="auto"/>
              </w:rPr>
            </w:pPr>
            <w:r>
              <w:rPr>
                <w:rFonts w:ascii="Arial" w:cs="Arial" w:eastAsia="Arial" w:hAnsi="Arial"/>
                <w:sz w:val="16"/>
                <w:szCs w:val="16"/>
                <w:color w:val="auto"/>
              </w:rPr>
              <w:t>236</w:t>
            </w:r>
          </w:p>
        </w:tc>
        <w:tc>
          <w:tcPr>
            <w:tcW w:w="1720" w:type="dxa"/>
            <w:vAlign w:val="bottom"/>
            <w:gridSpan w:val="2"/>
          </w:tcPr>
          <w:p>
            <w:pPr>
              <w:jc w:val="right"/>
              <w:ind w:right="139"/>
              <w:spacing w:after="0"/>
              <w:rPr>
                <w:sz w:val="20"/>
                <w:szCs w:val="20"/>
                <w:color w:val="auto"/>
              </w:rPr>
            </w:pPr>
            <w:r>
              <w:rPr>
                <w:rFonts w:ascii="Arial" w:cs="Arial" w:eastAsia="Arial" w:hAnsi="Arial"/>
                <w:sz w:val="16"/>
                <w:szCs w:val="16"/>
                <w:color w:val="auto"/>
              </w:rPr>
              <w:t>69 %</w:t>
            </w: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152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69"/>
        </w:trPr>
        <w:tc>
          <w:tcPr>
            <w:tcW w:w="58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80" w:type="dxa"/>
            <w:vAlign w:val="bottom"/>
            <w:gridSpan w:val="3"/>
          </w:tcPr>
          <w:p>
            <w:pPr>
              <w:jc w:val="right"/>
              <w:ind w:right="199"/>
              <w:spacing w:after="0"/>
              <w:rPr>
                <w:sz w:val="20"/>
                <w:szCs w:val="20"/>
                <w:color w:val="auto"/>
              </w:rPr>
            </w:pPr>
            <w:r>
              <w:rPr>
                <w:rFonts w:ascii="Arial" w:cs="Arial" w:eastAsia="Arial" w:hAnsi="Arial"/>
                <w:sz w:val="16"/>
                <w:szCs w:val="16"/>
                <w:color w:val="auto"/>
              </w:rPr>
              <w:t>Six Months Ended June 30,</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6"/>
                <w:szCs w:val="16"/>
                <w:color w:val="auto"/>
              </w:rPr>
              <w:t>Degree days</w:t>
            </w:r>
          </w:p>
        </w:tc>
        <w:tc>
          <w:tcPr>
            <w:tcW w:w="1180" w:type="dxa"/>
            <w:vAlign w:val="bottom"/>
          </w:tcPr>
          <w:p>
            <w:pPr>
              <w:spacing w:after="0"/>
              <w:rPr>
                <w:sz w:val="22"/>
                <w:szCs w:val="22"/>
                <w:color w:val="auto"/>
              </w:rPr>
            </w:pPr>
          </w:p>
        </w:tc>
        <w:tc>
          <w:tcPr>
            <w:tcW w:w="1320" w:type="dxa"/>
            <w:vAlign w:val="bottom"/>
          </w:tcPr>
          <w:p>
            <w:pPr>
              <w:jc w:val="right"/>
              <w:ind w:right="899"/>
              <w:spacing w:after="0"/>
              <w:rPr>
                <w:sz w:val="20"/>
                <w:szCs w:val="20"/>
                <w:color w:val="auto"/>
              </w:rPr>
            </w:pPr>
            <w:r>
              <w:rPr>
                <w:rFonts w:ascii="Arial" w:cs="Arial" w:eastAsia="Arial" w:hAnsi="Arial"/>
                <w:sz w:val="16"/>
                <w:szCs w:val="16"/>
                <w:color w:val="auto"/>
                <w:w w:val="89"/>
              </w:rPr>
              <w:t>2020</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20" w:type="dxa"/>
            <w:vAlign w:val="bottom"/>
          </w:tcPr>
          <w:p>
            <w:pPr>
              <w:jc w:val="right"/>
              <w:ind w:right="1099"/>
              <w:spacing w:after="0"/>
              <w:rPr>
                <w:sz w:val="20"/>
                <w:szCs w:val="20"/>
                <w:color w:val="auto"/>
              </w:rPr>
            </w:pPr>
            <w:r>
              <w:rPr>
                <w:rFonts w:ascii="Arial" w:cs="Arial" w:eastAsia="Arial" w:hAnsi="Arial"/>
                <w:sz w:val="16"/>
                <w:szCs w:val="16"/>
                <w:color w:val="auto"/>
                <w:w w:val="89"/>
              </w:rPr>
              <w:t>2019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ind w:left="199"/>
              <w:spacing w:after="0"/>
              <w:rPr>
                <w:sz w:val="20"/>
                <w:szCs w:val="20"/>
                <w:color w:val="auto"/>
              </w:rPr>
            </w:pPr>
            <w:r>
              <w:rPr>
                <w:rFonts w:ascii="Arial" w:cs="Arial" w:eastAsia="Arial" w:hAnsi="Arial"/>
                <w:sz w:val="16"/>
                <w:szCs w:val="16"/>
                <w:color w:val="auto"/>
                <w:w w:val="92"/>
              </w:rPr>
              <w:t>Variance from</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center"/>
              <w:ind w:left="39"/>
              <w:spacing w:after="0"/>
              <w:rPr>
                <w:sz w:val="20"/>
                <w:szCs w:val="20"/>
                <w:color w:val="auto"/>
              </w:rPr>
            </w:pPr>
            <w:r>
              <w:rPr>
                <w:rFonts w:ascii="Arial" w:cs="Arial" w:eastAsia="Arial" w:hAnsi="Arial"/>
                <w:sz w:val="16"/>
                <w:szCs w:val="16"/>
                <w:color w:val="auto"/>
                <w:w w:val="92"/>
              </w:rPr>
              <w:t>Variance from</w:t>
            </w:r>
          </w:p>
        </w:tc>
        <w:tc>
          <w:tcPr>
            <w:tcW w:w="0" w:type="dxa"/>
            <w:vAlign w:val="bottom"/>
          </w:tcPr>
          <w:p>
            <w:pPr>
              <w:spacing w:after="0"/>
              <w:rPr>
                <w:sz w:val="1"/>
                <w:szCs w:val="1"/>
                <w:color w:val="auto"/>
              </w:rPr>
            </w:pPr>
          </w:p>
        </w:tc>
      </w:tr>
      <w:tr>
        <w:trPr>
          <w:trHeight w:val="206"/>
        </w:trPr>
        <w:tc>
          <w:tcPr>
            <w:tcW w:w="586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Actual</w:t>
            </w:r>
          </w:p>
        </w:tc>
        <w:tc>
          <w:tcPr>
            <w:tcW w:w="1320" w:type="dxa"/>
            <w:vAlign w:val="bottom"/>
          </w:tcPr>
          <w:p>
            <w:pPr>
              <w:jc w:val="center"/>
              <w:ind w:left="259"/>
              <w:spacing w:after="0"/>
              <w:rPr>
                <w:sz w:val="20"/>
                <w:szCs w:val="20"/>
                <w:color w:val="auto"/>
              </w:rPr>
            </w:pPr>
            <w:r>
              <w:rPr>
                <w:rFonts w:ascii="Arial" w:cs="Arial" w:eastAsia="Arial" w:hAnsi="Arial"/>
                <w:sz w:val="16"/>
                <w:szCs w:val="16"/>
                <w:color w:val="auto"/>
                <w:w w:val="96"/>
              </w:rPr>
              <w:t>Normal</w:t>
            </w:r>
          </w:p>
        </w:tc>
        <w:tc>
          <w:tcPr>
            <w:tcW w:w="400" w:type="dxa"/>
            <w:vAlign w:val="bottom"/>
          </w:tcPr>
          <w:p>
            <w:pPr>
              <w:spacing w:after="0"/>
              <w:rPr>
                <w:sz w:val="17"/>
                <w:szCs w:val="17"/>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Actual</w:t>
            </w:r>
          </w:p>
        </w:tc>
        <w:tc>
          <w:tcPr>
            <w:tcW w:w="1520" w:type="dxa"/>
            <w:vAlign w:val="bottom"/>
          </w:tcPr>
          <w:p>
            <w:pPr>
              <w:jc w:val="center"/>
              <w:ind w:left="59"/>
              <w:spacing w:after="0"/>
              <w:rPr>
                <w:sz w:val="20"/>
                <w:szCs w:val="20"/>
                <w:color w:val="auto"/>
              </w:rPr>
            </w:pPr>
            <w:r>
              <w:rPr>
                <w:rFonts w:ascii="Arial" w:cs="Arial" w:eastAsia="Arial" w:hAnsi="Arial"/>
                <w:sz w:val="16"/>
                <w:szCs w:val="16"/>
                <w:color w:val="auto"/>
                <w:w w:val="96"/>
              </w:rPr>
              <w:t>Normal</w:t>
            </w:r>
          </w:p>
        </w:tc>
        <w:tc>
          <w:tcPr>
            <w:tcW w:w="0" w:type="dxa"/>
            <w:vAlign w:val="bottom"/>
          </w:tcPr>
          <w:p>
            <w:pPr>
              <w:spacing w:after="0"/>
              <w:rPr>
                <w:sz w:val="1"/>
                <w:szCs w:val="1"/>
                <w:color w:val="auto"/>
              </w:rPr>
            </w:pPr>
          </w:p>
        </w:tc>
      </w:tr>
      <w:tr>
        <w:trPr>
          <w:trHeight w:val="33"/>
        </w:trPr>
        <w:tc>
          <w:tcPr>
            <w:tcW w:w="5860" w:type="dxa"/>
            <w:vAlign w:val="bottom"/>
            <w:vMerge w:val="restart"/>
          </w:tcPr>
          <w:p>
            <w:pPr>
              <w:ind w:left="20"/>
              <w:spacing w:after="0"/>
              <w:rPr>
                <w:sz w:val="20"/>
                <w:szCs w:val="20"/>
                <w:color w:val="auto"/>
              </w:rPr>
            </w:pPr>
            <w:r>
              <w:rPr>
                <w:rFonts w:ascii="Arial" w:cs="Arial" w:eastAsia="Arial" w:hAnsi="Arial"/>
                <w:sz w:val="16"/>
                <w:szCs w:val="16"/>
                <w:color w:val="auto"/>
              </w:rPr>
              <w:t>Heating Degree Days:</w:t>
            </w: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Colorado Electric</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2,974</w:t>
            </w:r>
          </w:p>
        </w:tc>
        <w:tc>
          <w:tcPr>
            <w:tcW w:w="1720" w:type="dxa"/>
            <w:vAlign w:val="bottom"/>
            <w:tcBorders>
              <w:bottom w:val="single" w:sz="8" w:color="CEFFE7"/>
            </w:tcBorders>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(9) %</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3,152</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24"/>
        </w:trPr>
        <w:tc>
          <w:tcPr>
            <w:tcW w:w="5860" w:type="dxa"/>
            <w:vAlign w:val="bottom"/>
          </w:tcPr>
          <w:p>
            <w:pPr>
              <w:ind w:left="260"/>
              <w:spacing w:after="0"/>
              <w:rPr>
                <w:sz w:val="20"/>
                <w:szCs w:val="20"/>
                <w:color w:val="auto"/>
              </w:rPr>
            </w:pPr>
            <w:r>
              <w:rPr>
                <w:rFonts w:ascii="Arial" w:cs="Arial" w:eastAsia="Arial" w:hAnsi="Arial"/>
                <w:sz w:val="16"/>
                <w:szCs w:val="16"/>
                <w:color w:val="auto"/>
              </w:rPr>
              <w:t>South Dakota Electric</w:t>
            </w:r>
          </w:p>
        </w:tc>
        <w:tc>
          <w:tcPr>
            <w:tcW w:w="1180" w:type="dxa"/>
            <w:vAlign w:val="bottom"/>
          </w:tcPr>
          <w:p>
            <w:pPr>
              <w:jc w:val="right"/>
              <w:spacing w:after="0"/>
              <w:rPr>
                <w:sz w:val="20"/>
                <w:szCs w:val="20"/>
                <w:color w:val="auto"/>
              </w:rPr>
            </w:pPr>
            <w:r>
              <w:rPr>
                <w:rFonts w:ascii="Arial" w:cs="Arial" w:eastAsia="Arial" w:hAnsi="Arial"/>
                <w:sz w:val="16"/>
                <w:szCs w:val="16"/>
                <w:color w:val="auto"/>
              </w:rPr>
              <w:t>4,238</w:t>
            </w:r>
          </w:p>
        </w:tc>
        <w:tc>
          <w:tcPr>
            <w:tcW w:w="172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5,195</w:t>
            </w:r>
          </w:p>
        </w:tc>
        <w:tc>
          <w:tcPr>
            <w:tcW w:w="152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Wyoming Electric</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4,148</w:t>
            </w:r>
          </w:p>
        </w:tc>
        <w:tc>
          <w:tcPr>
            <w:tcW w:w="1720" w:type="dxa"/>
            <w:vAlign w:val="bottom"/>
            <w:tcBorders>
              <w:bottom w:val="single" w:sz="8" w:color="CEFFE7"/>
            </w:tcBorders>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(1) %</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4,557</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56"/>
        </w:trPr>
        <w:tc>
          <w:tcPr>
            <w:tcW w:w="5860" w:type="dxa"/>
            <w:vAlign w:val="bottom"/>
          </w:tcPr>
          <w:p>
            <w:pPr>
              <w:ind w:left="4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180" w:type="dxa"/>
            <w:vAlign w:val="bottom"/>
          </w:tcPr>
          <w:p>
            <w:pPr>
              <w:jc w:val="right"/>
              <w:spacing w:after="0"/>
              <w:rPr>
                <w:sz w:val="20"/>
                <w:szCs w:val="20"/>
                <w:color w:val="auto"/>
              </w:rPr>
            </w:pPr>
            <w:r>
              <w:rPr>
                <w:rFonts w:ascii="Arial" w:cs="Arial" w:eastAsia="Arial" w:hAnsi="Arial"/>
                <w:sz w:val="16"/>
                <w:szCs w:val="16"/>
                <w:color w:val="auto"/>
              </w:rPr>
              <w:t>3,642</w:t>
            </w:r>
          </w:p>
        </w:tc>
        <w:tc>
          <w:tcPr>
            <w:tcW w:w="1720" w:type="dxa"/>
            <w:vAlign w:val="bottom"/>
            <w:gridSpan w:val="2"/>
          </w:tcPr>
          <w:p>
            <w:pPr>
              <w:jc w:val="right"/>
              <w:ind w:right="139"/>
              <w:spacing w:after="0"/>
              <w:rPr>
                <w:sz w:val="20"/>
                <w:szCs w:val="20"/>
                <w:color w:val="auto"/>
              </w:rPr>
            </w:pPr>
            <w:r>
              <w:rPr>
                <w:rFonts w:ascii="Arial" w:cs="Arial" w:eastAsia="Arial" w:hAnsi="Arial"/>
                <w:sz w:val="16"/>
                <w:szCs w:val="16"/>
                <w:color w:val="auto"/>
              </w:rPr>
              <w:t>(4) %</w:t>
            </w:r>
          </w:p>
        </w:tc>
        <w:tc>
          <w:tcPr>
            <w:tcW w:w="960" w:type="dxa"/>
            <w:vAlign w:val="bottom"/>
          </w:tcPr>
          <w:p>
            <w:pPr>
              <w:jc w:val="right"/>
              <w:spacing w:after="0"/>
              <w:rPr>
                <w:sz w:val="20"/>
                <w:szCs w:val="20"/>
                <w:color w:val="auto"/>
              </w:rPr>
            </w:pPr>
            <w:r>
              <w:rPr>
                <w:rFonts w:ascii="Arial" w:cs="Arial" w:eastAsia="Arial" w:hAnsi="Arial"/>
                <w:sz w:val="16"/>
                <w:szCs w:val="16"/>
                <w:color w:val="auto"/>
              </w:rPr>
              <w:t>4,132</w:t>
            </w:r>
          </w:p>
        </w:tc>
        <w:tc>
          <w:tcPr>
            <w:tcW w:w="152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70"/>
        </w:trPr>
        <w:tc>
          <w:tcPr>
            <w:tcW w:w="586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132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15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6"/>
                <w:szCs w:val="16"/>
                <w:color w:val="auto"/>
              </w:rPr>
              <w:t>Cooling Degree Days:</w:t>
            </w:r>
          </w:p>
        </w:tc>
        <w:tc>
          <w:tcPr>
            <w:tcW w:w="1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Colorado Electric</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382</w:t>
            </w: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83</w:t>
            </w:r>
          </w:p>
        </w:tc>
        <w:tc>
          <w:tcPr>
            <w:tcW w:w="40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147</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24"/>
        </w:trPr>
        <w:tc>
          <w:tcPr>
            <w:tcW w:w="5860" w:type="dxa"/>
            <w:vAlign w:val="bottom"/>
          </w:tcPr>
          <w:p>
            <w:pPr>
              <w:ind w:left="260"/>
              <w:spacing w:after="0"/>
              <w:rPr>
                <w:sz w:val="20"/>
                <w:szCs w:val="20"/>
                <w:color w:val="auto"/>
              </w:rPr>
            </w:pPr>
            <w:r>
              <w:rPr>
                <w:rFonts w:ascii="Arial" w:cs="Arial" w:eastAsia="Arial" w:hAnsi="Arial"/>
                <w:sz w:val="16"/>
                <w:szCs w:val="16"/>
                <w:color w:val="auto"/>
              </w:rPr>
              <w:t>South Dakota Electric</w:t>
            </w: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1520" w:type="dxa"/>
            <w:vAlign w:val="bottom"/>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Wyoming Electric</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101</w:t>
            </w: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102</w:t>
            </w:r>
          </w:p>
        </w:tc>
        <w:tc>
          <w:tcPr>
            <w:tcW w:w="40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319"/>
        </w:trPr>
        <w:tc>
          <w:tcPr>
            <w:tcW w:w="5860" w:type="dxa"/>
            <w:vAlign w:val="bottom"/>
          </w:tcPr>
          <w:p>
            <w:pPr>
              <w:ind w:left="46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180" w:type="dxa"/>
            <w:vAlign w:val="bottom"/>
          </w:tcPr>
          <w:p>
            <w:pPr>
              <w:jc w:val="right"/>
              <w:spacing w:after="0"/>
              <w:rPr>
                <w:sz w:val="20"/>
                <w:szCs w:val="20"/>
                <w:color w:val="auto"/>
              </w:rPr>
            </w:pPr>
            <w:r>
              <w:rPr>
                <w:rFonts w:ascii="Arial" w:cs="Arial" w:eastAsia="Arial" w:hAnsi="Arial"/>
                <w:sz w:val="16"/>
                <w:szCs w:val="16"/>
                <w:color w:val="auto"/>
              </w:rPr>
              <w:t>236</w:t>
            </w:r>
          </w:p>
        </w:tc>
        <w:tc>
          <w:tcPr>
            <w:tcW w:w="1720" w:type="dxa"/>
            <w:vAlign w:val="bottom"/>
            <w:gridSpan w:val="2"/>
          </w:tcPr>
          <w:p>
            <w:pPr>
              <w:jc w:val="right"/>
              <w:ind w:right="139"/>
              <w:spacing w:after="0"/>
              <w:rPr>
                <w:sz w:val="20"/>
                <w:szCs w:val="20"/>
                <w:color w:val="auto"/>
              </w:rPr>
            </w:pPr>
            <w:r>
              <w:rPr>
                <w:rFonts w:ascii="Arial" w:cs="Arial" w:eastAsia="Arial" w:hAnsi="Arial"/>
                <w:sz w:val="16"/>
                <w:szCs w:val="16"/>
                <w:color w:val="auto"/>
              </w:rPr>
              <w:t>69 %</w:t>
            </w: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152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 Combined actuals are calculated based on the weighted average number of total customers by state.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tcPr>
          <w:p>
            <w:pPr>
              <w:spacing w:after="0"/>
              <w:rPr>
                <w:sz w:val="17"/>
                <w:szCs w:val="17"/>
                <w:color w:val="auto"/>
              </w:rPr>
            </w:pPr>
          </w:p>
        </w:tc>
        <w:tc>
          <w:tcPr>
            <w:tcW w:w="3680" w:type="dxa"/>
            <w:vAlign w:val="bottom"/>
            <w:gridSpan w:val="3"/>
          </w:tcPr>
          <w:p>
            <w:pPr>
              <w:jc w:val="right"/>
              <w:ind w:right="339"/>
              <w:spacing w:after="0"/>
              <w:rPr>
                <w:sz w:val="20"/>
                <w:szCs w:val="20"/>
                <w:color w:val="auto"/>
              </w:rPr>
            </w:pPr>
            <w:r>
              <w:rPr>
                <w:rFonts w:ascii="Arial" w:cs="Arial" w:eastAsia="Arial" w:hAnsi="Arial"/>
                <w:sz w:val="16"/>
                <w:szCs w:val="16"/>
                <w:color w:val="auto"/>
              </w:rPr>
              <w:t>Three Months Ended June 30,</w:t>
            </w:r>
          </w:p>
        </w:tc>
        <w:tc>
          <w:tcPr>
            <w:tcW w:w="500" w:type="dxa"/>
            <w:vAlign w:val="bottom"/>
          </w:tcPr>
          <w:p>
            <w:pPr>
              <w:spacing w:after="0"/>
              <w:rPr>
                <w:sz w:val="17"/>
                <w:szCs w:val="17"/>
                <w:color w:val="auto"/>
              </w:rPr>
            </w:pPr>
          </w:p>
        </w:tc>
        <w:tc>
          <w:tcPr>
            <w:tcW w:w="2700" w:type="dxa"/>
            <w:vAlign w:val="bottom"/>
            <w:gridSpan w:val="3"/>
          </w:tcPr>
          <w:p>
            <w:pPr>
              <w:jc w:val="right"/>
              <w:ind w:right="439"/>
              <w:spacing w:after="0"/>
              <w:rPr>
                <w:sz w:val="20"/>
                <w:szCs w:val="20"/>
                <w:color w:val="auto"/>
              </w:rPr>
            </w:pPr>
            <w:r>
              <w:rPr>
                <w:rFonts w:ascii="Arial" w:cs="Arial" w:eastAsia="Arial" w:hAnsi="Arial"/>
                <w:sz w:val="16"/>
                <w:szCs w:val="16"/>
                <w:color w:val="auto"/>
              </w:rPr>
              <w:t>Six Months Ended June 30,</w:t>
            </w:r>
          </w:p>
        </w:tc>
        <w:tc>
          <w:tcPr>
            <w:tcW w:w="180" w:type="dxa"/>
            <w:vAlign w:val="bottom"/>
          </w:tcPr>
          <w:p>
            <w:pPr>
              <w:spacing w:after="0"/>
              <w:rPr>
                <w:sz w:val="17"/>
                <w:szCs w:val="17"/>
                <w:color w:val="auto"/>
              </w:rPr>
            </w:pPr>
          </w:p>
        </w:tc>
      </w:tr>
      <w:tr>
        <w:trPr>
          <w:trHeight w:val="29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Contracted Power Plant Fleet Availability </w:t>
            </w:r>
            <w:r>
              <w:rPr>
                <w:rFonts w:ascii="Arial" w:cs="Arial" w:eastAsia="Arial" w:hAnsi="Arial"/>
                <w:sz w:val="21"/>
                <w:szCs w:val="21"/>
                <w:color w:val="auto"/>
                <w:vertAlign w:val="superscript"/>
              </w:rPr>
              <w:t>(a)</w:t>
            </w:r>
          </w:p>
        </w:tc>
        <w:tc>
          <w:tcPr>
            <w:tcW w:w="2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2019</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auto"/>
            </w:tcBorders>
          </w:tcPr>
          <w:p>
            <w:pPr>
              <w:spacing w:after="0"/>
              <w:rPr>
                <w:sz w:val="24"/>
                <w:szCs w:val="24"/>
                <w:color w:val="auto"/>
              </w:rPr>
            </w:pPr>
          </w:p>
        </w:tc>
      </w:tr>
      <w:tr>
        <w:trPr>
          <w:trHeight w:val="250"/>
        </w:trPr>
        <w:tc>
          <w:tcPr>
            <w:tcW w:w="4180" w:type="dxa"/>
            <w:vAlign w:val="bottom"/>
            <w:shd w:val="clear" w:color="auto" w:fill="CEFFE7"/>
          </w:tcPr>
          <w:p>
            <w:pPr>
              <w:ind w:left="20"/>
              <w:spacing w:after="0"/>
              <w:rPr>
                <w:sz w:val="20"/>
                <w:szCs w:val="20"/>
                <w:color w:val="auto"/>
              </w:rPr>
            </w:pPr>
            <w:r>
              <w:rPr>
                <w:rFonts w:ascii="Arial" w:cs="Arial" w:eastAsia="Arial" w:hAnsi="Arial"/>
                <w:sz w:val="16"/>
                <w:szCs w:val="16"/>
                <w:color w:val="auto"/>
              </w:rPr>
              <w:t xml:space="preserve">Coal-fired plants </w:t>
            </w:r>
            <w:r>
              <w:rPr>
                <w:rFonts w:ascii="Arial" w:cs="Arial" w:eastAsia="Arial" w:hAnsi="Arial"/>
                <w:sz w:val="21"/>
                <w:szCs w:val="21"/>
                <w:color w:val="auto"/>
                <w:vertAlign w:val="superscript"/>
              </w:rPr>
              <w:t>(b)</w:t>
            </w:r>
          </w:p>
        </w:tc>
        <w:tc>
          <w:tcPr>
            <w:tcW w:w="2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94.1</w:t>
            </w:r>
          </w:p>
        </w:tc>
        <w:tc>
          <w:tcPr>
            <w:tcW w:w="48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w w:val="98"/>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79.2</w:t>
            </w:r>
          </w:p>
        </w:tc>
        <w:tc>
          <w:tcPr>
            <w:tcW w:w="50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92.5</w:t>
            </w:r>
          </w:p>
        </w:tc>
        <w:tc>
          <w:tcPr>
            <w:tcW w:w="50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w w:val="98"/>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87.7</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8"/>
              </w:rPr>
              <w:t>%</w:t>
            </w:r>
          </w:p>
        </w:tc>
      </w:tr>
      <w:tr>
        <w:trPr>
          <w:trHeight w:val="256"/>
        </w:trPr>
        <w:tc>
          <w:tcPr>
            <w:tcW w:w="4180" w:type="dxa"/>
            <w:vAlign w:val="bottom"/>
          </w:tcPr>
          <w:p>
            <w:pPr>
              <w:ind w:left="20"/>
              <w:spacing w:after="0"/>
              <w:rPr>
                <w:sz w:val="20"/>
                <w:szCs w:val="20"/>
                <w:color w:val="auto"/>
              </w:rPr>
            </w:pPr>
            <w:r>
              <w:rPr>
                <w:rFonts w:ascii="Arial" w:cs="Arial" w:eastAsia="Arial" w:hAnsi="Arial"/>
                <w:sz w:val="16"/>
                <w:szCs w:val="16"/>
                <w:color w:val="auto"/>
              </w:rPr>
              <w:t xml:space="preserve">Natural gas-fired plants and Other plants </w:t>
            </w:r>
            <w:r>
              <w:rPr>
                <w:rFonts w:ascii="Arial" w:cs="Arial" w:eastAsia="Arial" w:hAnsi="Arial"/>
                <w:sz w:val="21"/>
                <w:szCs w:val="21"/>
                <w:color w:val="auto"/>
                <w:vertAlign w:val="superscript"/>
              </w:rPr>
              <w:t>(c)</w:t>
            </w:r>
          </w:p>
        </w:tc>
        <w:tc>
          <w:tcPr>
            <w:tcW w:w="2100" w:type="dxa"/>
            <w:vAlign w:val="bottom"/>
          </w:tcPr>
          <w:p>
            <w:pPr>
              <w:jc w:val="right"/>
              <w:spacing w:after="0"/>
              <w:rPr>
                <w:sz w:val="20"/>
                <w:szCs w:val="20"/>
                <w:color w:val="auto"/>
              </w:rPr>
            </w:pPr>
            <w:r>
              <w:rPr>
                <w:rFonts w:ascii="Arial" w:cs="Arial" w:eastAsia="Arial" w:hAnsi="Arial"/>
                <w:sz w:val="16"/>
                <w:szCs w:val="16"/>
                <w:color w:val="auto"/>
              </w:rPr>
              <w:t>78.3</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w w:val="98"/>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89.3</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80.9</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w w:val="98"/>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37"/>
        </w:trPr>
        <w:tc>
          <w:tcPr>
            <w:tcW w:w="4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2580" w:type="dxa"/>
            <w:vAlign w:val="bottom"/>
            <w:tcBorders>
              <w:bottom w:val="single" w:sz="8" w:color="CEFFE7"/>
            </w:tcBorders>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98.1 %</w:t>
            </w:r>
          </w:p>
        </w:tc>
        <w:tc>
          <w:tcPr>
            <w:tcW w:w="1600" w:type="dxa"/>
            <w:vAlign w:val="bottom"/>
            <w:tcBorders>
              <w:bottom w:val="single" w:sz="8" w:color="CEFFE7"/>
            </w:tcBorders>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94.5 %</w:t>
            </w:r>
          </w:p>
        </w:tc>
        <w:tc>
          <w:tcPr>
            <w:tcW w:w="1600" w:type="dxa"/>
            <w:vAlign w:val="bottom"/>
            <w:tcBorders>
              <w:bottom w:val="single" w:sz="8" w:color="CEFFE7"/>
            </w:tcBorders>
            <w:gridSpan w:val="2"/>
            <w:shd w:val="clear" w:color="auto" w:fill="CEFFE7"/>
          </w:tcPr>
          <w:p>
            <w:pPr>
              <w:jc w:val="right"/>
              <w:ind w:right="259"/>
              <w:spacing w:after="0"/>
              <w:rPr>
                <w:sz w:val="20"/>
                <w:szCs w:val="20"/>
                <w:color w:val="auto"/>
              </w:rPr>
            </w:pPr>
            <w:r>
              <w:rPr>
                <w:rFonts w:ascii="Arial" w:cs="Arial" w:eastAsia="Arial" w:hAnsi="Arial"/>
                <w:sz w:val="16"/>
                <w:szCs w:val="16"/>
                <w:color w:val="auto"/>
              </w:rPr>
              <w:t>98.6 %</w:t>
            </w:r>
          </w:p>
        </w:tc>
        <w:tc>
          <w:tcPr>
            <w:tcW w:w="12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95.6 %</w:t>
            </w:r>
          </w:p>
        </w:tc>
      </w:tr>
      <w:tr>
        <w:trPr>
          <w:trHeight w:val="223"/>
        </w:trPr>
        <w:tc>
          <w:tcPr>
            <w:tcW w:w="418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2100" w:type="dxa"/>
            <w:vAlign w:val="bottom"/>
          </w:tcPr>
          <w:p>
            <w:pPr>
              <w:jc w:val="right"/>
              <w:spacing w:after="0"/>
              <w:rPr>
                <w:sz w:val="20"/>
                <w:szCs w:val="20"/>
                <w:color w:val="auto"/>
              </w:rPr>
            </w:pPr>
            <w:r>
              <w:rPr>
                <w:rFonts w:ascii="Arial" w:cs="Arial" w:eastAsia="Arial" w:hAnsi="Arial"/>
                <w:sz w:val="16"/>
                <w:szCs w:val="16"/>
                <w:color w:val="auto"/>
              </w:rPr>
              <w:t>85.0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w w:val="98"/>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86.4</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w w:val="98"/>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89.7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4180" w:type="dxa"/>
            <w:vAlign w:val="bottom"/>
            <w:shd w:val="clear" w:color="auto" w:fill="CEFFE7"/>
          </w:tcPr>
          <w:p>
            <w:pPr>
              <w:spacing w:after="0"/>
              <w:rPr>
                <w:sz w:val="14"/>
                <w:szCs w:val="14"/>
                <w:color w:val="auto"/>
              </w:rPr>
            </w:pPr>
          </w:p>
        </w:tc>
        <w:tc>
          <w:tcPr>
            <w:tcW w:w="2100" w:type="dxa"/>
            <w:vAlign w:val="bottom"/>
            <w:shd w:val="clear" w:color="auto" w:fill="CEFFE7"/>
          </w:tcPr>
          <w:p>
            <w:pPr>
              <w:spacing w:after="0"/>
              <w:rPr>
                <w:sz w:val="14"/>
                <w:szCs w:val="14"/>
                <w:color w:val="auto"/>
              </w:rPr>
            </w:pPr>
          </w:p>
        </w:tc>
        <w:tc>
          <w:tcPr>
            <w:tcW w:w="48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50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50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2100" w:type="dxa"/>
            <w:vAlign w:val="bottom"/>
          </w:tcPr>
          <w:p>
            <w:pPr>
              <w:jc w:val="right"/>
              <w:spacing w:after="0"/>
              <w:rPr>
                <w:sz w:val="20"/>
                <w:szCs w:val="20"/>
                <w:color w:val="auto"/>
              </w:rPr>
            </w:pPr>
            <w:r>
              <w:rPr>
                <w:rFonts w:ascii="Arial" w:cs="Arial" w:eastAsia="Arial" w:hAnsi="Arial"/>
                <w:sz w:val="16"/>
                <w:szCs w:val="16"/>
                <w:color w:val="auto"/>
              </w:rPr>
              <w:t>39.0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w w:val="98"/>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34.8</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w w:val="98"/>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07"/>
        </w:trPr>
        <w:tc>
          <w:tcPr>
            <w:tcW w:w="4180" w:type="dxa"/>
            <w:vAlign w:val="bottom"/>
          </w:tcPr>
          <w:p>
            <w:pPr>
              <w:spacing w:after="0"/>
              <w:rPr>
                <w:sz w:val="20"/>
                <w:szCs w:val="20"/>
                <w:color w:val="auto"/>
              </w:rPr>
            </w:pPr>
            <w:r>
              <w:rPr>
                <w:rFonts w:ascii="Arial" w:cs="Arial" w:eastAsia="Arial" w:hAnsi="Arial"/>
                <w:sz w:val="16"/>
                <w:szCs w:val="16"/>
                <w:color w:val="auto"/>
              </w:rPr>
              <w:t>____________________</w:t>
            </w: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ind w:left="220" w:hanging="212"/>
        <w:spacing w:after="0"/>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Availability and Wind Capacity Factor are calculated using a weighted average based on capacity of our generating fleet.</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2019 included planned outages at Neil Simpson II and Wygen III and unplanned outages at Wyodak Plant.</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2020 included an unplanned outage at Pueblo Airport Generation.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Gas Utilities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5"/>
          </w:tcPr>
          <w:p>
            <w:pPr>
              <w:jc w:val="right"/>
              <w:ind w:right="579"/>
              <w:spacing w:after="0"/>
              <w:rPr>
                <w:sz w:val="20"/>
                <w:szCs w:val="20"/>
                <w:color w:val="auto"/>
              </w:rPr>
            </w:pPr>
            <w:r>
              <w:rPr>
                <w:rFonts w:ascii="Arial" w:cs="Arial" w:eastAsia="Arial" w:hAnsi="Arial"/>
                <w:sz w:val="16"/>
                <w:szCs w:val="16"/>
                <w:color w:val="auto"/>
              </w:rPr>
              <w:t>Three Months Ended June 30,</w:t>
            </w:r>
          </w:p>
        </w:tc>
        <w:tc>
          <w:tcPr>
            <w:tcW w:w="280" w:type="dxa"/>
            <w:vAlign w:val="bottom"/>
          </w:tcPr>
          <w:p>
            <w:pPr>
              <w:spacing w:after="0"/>
              <w:rPr>
                <w:sz w:val="17"/>
                <w:szCs w:val="17"/>
                <w:color w:val="auto"/>
              </w:rPr>
            </w:pPr>
          </w:p>
        </w:tc>
        <w:tc>
          <w:tcPr>
            <w:tcW w:w="3120" w:type="dxa"/>
            <w:vAlign w:val="bottom"/>
            <w:gridSpan w:val="5"/>
          </w:tcPr>
          <w:p>
            <w:pPr>
              <w:jc w:val="right"/>
              <w:ind w:right="699"/>
              <w:spacing w:after="0"/>
              <w:rPr>
                <w:sz w:val="20"/>
                <w:szCs w:val="20"/>
                <w:color w:val="auto"/>
              </w:rPr>
            </w:pPr>
            <w:r>
              <w:rPr>
                <w:rFonts w:ascii="Arial" w:cs="Arial" w:eastAsia="Arial" w:hAnsi="Arial"/>
                <w:sz w:val="16"/>
                <w:szCs w:val="16"/>
                <w:color w:val="auto"/>
              </w:rPr>
              <w:t>Six Months Ended June 30,</w:t>
            </w:r>
          </w:p>
        </w:tc>
      </w:tr>
      <w:tr>
        <w:trPr>
          <w:trHeight w:val="33"/>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Variance</w:t>
            </w:r>
          </w:p>
        </w:tc>
        <w:tc>
          <w:tcPr>
            <w:tcW w:w="28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Variance</w:t>
            </w:r>
          </w:p>
        </w:tc>
      </w:tr>
      <w:tr>
        <w:trPr>
          <w:trHeight w:val="33"/>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3"/>
          </w:tcPr>
          <w:p>
            <w:pPr>
              <w:jc w:val="right"/>
              <w:ind w:right="519"/>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52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spacing w:after="0"/>
              <w:rPr>
                <w:sz w:val="20"/>
                <w:szCs w:val="20"/>
                <w:color w:val="auto"/>
              </w:rPr>
            </w:pPr>
          </w:p>
        </w:tc>
        <w:tc>
          <w:tcPr>
            <w:tcW w:w="30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spacing w:after="0"/>
              <w:rPr>
                <w:sz w:val="20"/>
                <w:szCs w:val="20"/>
                <w:color w:val="auto"/>
              </w:rPr>
            </w:pPr>
          </w:p>
        </w:tc>
        <w:tc>
          <w:tcPr>
            <w:tcW w:w="240" w:type="dxa"/>
            <w:vAlign w:val="bottom"/>
            <w:tcBorders>
              <w:bottom w:val="single" w:sz="8" w:color="CEFEE7"/>
            </w:tcBorders>
            <w:shd w:val="clear" w:color="auto" w:fill="CEFEE7"/>
          </w:tcPr>
          <w:p>
            <w:pPr>
              <w:spacing w:after="0"/>
              <w:rPr>
                <w:sz w:val="20"/>
                <w:szCs w:val="20"/>
                <w:color w:val="auto"/>
              </w:rPr>
            </w:pPr>
          </w:p>
        </w:tc>
        <w:tc>
          <w:tcPr>
            <w:tcW w:w="900" w:type="dxa"/>
            <w:vAlign w:val="bottom"/>
            <w:tcBorders>
              <w:bottom w:val="single" w:sz="8" w:color="CEFEE7"/>
            </w:tcBorders>
            <w:shd w:val="clear" w:color="auto" w:fill="CEFEE7"/>
          </w:tcPr>
          <w:p>
            <w:pPr>
              <w:spacing w:after="0"/>
              <w:rPr>
                <w:sz w:val="20"/>
                <w:szCs w:val="20"/>
                <w:color w:val="auto"/>
              </w:rPr>
            </w:pPr>
          </w:p>
        </w:tc>
        <w:tc>
          <w:tcPr>
            <w:tcW w:w="28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spacing w:after="0"/>
              <w:rPr>
                <w:sz w:val="20"/>
                <w:szCs w:val="20"/>
                <w:color w:val="auto"/>
              </w:rPr>
            </w:pPr>
          </w:p>
        </w:tc>
        <w:tc>
          <w:tcPr>
            <w:tcW w:w="30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spacing w:after="0"/>
              <w:rPr>
                <w:sz w:val="20"/>
                <w:szCs w:val="20"/>
                <w:color w:val="auto"/>
              </w:rPr>
            </w:pPr>
          </w:p>
        </w:tc>
        <w:tc>
          <w:tcPr>
            <w:tcW w:w="240" w:type="dxa"/>
            <w:vAlign w:val="bottom"/>
            <w:tcBorders>
              <w:bottom w:val="single" w:sz="8" w:color="CEFEE7"/>
            </w:tcBorders>
            <w:shd w:val="clear" w:color="auto" w:fill="CEFEE7"/>
          </w:tcPr>
          <w:p>
            <w:pPr>
              <w:spacing w:after="0"/>
              <w:rPr>
                <w:sz w:val="20"/>
                <w:szCs w:val="20"/>
                <w:color w:val="auto"/>
              </w:rPr>
            </w:pPr>
          </w:p>
        </w:tc>
        <w:tc>
          <w:tcPr>
            <w:tcW w:w="940" w:type="dxa"/>
            <w:vAlign w:val="bottom"/>
            <w:tcBorders>
              <w:bottom w:val="single" w:sz="8" w:color="CEFEE7"/>
            </w:tcBorders>
            <w:shd w:val="clear" w:color="auto" w:fill="CEFEE7"/>
          </w:tcPr>
          <w:p>
            <w:pPr>
              <w:spacing w:after="0"/>
              <w:rPr>
                <w:sz w:val="20"/>
                <w:szCs w:val="20"/>
                <w:color w:val="auto"/>
              </w:rPr>
            </w:pPr>
          </w:p>
        </w:tc>
      </w:tr>
      <w:tr>
        <w:trPr>
          <w:trHeight w:val="224"/>
        </w:trPr>
        <w:tc>
          <w:tcPr>
            <w:tcW w:w="4520" w:type="dxa"/>
            <w:vAlign w:val="bottom"/>
          </w:tcPr>
          <w:p>
            <w:pPr>
              <w:ind w:left="120"/>
              <w:spacing w:after="0"/>
              <w:rPr>
                <w:sz w:val="20"/>
                <w:szCs w:val="20"/>
                <w:color w:val="auto"/>
              </w:rPr>
            </w:pPr>
            <w:r>
              <w:rPr>
                <w:rFonts w:ascii="Arial" w:cs="Arial" w:eastAsia="Arial" w:hAnsi="Arial"/>
                <w:sz w:val="16"/>
                <w:szCs w:val="16"/>
                <w:color w:val="auto"/>
              </w:rPr>
              <w:t>Natural gas - regulated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148,432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149,942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(1,510)</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484,329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533,817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(49,488)</w:t>
            </w:r>
          </w:p>
        </w:tc>
      </w:tr>
      <w:tr>
        <w:trPr>
          <w:trHeight w:val="33"/>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6"/>
        </w:trPr>
        <w:tc>
          <w:tcPr>
            <w:tcW w:w="4520" w:type="dxa"/>
            <w:vAlign w:val="bottom"/>
            <w:tcBorders>
              <w:bottom w:val="single" w:sz="8" w:color="CEFEE7"/>
            </w:tcBorders>
            <w:shd w:val="clear" w:color="auto" w:fill="CEFEE7"/>
          </w:tcPr>
          <w:p>
            <w:pPr>
              <w:ind w:left="120"/>
              <w:spacing w:after="0"/>
              <w:rPr>
                <w:sz w:val="20"/>
                <w:szCs w:val="20"/>
                <w:color w:val="auto"/>
              </w:rPr>
            </w:pPr>
            <w:r>
              <w:rPr>
                <w:rFonts w:ascii="Arial" w:cs="Arial" w:eastAsia="Arial" w:hAnsi="Arial"/>
                <w:sz w:val="16"/>
                <w:szCs w:val="16"/>
                <w:color w:val="auto"/>
              </w:rPr>
              <w:t>Other - non-regulated services</w:t>
            </w:r>
          </w:p>
        </w:tc>
        <w:tc>
          <w:tcPr>
            <w:tcW w:w="240" w:type="dxa"/>
            <w:vAlign w:val="bottom"/>
            <w:tcBorders>
              <w:bottom w:val="single" w:sz="8" w:color="CEFEE7"/>
            </w:tcBorders>
            <w:shd w:val="clear" w:color="auto" w:fill="CEFEE7"/>
          </w:tcPr>
          <w:p>
            <w:pPr>
              <w:spacing w:after="0"/>
              <w:rPr>
                <w:sz w:val="22"/>
                <w:szCs w:val="22"/>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12,678</w:t>
            </w:r>
          </w:p>
        </w:tc>
        <w:tc>
          <w:tcPr>
            <w:tcW w:w="300" w:type="dxa"/>
            <w:vAlign w:val="bottom"/>
            <w:tcBorders>
              <w:bottom w:val="single" w:sz="8" w:color="CEFEE7"/>
            </w:tcBorders>
            <w:shd w:val="clear" w:color="auto" w:fill="CEFEE7"/>
          </w:tcPr>
          <w:p>
            <w:pPr>
              <w:spacing w:after="0"/>
              <w:rPr>
                <w:sz w:val="22"/>
                <w:szCs w:val="22"/>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15,527</w:t>
            </w:r>
          </w:p>
        </w:tc>
        <w:tc>
          <w:tcPr>
            <w:tcW w:w="240" w:type="dxa"/>
            <w:vAlign w:val="bottom"/>
            <w:tcBorders>
              <w:bottom w:val="single" w:sz="8" w:color="CEFEE7"/>
            </w:tcBorders>
            <w:shd w:val="clear" w:color="auto" w:fill="CEFEE7"/>
          </w:tcPr>
          <w:p>
            <w:pPr>
              <w:spacing w:after="0"/>
              <w:rPr>
                <w:sz w:val="22"/>
                <w:szCs w:val="22"/>
                <w:color w:val="auto"/>
              </w:rPr>
            </w:pPr>
          </w:p>
        </w:tc>
        <w:tc>
          <w:tcPr>
            <w:tcW w:w="90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(2,849)</w:t>
            </w:r>
          </w:p>
        </w:tc>
        <w:tc>
          <w:tcPr>
            <w:tcW w:w="280" w:type="dxa"/>
            <w:vAlign w:val="bottom"/>
            <w:tcBorders>
              <w:bottom w:val="single" w:sz="8" w:color="CEFEE7"/>
            </w:tcBorders>
            <w:shd w:val="clear" w:color="auto" w:fill="CEFEE7"/>
          </w:tcPr>
          <w:p>
            <w:pPr>
              <w:spacing w:after="0"/>
              <w:rPr>
                <w:sz w:val="22"/>
                <w:szCs w:val="22"/>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37,554</w:t>
            </w:r>
          </w:p>
        </w:tc>
        <w:tc>
          <w:tcPr>
            <w:tcW w:w="300" w:type="dxa"/>
            <w:vAlign w:val="bottom"/>
            <w:tcBorders>
              <w:bottom w:val="single" w:sz="8" w:color="CEFEE7"/>
            </w:tcBorders>
            <w:shd w:val="clear" w:color="auto" w:fill="CEFEE7"/>
          </w:tcPr>
          <w:p>
            <w:pPr>
              <w:spacing w:after="0"/>
              <w:rPr>
                <w:sz w:val="22"/>
                <w:szCs w:val="22"/>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42,732</w:t>
            </w:r>
          </w:p>
        </w:tc>
        <w:tc>
          <w:tcPr>
            <w:tcW w:w="240" w:type="dxa"/>
            <w:vAlign w:val="bottom"/>
            <w:tcBorders>
              <w:bottom w:val="single" w:sz="8" w:color="CEFEE7"/>
            </w:tcBorders>
            <w:shd w:val="clear" w:color="auto" w:fill="CEFEE7"/>
          </w:tcPr>
          <w:p>
            <w:pPr>
              <w:spacing w:after="0"/>
              <w:rPr>
                <w:sz w:val="22"/>
                <w:szCs w:val="22"/>
                <w:color w:val="auto"/>
              </w:rPr>
            </w:pPr>
          </w:p>
        </w:tc>
        <w:tc>
          <w:tcPr>
            <w:tcW w:w="94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(5,178)</w:t>
            </w:r>
          </w:p>
        </w:tc>
      </w:tr>
      <w:tr>
        <w:trPr>
          <w:trHeight w:val="217"/>
        </w:trPr>
        <w:tc>
          <w:tcPr>
            <w:tcW w:w="4520" w:type="dxa"/>
            <w:vAlign w:val="bottom"/>
          </w:tcPr>
          <w:p>
            <w:pPr>
              <w:ind w:left="540"/>
              <w:spacing w:after="0"/>
              <w:rPr>
                <w:sz w:val="20"/>
                <w:szCs w:val="20"/>
                <w:color w:val="auto"/>
              </w:rPr>
            </w:pPr>
            <w:r>
              <w:rPr>
                <w:rFonts w:ascii="Arial" w:cs="Arial" w:eastAsia="Arial" w:hAnsi="Arial"/>
                <w:sz w:val="16"/>
                <w:szCs w:val="16"/>
                <w:color w:val="auto"/>
              </w:rPr>
              <w:t>Total revenue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161,110</w:t>
            </w: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165,469</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(4,359)</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521,883</w:t>
            </w: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576,549</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(54,666)</w:t>
            </w:r>
          </w:p>
        </w:tc>
      </w:tr>
      <w:tr>
        <w:trPr>
          <w:trHeight w:val="33"/>
        </w:trPr>
        <w:tc>
          <w:tcPr>
            <w:tcW w:w="4520" w:type="dxa"/>
            <w:vAlign w:val="bottom"/>
            <w:tcBorders>
              <w:bottom w:val="single" w:sz="8" w:color="CEFE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520" w:type="dxa"/>
            <w:vAlign w:val="bottom"/>
            <w:shd w:val="clear" w:color="auto" w:fill="CEFEE7"/>
          </w:tcPr>
          <w:p>
            <w:pPr>
              <w:spacing w:after="0"/>
              <w:rPr>
                <w:sz w:val="20"/>
                <w:szCs w:val="20"/>
                <w:color w:val="auto"/>
              </w:rPr>
            </w:pPr>
          </w:p>
        </w:tc>
        <w:tc>
          <w:tcPr>
            <w:tcW w:w="240" w:type="dxa"/>
            <w:vAlign w:val="bottom"/>
            <w:shd w:val="clear" w:color="auto" w:fill="CEFEE7"/>
          </w:tcPr>
          <w:p>
            <w:pPr>
              <w:spacing w:after="0"/>
              <w:rPr>
                <w:sz w:val="20"/>
                <w:szCs w:val="20"/>
                <w:color w:val="auto"/>
              </w:rPr>
            </w:pPr>
          </w:p>
        </w:tc>
        <w:tc>
          <w:tcPr>
            <w:tcW w:w="820" w:type="dxa"/>
            <w:vAlign w:val="bottom"/>
            <w:shd w:val="clear" w:color="auto" w:fill="CEFEE7"/>
          </w:tcPr>
          <w:p>
            <w:pPr>
              <w:spacing w:after="0"/>
              <w:rPr>
                <w:sz w:val="20"/>
                <w:szCs w:val="20"/>
                <w:color w:val="auto"/>
              </w:rPr>
            </w:pPr>
          </w:p>
        </w:tc>
        <w:tc>
          <w:tcPr>
            <w:tcW w:w="300" w:type="dxa"/>
            <w:vAlign w:val="bottom"/>
            <w:shd w:val="clear" w:color="auto" w:fill="CEFEE7"/>
          </w:tcPr>
          <w:p>
            <w:pPr>
              <w:spacing w:after="0"/>
              <w:rPr>
                <w:sz w:val="20"/>
                <w:szCs w:val="20"/>
                <w:color w:val="auto"/>
              </w:rPr>
            </w:pPr>
          </w:p>
        </w:tc>
        <w:tc>
          <w:tcPr>
            <w:tcW w:w="820" w:type="dxa"/>
            <w:vAlign w:val="bottom"/>
            <w:shd w:val="clear" w:color="auto" w:fill="CEFEE7"/>
          </w:tcPr>
          <w:p>
            <w:pPr>
              <w:spacing w:after="0"/>
              <w:rPr>
                <w:sz w:val="20"/>
                <w:szCs w:val="20"/>
                <w:color w:val="auto"/>
              </w:rPr>
            </w:pPr>
          </w:p>
        </w:tc>
        <w:tc>
          <w:tcPr>
            <w:tcW w:w="240" w:type="dxa"/>
            <w:vAlign w:val="bottom"/>
            <w:shd w:val="clear" w:color="auto" w:fill="CEFEE7"/>
          </w:tcPr>
          <w:p>
            <w:pPr>
              <w:spacing w:after="0"/>
              <w:rPr>
                <w:sz w:val="20"/>
                <w:szCs w:val="20"/>
                <w:color w:val="auto"/>
              </w:rPr>
            </w:pPr>
          </w:p>
        </w:tc>
        <w:tc>
          <w:tcPr>
            <w:tcW w:w="900" w:type="dxa"/>
            <w:vAlign w:val="bottom"/>
            <w:shd w:val="clear" w:color="auto" w:fill="CEFEE7"/>
          </w:tcPr>
          <w:p>
            <w:pPr>
              <w:spacing w:after="0"/>
              <w:rPr>
                <w:sz w:val="20"/>
                <w:szCs w:val="20"/>
                <w:color w:val="auto"/>
              </w:rPr>
            </w:pPr>
          </w:p>
        </w:tc>
        <w:tc>
          <w:tcPr>
            <w:tcW w:w="280" w:type="dxa"/>
            <w:vAlign w:val="bottom"/>
            <w:shd w:val="clear" w:color="auto" w:fill="CEFEE7"/>
          </w:tcPr>
          <w:p>
            <w:pPr>
              <w:spacing w:after="0"/>
              <w:rPr>
                <w:sz w:val="20"/>
                <w:szCs w:val="20"/>
                <w:color w:val="auto"/>
              </w:rPr>
            </w:pPr>
          </w:p>
        </w:tc>
        <w:tc>
          <w:tcPr>
            <w:tcW w:w="820" w:type="dxa"/>
            <w:vAlign w:val="bottom"/>
            <w:shd w:val="clear" w:color="auto" w:fill="CEFEE7"/>
          </w:tcPr>
          <w:p>
            <w:pPr>
              <w:spacing w:after="0"/>
              <w:rPr>
                <w:sz w:val="20"/>
                <w:szCs w:val="20"/>
                <w:color w:val="auto"/>
              </w:rPr>
            </w:pPr>
          </w:p>
        </w:tc>
        <w:tc>
          <w:tcPr>
            <w:tcW w:w="300" w:type="dxa"/>
            <w:vAlign w:val="bottom"/>
            <w:shd w:val="clear" w:color="auto" w:fill="CEFEE7"/>
          </w:tcPr>
          <w:p>
            <w:pPr>
              <w:spacing w:after="0"/>
              <w:rPr>
                <w:sz w:val="20"/>
                <w:szCs w:val="20"/>
                <w:color w:val="auto"/>
              </w:rPr>
            </w:pPr>
          </w:p>
        </w:tc>
        <w:tc>
          <w:tcPr>
            <w:tcW w:w="820" w:type="dxa"/>
            <w:vAlign w:val="bottom"/>
            <w:shd w:val="clear" w:color="auto" w:fill="CEFEE7"/>
          </w:tcPr>
          <w:p>
            <w:pPr>
              <w:spacing w:after="0"/>
              <w:rPr>
                <w:sz w:val="20"/>
                <w:szCs w:val="20"/>
                <w:color w:val="auto"/>
              </w:rPr>
            </w:pPr>
          </w:p>
        </w:tc>
        <w:tc>
          <w:tcPr>
            <w:tcW w:w="240" w:type="dxa"/>
            <w:vAlign w:val="bottom"/>
            <w:shd w:val="clear" w:color="auto" w:fill="CEFEE7"/>
          </w:tcPr>
          <w:p>
            <w:pPr>
              <w:spacing w:after="0"/>
              <w:rPr>
                <w:sz w:val="20"/>
                <w:szCs w:val="20"/>
                <w:color w:val="auto"/>
              </w:rPr>
            </w:pPr>
          </w:p>
        </w:tc>
        <w:tc>
          <w:tcPr>
            <w:tcW w:w="940" w:type="dxa"/>
            <w:vAlign w:val="bottom"/>
            <w:shd w:val="clear" w:color="auto" w:fill="CEFEE7"/>
          </w:tcPr>
          <w:p>
            <w:pPr>
              <w:spacing w:after="0"/>
              <w:rPr>
                <w:sz w:val="20"/>
                <w:szCs w:val="20"/>
                <w:color w:val="auto"/>
              </w:rPr>
            </w:pPr>
          </w:p>
        </w:tc>
      </w:tr>
      <w:tr>
        <w:trPr>
          <w:trHeight w:val="224"/>
        </w:trPr>
        <w:tc>
          <w:tcPr>
            <w:tcW w:w="45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520" w:type="dxa"/>
            <w:vAlign w:val="bottom"/>
            <w:tcBorders>
              <w:bottom w:val="single" w:sz="8" w:color="CEFEE7"/>
            </w:tcBorders>
            <w:shd w:val="clear" w:color="auto" w:fill="CEFEE7"/>
          </w:tcPr>
          <w:p>
            <w:pPr>
              <w:ind w:left="120"/>
              <w:spacing w:after="0"/>
              <w:rPr>
                <w:sz w:val="20"/>
                <w:szCs w:val="20"/>
                <w:color w:val="auto"/>
              </w:rPr>
            </w:pPr>
            <w:r>
              <w:rPr>
                <w:rFonts w:ascii="Arial" w:cs="Arial" w:eastAsia="Arial" w:hAnsi="Arial"/>
                <w:sz w:val="16"/>
                <w:szCs w:val="16"/>
                <w:color w:val="auto"/>
              </w:rPr>
              <w:t>Natural gas - regulated</w:t>
            </w:r>
          </w:p>
        </w:tc>
        <w:tc>
          <w:tcPr>
            <w:tcW w:w="24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42,910</w:t>
            </w:r>
          </w:p>
        </w:tc>
        <w:tc>
          <w:tcPr>
            <w:tcW w:w="30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51,108</w:t>
            </w:r>
          </w:p>
        </w:tc>
        <w:tc>
          <w:tcPr>
            <w:tcW w:w="240" w:type="dxa"/>
            <w:vAlign w:val="bottom"/>
            <w:tcBorders>
              <w:bottom w:val="single" w:sz="8" w:color="CEFEE7"/>
            </w:tcBorders>
            <w:shd w:val="clear" w:color="auto" w:fill="CEFEE7"/>
          </w:tcPr>
          <w:p>
            <w:pPr>
              <w:spacing w:after="0"/>
              <w:rPr>
                <w:sz w:val="20"/>
                <w:szCs w:val="20"/>
                <w:color w:val="auto"/>
              </w:rPr>
            </w:pPr>
          </w:p>
        </w:tc>
        <w:tc>
          <w:tcPr>
            <w:tcW w:w="90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(8,198)</w:t>
            </w:r>
          </w:p>
        </w:tc>
        <w:tc>
          <w:tcPr>
            <w:tcW w:w="28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196,909</w:t>
            </w:r>
          </w:p>
        </w:tc>
        <w:tc>
          <w:tcPr>
            <w:tcW w:w="30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252,158</w:t>
            </w:r>
          </w:p>
        </w:tc>
        <w:tc>
          <w:tcPr>
            <w:tcW w:w="240" w:type="dxa"/>
            <w:vAlign w:val="bottom"/>
            <w:tcBorders>
              <w:bottom w:val="single" w:sz="8" w:color="CEFEE7"/>
            </w:tcBorders>
            <w:shd w:val="clear" w:color="auto" w:fill="CEFEE7"/>
          </w:tcPr>
          <w:p>
            <w:pPr>
              <w:spacing w:after="0"/>
              <w:rPr>
                <w:sz w:val="20"/>
                <w:szCs w:val="20"/>
                <w:color w:val="auto"/>
              </w:rPr>
            </w:pPr>
          </w:p>
        </w:tc>
        <w:tc>
          <w:tcPr>
            <w:tcW w:w="94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(55,249)</w:t>
            </w:r>
          </w:p>
        </w:tc>
      </w:tr>
      <w:tr>
        <w:trPr>
          <w:trHeight w:val="223"/>
        </w:trPr>
        <w:tc>
          <w:tcPr>
            <w:tcW w:w="4520" w:type="dxa"/>
            <w:vAlign w:val="bottom"/>
          </w:tcPr>
          <w:p>
            <w:pPr>
              <w:ind w:left="120"/>
              <w:spacing w:after="0"/>
              <w:rPr>
                <w:sz w:val="20"/>
                <w:szCs w:val="20"/>
                <w:color w:val="auto"/>
              </w:rPr>
            </w:pPr>
            <w:r>
              <w:rPr>
                <w:rFonts w:ascii="Arial" w:cs="Arial" w:eastAsia="Arial" w:hAnsi="Arial"/>
                <w:sz w:val="16"/>
                <w:szCs w:val="16"/>
                <w:color w:val="auto"/>
              </w:rPr>
              <w:t>Other - non-regulated services</w:t>
            </w:r>
          </w:p>
        </w:tc>
        <w:tc>
          <w:tcPr>
            <w:tcW w:w="24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1,712</w:t>
            </w:r>
          </w:p>
        </w:tc>
        <w:tc>
          <w:tcPr>
            <w:tcW w:w="3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5,876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12,105</w:t>
            </w:r>
          </w:p>
        </w:tc>
        <w:tc>
          <w:tcPr>
            <w:tcW w:w="2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(9,031)</w:t>
            </w:r>
          </w:p>
        </w:tc>
      </w:tr>
      <w:tr>
        <w:trPr>
          <w:trHeight w:val="33"/>
        </w:trPr>
        <w:tc>
          <w:tcPr>
            <w:tcW w:w="4520" w:type="dxa"/>
            <w:vAlign w:val="bottom"/>
            <w:tcBorders>
              <w:bottom w:val="single" w:sz="8" w:color="CEFE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520" w:type="dxa"/>
            <w:vAlign w:val="bottom"/>
            <w:tcBorders>
              <w:bottom w:val="single" w:sz="8" w:color="CEFEE7"/>
            </w:tcBorders>
            <w:shd w:val="clear" w:color="auto" w:fill="CEFEE7"/>
          </w:tcPr>
          <w:p>
            <w:pPr>
              <w:ind w:left="540"/>
              <w:spacing w:after="0"/>
              <w:rPr>
                <w:sz w:val="20"/>
                <w:szCs w:val="20"/>
                <w:color w:val="auto"/>
              </w:rPr>
            </w:pPr>
            <w:r>
              <w:rPr>
                <w:rFonts w:ascii="Arial" w:cs="Arial" w:eastAsia="Arial" w:hAnsi="Arial"/>
                <w:sz w:val="16"/>
                <w:szCs w:val="16"/>
                <w:color w:val="auto"/>
              </w:rPr>
              <w:t>Total cost of sales</w:t>
            </w:r>
          </w:p>
        </w:tc>
        <w:tc>
          <w:tcPr>
            <w:tcW w:w="24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44,622</w:t>
            </w:r>
          </w:p>
        </w:tc>
        <w:tc>
          <w:tcPr>
            <w:tcW w:w="30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56,984</w:t>
            </w:r>
          </w:p>
        </w:tc>
        <w:tc>
          <w:tcPr>
            <w:tcW w:w="240" w:type="dxa"/>
            <w:vAlign w:val="bottom"/>
            <w:tcBorders>
              <w:bottom w:val="single" w:sz="8" w:color="CEFEE7"/>
            </w:tcBorders>
            <w:shd w:val="clear" w:color="auto" w:fill="CEFEE7"/>
          </w:tcPr>
          <w:p>
            <w:pPr>
              <w:spacing w:after="0"/>
              <w:rPr>
                <w:sz w:val="21"/>
                <w:szCs w:val="21"/>
                <w:color w:val="auto"/>
              </w:rPr>
            </w:pPr>
          </w:p>
        </w:tc>
        <w:tc>
          <w:tcPr>
            <w:tcW w:w="90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(12,362)</w:t>
            </w:r>
          </w:p>
        </w:tc>
        <w:tc>
          <w:tcPr>
            <w:tcW w:w="28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199,983</w:t>
            </w:r>
          </w:p>
        </w:tc>
        <w:tc>
          <w:tcPr>
            <w:tcW w:w="30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264,263</w:t>
            </w:r>
          </w:p>
        </w:tc>
        <w:tc>
          <w:tcPr>
            <w:tcW w:w="240" w:type="dxa"/>
            <w:vAlign w:val="bottom"/>
            <w:tcBorders>
              <w:bottom w:val="single" w:sz="8" w:color="CEFEE7"/>
            </w:tcBorders>
            <w:shd w:val="clear" w:color="auto" w:fill="CEFEE7"/>
          </w:tcPr>
          <w:p>
            <w:pPr>
              <w:spacing w:after="0"/>
              <w:rPr>
                <w:sz w:val="21"/>
                <w:szCs w:val="21"/>
                <w:color w:val="auto"/>
              </w:rPr>
            </w:pPr>
          </w:p>
        </w:tc>
        <w:tc>
          <w:tcPr>
            <w:tcW w:w="94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(64,280)</w:t>
            </w:r>
          </w:p>
        </w:tc>
      </w:tr>
      <w:tr>
        <w:trPr>
          <w:trHeight w:val="236"/>
        </w:trPr>
        <w:tc>
          <w:tcPr>
            <w:tcW w:w="4520" w:type="dxa"/>
            <w:vAlign w:val="bottom"/>
            <w:tcBorders>
              <w:bottom w:val="single" w:sz="8" w:color="CEFEE7"/>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r>
      <w:tr>
        <w:trPr>
          <w:trHeight w:val="250"/>
        </w:trPr>
        <w:tc>
          <w:tcPr>
            <w:tcW w:w="452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Gross margin (non-GAAP)</w:t>
            </w:r>
          </w:p>
        </w:tc>
        <w:tc>
          <w:tcPr>
            <w:tcW w:w="24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116,488</w:t>
            </w:r>
          </w:p>
        </w:tc>
        <w:tc>
          <w:tcPr>
            <w:tcW w:w="30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108,485</w:t>
            </w:r>
          </w:p>
        </w:tc>
        <w:tc>
          <w:tcPr>
            <w:tcW w:w="240" w:type="dxa"/>
            <w:vAlign w:val="bottom"/>
            <w:tcBorders>
              <w:bottom w:val="single" w:sz="8" w:color="CEFEE7"/>
            </w:tcBorders>
            <w:shd w:val="clear" w:color="auto" w:fill="CEFEE7"/>
          </w:tcPr>
          <w:p>
            <w:pPr>
              <w:spacing w:after="0"/>
              <w:rPr>
                <w:sz w:val="21"/>
                <w:szCs w:val="21"/>
                <w:color w:val="auto"/>
              </w:rPr>
            </w:pPr>
          </w:p>
        </w:tc>
        <w:tc>
          <w:tcPr>
            <w:tcW w:w="90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8,003</w:t>
            </w:r>
          </w:p>
        </w:tc>
        <w:tc>
          <w:tcPr>
            <w:tcW w:w="28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321,900</w:t>
            </w:r>
          </w:p>
        </w:tc>
        <w:tc>
          <w:tcPr>
            <w:tcW w:w="30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312,286</w:t>
            </w:r>
          </w:p>
        </w:tc>
        <w:tc>
          <w:tcPr>
            <w:tcW w:w="240" w:type="dxa"/>
            <w:vAlign w:val="bottom"/>
            <w:tcBorders>
              <w:bottom w:val="single" w:sz="8" w:color="CEFEE7"/>
            </w:tcBorders>
            <w:shd w:val="clear" w:color="auto" w:fill="CEFEE7"/>
          </w:tcPr>
          <w:p>
            <w:pPr>
              <w:spacing w:after="0"/>
              <w:rPr>
                <w:sz w:val="21"/>
                <w:szCs w:val="21"/>
                <w:color w:val="auto"/>
              </w:rPr>
            </w:pPr>
          </w:p>
        </w:tc>
        <w:tc>
          <w:tcPr>
            <w:tcW w:w="940" w:type="dxa"/>
            <w:vAlign w:val="bottom"/>
            <w:tcBorders>
              <w:bottom w:val="single" w:sz="8" w:color="CEFEE7"/>
            </w:tcBorders>
            <w:shd w:val="clear" w:color="auto" w:fill="CEFEE7"/>
          </w:tcPr>
          <w:p>
            <w:pPr>
              <w:jc w:val="right"/>
              <w:ind w:right="59"/>
              <w:spacing w:after="0"/>
              <w:rPr>
                <w:sz w:val="20"/>
                <w:szCs w:val="20"/>
                <w:color w:val="auto"/>
              </w:rPr>
            </w:pPr>
            <w:r>
              <w:rPr>
                <w:rFonts w:ascii="Arial" w:cs="Arial" w:eastAsia="Arial" w:hAnsi="Arial"/>
                <w:sz w:val="16"/>
                <w:szCs w:val="16"/>
                <w:color w:val="auto"/>
              </w:rPr>
              <w:t>9,614</w:t>
            </w:r>
          </w:p>
        </w:tc>
      </w:tr>
      <w:tr>
        <w:trPr>
          <w:trHeight w:val="237"/>
        </w:trPr>
        <w:tc>
          <w:tcPr>
            <w:tcW w:w="45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37"/>
        </w:trPr>
        <w:tc>
          <w:tcPr>
            <w:tcW w:w="452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Operations and maintenance</w:t>
            </w:r>
          </w:p>
        </w:tc>
        <w:tc>
          <w:tcPr>
            <w:tcW w:w="24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72,415</w:t>
            </w:r>
          </w:p>
        </w:tc>
        <w:tc>
          <w:tcPr>
            <w:tcW w:w="30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77,131</w:t>
            </w:r>
          </w:p>
        </w:tc>
        <w:tc>
          <w:tcPr>
            <w:tcW w:w="240" w:type="dxa"/>
            <w:vAlign w:val="bottom"/>
            <w:tcBorders>
              <w:bottom w:val="single" w:sz="8" w:color="CEFEE7"/>
            </w:tcBorders>
            <w:shd w:val="clear" w:color="auto" w:fill="CEFEE7"/>
          </w:tcPr>
          <w:p>
            <w:pPr>
              <w:spacing w:after="0"/>
              <w:rPr>
                <w:sz w:val="20"/>
                <w:szCs w:val="20"/>
                <w:color w:val="auto"/>
              </w:rPr>
            </w:pPr>
          </w:p>
        </w:tc>
        <w:tc>
          <w:tcPr>
            <w:tcW w:w="90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(4,716)</w:t>
            </w:r>
          </w:p>
        </w:tc>
        <w:tc>
          <w:tcPr>
            <w:tcW w:w="28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149,709</w:t>
            </w:r>
          </w:p>
        </w:tc>
        <w:tc>
          <w:tcPr>
            <w:tcW w:w="300" w:type="dxa"/>
            <w:vAlign w:val="bottom"/>
            <w:tcBorders>
              <w:bottom w:val="single" w:sz="8" w:color="CEFEE7"/>
            </w:tcBorders>
            <w:shd w:val="clear" w:color="auto" w:fill="CEFEE7"/>
          </w:tcPr>
          <w:p>
            <w:pPr>
              <w:spacing w:after="0"/>
              <w:rPr>
                <w:sz w:val="20"/>
                <w:szCs w:val="20"/>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155,069</w:t>
            </w:r>
          </w:p>
        </w:tc>
        <w:tc>
          <w:tcPr>
            <w:tcW w:w="240" w:type="dxa"/>
            <w:vAlign w:val="bottom"/>
            <w:tcBorders>
              <w:bottom w:val="single" w:sz="8" w:color="CEFEE7"/>
            </w:tcBorders>
            <w:shd w:val="clear" w:color="auto" w:fill="CEFEE7"/>
          </w:tcPr>
          <w:p>
            <w:pPr>
              <w:spacing w:after="0"/>
              <w:rPr>
                <w:sz w:val="20"/>
                <w:szCs w:val="20"/>
                <w:color w:val="auto"/>
              </w:rPr>
            </w:pPr>
          </w:p>
        </w:tc>
        <w:tc>
          <w:tcPr>
            <w:tcW w:w="94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(5,360)</w:t>
            </w:r>
          </w:p>
        </w:tc>
      </w:tr>
      <w:tr>
        <w:trPr>
          <w:trHeight w:val="223"/>
        </w:trPr>
        <w:tc>
          <w:tcPr>
            <w:tcW w:w="45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25,864</w:t>
            </w:r>
          </w:p>
        </w:tc>
        <w:tc>
          <w:tcPr>
            <w:tcW w:w="3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22,797</w:t>
            </w:r>
          </w:p>
        </w:tc>
        <w:tc>
          <w:tcPr>
            <w:tcW w:w="2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3,067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51,085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45,346</w:t>
            </w:r>
          </w:p>
        </w:tc>
        <w:tc>
          <w:tcPr>
            <w:tcW w:w="2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5,739</w:t>
            </w:r>
          </w:p>
        </w:tc>
      </w:tr>
      <w:tr>
        <w:trPr>
          <w:trHeight w:val="33"/>
        </w:trPr>
        <w:tc>
          <w:tcPr>
            <w:tcW w:w="4520" w:type="dxa"/>
            <w:vAlign w:val="bottom"/>
            <w:tcBorders>
              <w:bottom w:val="single" w:sz="8" w:color="CEFE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520" w:type="dxa"/>
            <w:vAlign w:val="bottom"/>
            <w:tcBorders>
              <w:bottom w:val="single" w:sz="8" w:color="CEFEE7"/>
            </w:tcBorders>
            <w:shd w:val="clear" w:color="auto" w:fill="CEFEE7"/>
          </w:tcPr>
          <w:p>
            <w:pPr>
              <w:ind w:left="5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98,279</w:t>
            </w:r>
          </w:p>
        </w:tc>
        <w:tc>
          <w:tcPr>
            <w:tcW w:w="30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ind w:right="19"/>
              <w:spacing w:after="0"/>
              <w:rPr>
                <w:sz w:val="20"/>
                <w:szCs w:val="20"/>
                <w:color w:val="auto"/>
              </w:rPr>
            </w:pPr>
            <w:r>
              <w:rPr>
                <w:rFonts w:ascii="Arial" w:cs="Arial" w:eastAsia="Arial" w:hAnsi="Arial"/>
                <w:sz w:val="16"/>
                <w:szCs w:val="16"/>
                <w:color w:val="auto"/>
              </w:rPr>
              <w:t>99,928</w:t>
            </w:r>
          </w:p>
        </w:tc>
        <w:tc>
          <w:tcPr>
            <w:tcW w:w="240" w:type="dxa"/>
            <w:vAlign w:val="bottom"/>
            <w:tcBorders>
              <w:bottom w:val="single" w:sz="8" w:color="CEFEE7"/>
            </w:tcBorders>
            <w:shd w:val="clear" w:color="auto" w:fill="CEFEE7"/>
          </w:tcPr>
          <w:p>
            <w:pPr>
              <w:spacing w:after="0"/>
              <w:rPr>
                <w:sz w:val="21"/>
                <w:szCs w:val="21"/>
                <w:color w:val="auto"/>
              </w:rPr>
            </w:pPr>
          </w:p>
        </w:tc>
        <w:tc>
          <w:tcPr>
            <w:tcW w:w="90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(1,649)</w:t>
            </w:r>
          </w:p>
        </w:tc>
        <w:tc>
          <w:tcPr>
            <w:tcW w:w="28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200,794</w:t>
            </w:r>
          </w:p>
        </w:tc>
        <w:tc>
          <w:tcPr>
            <w:tcW w:w="300" w:type="dxa"/>
            <w:vAlign w:val="bottom"/>
            <w:tcBorders>
              <w:bottom w:val="single" w:sz="8" w:color="CEFEE7"/>
            </w:tcBorders>
            <w:shd w:val="clear" w:color="auto" w:fill="CEFEE7"/>
          </w:tcPr>
          <w:p>
            <w:pPr>
              <w:spacing w:after="0"/>
              <w:rPr>
                <w:sz w:val="21"/>
                <w:szCs w:val="21"/>
                <w:color w:val="auto"/>
              </w:rPr>
            </w:pPr>
          </w:p>
        </w:tc>
        <w:tc>
          <w:tcPr>
            <w:tcW w:w="820" w:type="dxa"/>
            <w:vAlign w:val="bottom"/>
            <w:tcBorders>
              <w:bottom w:val="single" w:sz="8" w:color="CEFEE7"/>
            </w:tcBorders>
            <w:shd w:val="clear" w:color="auto" w:fill="CEFEE7"/>
          </w:tcPr>
          <w:p>
            <w:pPr>
              <w:jc w:val="right"/>
              <w:spacing w:after="0"/>
              <w:rPr>
                <w:sz w:val="20"/>
                <w:szCs w:val="20"/>
                <w:color w:val="auto"/>
              </w:rPr>
            </w:pPr>
            <w:r>
              <w:rPr>
                <w:rFonts w:ascii="Arial" w:cs="Arial" w:eastAsia="Arial" w:hAnsi="Arial"/>
                <w:sz w:val="16"/>
                <w:szCs w:val="16"/>
                <w:color w:val="auto"/>
              </w:rPr>
              <w:t>200,415</w:t>
            </w:r>
          </w:p>
        </w:tc>
        <w:tc>
          <w:tcPr>
            <w:tcW w:w="240" w:type="dxa"/>
            <w:vAlign w:val="bottom"/>
            <w:tcBorders>
              <w:bottom w:val="single" w:sz="8" w:color="CEFEE7"/>
            </w:tcBorders>
            <w:shd w:val="clear" w:color="auto" w:fill="CEFEE7"/>
          </w:tcPr>
          <w:p>
            <w:pPr>
              <w:spacing w:after="0"/>
              <w:rPr>
                <w:sz w:val="21"/>
                <w:szCs w:val="21"/>
                <w:color w:val="auto"/>
              </w:rPr>
            </w:pPr>
          </w:p>
        </w:tc>
        <w:tc>
          <w:tcPr>
            <w:tcW w:w="940" w:type="dxa"/>
            <w:vAlign w:val="bottom"/>
            <w:tcBorders>
              <w:bottom w:val="single" w:sz="8" w:color="CEFEE7"/>
            </w:tcBorders>
            <w:shd w:val="clear" w:color="auto" w:fill="CEFEE7"/>
          </w:tcPr>
          <w:p>
            <w:pPr>
              <w:jc w:val="right"/>
              <w:ind w:right="59"/>
              <w:spacing w:after="0"/>
              <w:rPr>
                <w:sz w:val="20"/>
                <w:szCs w:val="20"/>
                <w:color w:val="auto"/>
              </w:rPr>
            </w:pPr>
            <w:r>
              <w:rPr>
                <w:rFonts w:ascii="Arial" w:cs="Arial" w:eastAsia="Arial" w:hAnsi="Arial"/>
                <w:sz w:val="16"/>
                <w:szCs w:val="16"/>
                <w:color w:val="auto"/>
              </w:rPr>
              <w:t>379</w:t>
            </w:r>
          </w:p>
        </w:tc>
      </w:tr>
      <w:tr>
        <w:trPr>
          <w:trHeight w:val="236"/>
        </w:trPr>
        <w:tc>
          <w:tcPr>
            <w:tcW w:w="4520" w:type="dxa"/>
            <w:vAlign w:val="bottom"/>
            <w:tcBorders>
              <w:bottom w:val="single" w:sz="8" w:color="CEFEE7"/>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r>
      <w:tr>
        <w:trPr>
          <w:trHeight w:val="272"/>
        </w:trPr>
        <w:tc>
          <w:tcPr>
            <w:tcW w:w="452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6"/>
                <w:szCs w:val="16"/>
                <w:color w:val="auto"/>
              </w:rPr>
              <w:t>Adjusted operating income</w:t>
            </w:r>
          </w:p>
        </w:tc>
        <w:tc>
          <w:tcPr>
            <w:tcW w:w="240" w:type="dxa"/>
            <w:vAlign w:val="bottom"/>
            <w:tcBorders>
              <w:bottom w:val="single" w:sz="8" w:color="auto"/>
            </w:tcBorders>
            <w:shd w:val="clear" w:color="auto" w:fill="CEFEE7"/>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FEE7"/>
          </w:tcPr>
          <w:p>
            <w:pPr>
              <w:jc w:val="right"/>
              <w:ind w:right="19"/>
              <w:spacing w:after="0"/>
              <w:rPr>
                <w:sz w:val="20"/>
                <w:szCs w:val="20"/>
                <w:color w:val="auto"/>
              </w:rPr>
            </w:pPr>
            <w:r>
              <w:rPr>
                <w:rFonts w:ascii="Arial" w:cs="Arial" w:eastAsia="Arial" w:hAnsi="Arial"/>
                <w:sz w:val="16"/>
                <w:szCs w:val="16"/>
                <w:color w:val="auto"/>
              </w:rPr>
              <w:t>18,209</w:t>
            </w:r>
          </w:p>
        </w:tc>
        <w:tc>
          <w:tcPr>
            <w:tcW w:w="300" w:type="dxa"/>
            <w:vAlign w:val="bottom"/>
            <w:tcBorders>
              <w:bottom w:val="single" w:sz="8" w:color="auto"/>
            </w:tcBorders>
            <w:shd w:val="clear" w:color="auto" w:fill="CEFE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EE7"/>
          </w:tcPr>
          <w:p>
            <w:pPr>
              <w:jc w:val="right"/>
              <w:ind w:right="19"/>
              <w:spacing w:after="0"/>
              <w:rPr>
                <w:sz w:val="20"/>
                <w:szCs w:val="20"/>
                <w:color w:val="auto"/>
              </w:rPr>
            </w:pPr>
            <w:r>
              <w:rPr>
                <w:rFonts w:ascii="Arial" w:cs="Arial" w:eastAsia="Arial" w:hAnsi="Arial"/>
                <w:sz w:val="16"/>
                <w:szCs w:val="16"/>
                <w:color w:val="auto"/>
              </w:rPr>
              <w:t>8,557</w:t>
            </w:r>
          </w:p>
        </w:tc>
        <w:tc>
          <w:tcPr>
            <w:tcW w:w="24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EE7"/>
          </w:tcPr>
          <w:p>
            <w:pPr>
              <w:jc w:val="right"/>
              <w:ind w:right="19"/>
              <w:spacing w:after="0"/>
              <w:rPr>
                <w:sz w:val="20"/>
                <w:szCs w:val="20"/>
                <w:color w:val="auto"/>
              </w:rPr>
            </w:pPr>
            <w:r>
              <w:rPr>
                <w:rFonts w:ascii="Arial" w:cs="Arial" w:eastAsia="Arial" w:hAnsi="Arial"/>
                <w:sz w:val="16"/>
                <w:szCs w:val="16"/>
                <w:color w:val="auto"/>
              </w:rPr>
              <w:t>9,652</w:t>
            </w:r>
          </w:p>
        </w:tc>
        <w:tc>
          <w:tcPr>
            <w:tcW w:w="280" w:type="dxa"/>
            <w:vAlign w:val="bottom"/>
            <w:tcBorders>
              <w:bottom w:val="single" w:sz="8" w:color="auto"/>
            </w:tcBorders>
            <w:shd w:val="clear" w:color="auto" w:fill="CEFE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121,106</w:t>
            </w:r>
          </w:p>
        </w:tc>
        <w:tc>
          <w:tcPr>
            <w:tcW w:w="300" w:type="dxa"/>
            <w:vAlign w:val="bottom"/>
            <w:tcBorders>
              <w:bottom w:val="single" w:sz="8" w:color="auto"/>
            </w:tcBorders>
            <w:shd w:val="clear" w:color="auto" w:fill="CEFE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111,871</w:t>
            </w:r>
          </w:p>
        </w:tc>
        <w:tc>
          <w:tcPr>
            <w:tcW w:w="240" w:type="dxa"/>
            <w:vAlign w:val="bottom"/>
            <w:tcBorders>
              <w:bottom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EE7"/>
          </w:tcPr>
          <w:p>
            <w:pPr>
              <w:jc w:val="right"/>
              <w:ind w:right="59"/>
              <w:spacing w:after="0"/>
              <w:rPr>
                <w:sz w:val="20"/>
                <w:szCs w:val="20"/>
                <w:color w:val="auto"/>
              </w:rPr>
            </w:pPr>
            <w:r>
              <w:rPr>
                <w:rFonts w:ascii="Arial" w:cs="Arial" w:eastAsia="Arial" w:hAnsi="Arial"/>
                <w:sz w:val="16"/>
                <w:szCs w:val="16"/>
                <w:color w:val="auto"/>
              </w:rPr>
              <w:t>9,235</w:t>
            </w:r>
          </w:p>
        </w:tc>
      </w:tr>
      <w:tr>
        <w:trPr>
          <w:trHeight w:val="20"/>
        </w:trPr>
        <w:tc>
          <w:tcPr>
            <w:tcW w:w="4520" w:type="dxa"/>
            <w:vAlign w:val="bottom"/>
            <w:tcBorders>
              <w:top w:val="single" w:sz="8" w:color="CEFEE7"/>
            </w:tcBorders>
          </w:tcPr>
          <w:p>
            <w:pPr>
              <w:spacing w:after="0" w:line="20" w:lineRule="exact"/>
              <w:rPr>
                <w:sz w:val="1"/>
                <w:szCs w:val="1"/>
                <w:color w:val="auto"/>
              </w:rPr>
            </w:pPr>
          </w:p>
        </w:tc>
        <w:tc>
          <w:tcPr>
            <w:tcW w:w="240" w:type="dxa"/>
            <w:vAlign w:val="bottom"/>
            <w:tcBorders>
              <w:top w:val="single" w:sz="8" w:color="CEFEE7"/>
              <w:bottom w:val="single" w:sz="8" w:color="auto"/>
            </w:tcBorders>
          </w:tcPr>
          <w:p>
            <w:pPr>
              <w:spacing w:after="0" w:line="20" w:lineRule="exact"/>
              <w:rPr>
                <w:sz w:val="1"/>
                <w:szCs w:val="1"/>
                <w:color w:val="auto"/>
              </w:rPr>
            </w:pPr>
          </w:p>
        </w:tc>
        <w:tc>
          <w:tcPr>
            <w:tcW w:w="820" w:type="dxa"/>
            <w:vAlign w:val="bottom"/>
            <w:tcBorders>
              <w:top w:val="single" w:sz="8" w:color="CEFEE7"/>
              <w:bottom w:val="single" w:sz="8" w:color="auto"/>
            </w:tcBorders>
          </w:tcPr>
          <w:p>
            <w:pPr>
              <w:spacing w:after="0" w:line="20" w:lineRule="exact"/>
              <w:rPr>
                <w:sz w:val="1"/>
                <w:szCs w:val="1"/>
                <w:color w:val="auto"/>
              </w:rPr>
            </w:pPr>
          </w:p>
        </w:tc>
        <w:tc>
          <w:tcPr>
            <w:tcW w:w="300" w:type="dxa"/>
            <w:vAlign w:val="bottom"/>
            <w:tcBorders>
              <w:top w:val="single" w:sz="8" w:color="CEFEE7"/>
              <w:bottom w:val="single" w:sz="8" w:color="auto"/>
            </w:tcBorders>
          </w:tcPr>
          <w:p>
            <w:pPr>
              <w:spacing w:after="0" w:line="20" w:lineRule="exact"/>
              <w:rPr>
                <w:sz w:val="1"/>
                <w:szCs w:val="1"/>
                <w:color w:val="auto"/>
              </w:rPr>
            </w:pPr>
          </w:p>
        </w:tc>
        <w:tc>
          <w:tcPr>
            <w:tcW w:w="820" w:type="dxa"/>
            <w:vAlign w:val="bottom"/>
            <w:tcBorders>
              <w:top w:val="single" w:sz="8" w:color="CEFEE7"/>
              <w:bottom w:val="single" w:sz="8" w:color="auto"/>
            </w:tcBorders>
          </w:tcPr>
          <w:p>
            <w:pPr>
              <w:spacing w:after="0" w:line="20" w:lineRule="exact"/>
              <w:rPr>
                <w:sz w:val="1"/>
                <w:szCs w:val="1"/>
                <w:color w:val="auto"/>
              </w:rPr>
            </w:pPr>
          </w:p>
        </w:tc>
        <w:tc>
          <w:tcPr>
            <w:tcW w:w="240" w:type="dxa"/>
            <w:vAlign w:val="bottom"/>
            <w:tcBorders>
              <w:top w:val="single" w:sz="8" w:color="CEFEE7"/>
              <w:bottom w:val="single" w:sz="8" w:color="auto"/>
            </w:tcBorders>
          </w:tcPr>
          <w:p>
            <w:pPr>
              <w:spacing w:after="0" w:line="20" w:lineRule="exact"/>
              <w:rPr>
                <w:sz w:val="1"/>
                <w:szCs w:val="1"/>
                <w:color w:val="auto"/>
              </w:rPr>
            </w:pPr>
          </w:p>
        </w:tc>
        <w:tc>
          <w:tcPr>
            <w:tcW w:w="900" w:type="dxa"/>
            <w:vAlign w:val="bottom"/>
            <w:tcBorders>
              <w:top w:val="single" w:sz="8" w:color="CEFEE7"/>
              <w:bottom w:val="single" w:sz="8" w:color="auto"/>
            </w:tcBorders>
          </w:tcPr>
          <w:p>
            <w:pPr>
              <w:spacing w:after="0" w:line="20" w:lineRule="exact"/>
              <w:rPr>
                <w:sz w:val="1"/>
                <w:szCs w:val="1"/>
                <w:color w:val="auto"/>
              </w:rPr>
            </w:pPr>
          </w:p>
        </w:tc>
        <w:tc>
          <w:tcPr>
            <w:tcW w:w="280" w:type="dxa"/>
            <w:vAlign w:val="bottom"/>
            <w:tcBorders>
              <w:top w:val="single" w:sz="8" w:color="CEFEE7"/>
              <w:bottom w:val="single" w:sz="8" w:color="auto"/>
            </w:tcBorders>
          </w:tcPr>
          <w:p>
            <w:pPr>
              <w:spacing w:after="0" w:line="20" w:lineRule="exact"/>
              <w:rPr>
                <w:sz w:val="1"/>
                <w:szCs w:val="1"/>
                <w:color w:val="auto"/>
              </w:rPr>
            </w:pPr>
          </w:p>
        </w:tc>
        <w:tc>
          <w:tcPr>
            <w:tcW w:w="820" w:type="dxa"/>
            <w:vAlign w:val="bottom"/>
            <w:tcBorders>
              <w:top w:val="single" w:sz="8" w:color="CEFEE7"/>
              <w:bottom w:val="single" w:sz="8" w:color="auto"/>
            </w:tcBorders>
          </w:tcPr>
          <w:p>
            <w:pPr>
              <w:spacing w:after="0" w:line="20" w:lineRule="exact"/>
              <w:rPr>
                <w:sz w:val="1"/>
                <w:szCs w:val="1"/>
                <w:color w:val="auto"/>
              </w:rPr>
            </w:pPr>
          </w:p>
        </w:tc>
        <w:tc>
          <w:tcPr>
            <w:tcW w:w="300" w:type="dxa"/>
            <w:vAlign w:val="bottom"/>
            <w:tcBorders>
              <w:top w:val="single" w:sz="8" w:color="CEFEE7"/>
              <w:bottom w:val="single" w:sz="8" w:color="auto"/>
            </w:tcBorders>
          </w:tcPr>
          <w:p>
            <w:pPr>
              <w:spacing w:after="0" w:line="20" w:lineRule="exact"/>
              <w:rPr>
                <w:sz w:val="1"/>
                <w:szCs w:val="1"/>
                <w:color w:val="auto"/>
              </w:rPr>
            </w:pPr>
          </w:p>
        </w:tc>
        <w:tc>
          <w:tcPr>
            <w:tcW w:w="820" w:type="dxa"/>
            <w:vAlign w:val="bottom"/>
            <w:tcBorders>
              <w:top w:val="single" w:sz="8" w:color="CEFEE7"/>
              <w:bottom w:val="single" w:sz="8" w:color="auto"/>
            </w:tcBorders>
          </w:tcPr>
          <w:p>
            <w:pPr>
              <w:spacing w:after="0" w:line="20" w:lineRule="exact"/>
              <w:rPr>
                <w:sz w:val="1"/>
                <w:szCs w:val="1"/>
                <w:color w:val="auto"/>
              </w:rPr>
            </w:pPr>
          </w:p>
        </w:tc>
        <w:tc>
          <w:tcPr>
            <w:tcW w:w="240" w:type="dxa"/>
            <w:vAlign w:val="bottom"/>
            <w:tcBorders>
              <w:top w:val="single" w:sz="8" w:color="CEFEE7"/>
              <w:bottom w:val="single" w:sz="8" w:color="auto"/>
            </w:tcBorders>
          </w:tcPr>
          <w:p>
            <w:pPr>
              <w:spacing w:after="0" w:line="20" w:lineRule="exact"/>
              <w:rPr>
                <w:sz w:val="1"/>
                <w:szCs w:val="1"/>
                <w:color w:val="auto"/>
              </w:rPr>
            </w:pPr>
          </w:p>
        </w:tc>
        <w:tc>
          <w:tcPr>
            <w:tcW w:w="940" w:type="dxa"/>
            <w:vAlign w:val="bottom"/>
            <w:tcBorders>
              <w:top w:val="single" w:sz="8" w:color="CEFE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the Three Months Ended June 30,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three months ended June 30, 2020 increased as a result of:</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ind w:left="28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8"/>
                <w:szCs w:val="18"/>
                <w:color w:val="auto"/>
              </w:rPr>
              <w:t>New rates</w:t>
            </w:r>
          </w:p>
        </w:tc>
        <w:tc>
          <w:tcPr>
            <w:tcW w:w="360" w:type="dxa"/>
            <w:vAlign w:val="bottom"/>
            <w:tcBorders>
              <w:bottom w:val="single" w:sz="8" w:color="CEFEE7"/>
            </w:tcBorders>
            <w:shd w:val="clear" w:color="auto" w:fill="CEFEE7"/>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EFEE7"/>
            </w:tcBorders>
            <w:shd w:val="clear" w:color="auto" w:fill="CEFEE7"/>
          </w:tcPr>
          <w:p>
            <w:pPr>
              <w:jc w:val="center"/>
              <w:ind w:left="1190"/>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Weather</w:t>
            </w:r>
          </w:p>
        </w:tc>
        <w:tc>
          <w:tcPr>
            <w:tcW w:w="360" w:type="dxa"/>
            <w:vAlign w:val="bottom"/>
          </w:tcPr>
          <w:p>
            <w:pPr>
              <w:spacing w:after="0"/>
              <w:rPr>
                <w:sz w:val="21"/>
                <w:szCs w:val="21"/>
                <w:color w:val="auto"/>
              </w:rPr>
            </w:pPr>
          </w:p>
        </w:tc>
        <w:tc>
          <w:tcPr>
            <w:tcW w:w="1820" w:type="dxa"/>
            <w:vAlign w:val="bottom"/>
          </w:tcPr>
          <w:p>
            <w:pPr>
              <w:jc w:val="center"/>
              <w:ind w:left="1190"/>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8"/>
                <w:szCs w:val="18"/>
                <w:color w:val="auto"/>
              </w:rPr>
              <w:t>Mark-to-market on non-utility natural gas commodity contracts</w:t>
            </w:r>
          </w:p>
        </w:tc>
        <w:tc>
          <w:tcPr>
            <w:tcW w:w="360" w:type="dxa"/>
            <w:vAlign w:val="bottom"/>
            <w:tcBorders>
              <w:bottom w:val="single" w:sz="8" w:color="CEFEE7"/>
            </w:tcBorders>
            <w:shd w:val="clear" w:color="auto" w:fill="CEFEE7"/>
          </w:tcPr>
          <w:p>
            <w:pPr>
              <w:spacing w:after="0"/>
              <w:rPr>
                <w:sz w:val="21"/>
                <w:szCs w:val="21"/>
                <w:color w:val="auto"/>
              </w:rPr>
            </w:pPr>
          </w:p>
        </w:tc>
        <w:tc>
          <w:tcPr>
            <w:tcW w:w="1820" w:type="dxa"/>
            <w:vAlign w:val="bottom"/>
            <w:tcBorders>
              <w:bottom w:val="single" w:sz="8" w:color="CEFEE7"/>
            </w:tcBorders>
            <w:shd w:val="clear" w:color="auto" w:fill="CEFEE7"/>
          </w:tcPr>
          <w:p>
            <w:pPr>
              <w:jc w:val="center"/>
              <w:ind w:left="1190"/>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Customer growth - distribution</w:t>
            </w:r>
          </w:p>
        </w:tc>
        <w:tc>
          <w:tcPr>
            <w:tcW w:w="360" w:type="dxa"/>
            <w:vAlign w:val="bottom"/>
          </w:tcPr>
          <w:p>
            <w:pPr>
              <w:spacing w:after="0"/>
              <w:rPr>
                <w:sz w:val="21"/>
                <w:szCs w:val="21"/>
                <w:color w:val="auto"/>
              </w:rPr>
            </w:pPr>
          </w:p>
        </w:tc>
        <w:tc>
          <w:tcPr>
            <w:tcW w:w="1820" w:type="dxa"/>
            <w:vAlign w:val="bottom"/>
          </w:tcPr>
          <w:p>
            <w:pPr>
              <w:jc w:val="center"/>
              <w:ind w:left="1190"/>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EFEE7"/>
          </w:tcPr>
          <w:p>
            <w:pPr>
              <w:ind w:left="20"/>
              <w:spacing w:after="0"/>
              <w:rPr>
                <w:sz w:val="20"/>
                <w:szCs w:val="20"/>
                <w:color w:val="auto"/>
              </w:rPr>
            </w:pPr>
            <w:r>
              <w:rPr>
                <w:rFonts w:ascii="Arial" w:cs="Arial" w:eastAsia="Arial" w:hAnsi="Arial"/>
                <w:sz w:val="18"/>
                <w:szCs w:val="18"/>
                <w:color w:val="auto"/>
              </w:rPr>
              <w:t xml:space="preserve">COVID-19 impacts </w:t>
            </w:r>
            <w:r>
              <w:rPr>
                <w:rFonts w:ascii="Arial" w:cs="Arial" w:eastAsia="Arial" w:hAnsi="Arial"/>
                <w:sz w:val="23"/>
                <w:szCs w:val="23"/>
                <w:color w:val="auto"/>
                <w:vertAlign w:val="superscript"/>
              </w:rPr>
              <w:t>(a)</w:t>
            </w:r>
          </w:p>
        </w:tc>
        <w:tc>
          <w:tcPr>
            <w:tcW w:w="360" w:type="dxa"/>
            <w:vAlign w:val="bottom"/>
            <w:shd w:val="clear" w:color="auto" w:fill="CEFEE7"/>
          </w:tcPr>
          <w:p>
            <w:pPr>
              <w:spacing w:after="0"/>
              <w:rPr>
                <w:sz w:val="23"/>
                <w:szCs w:val="23"/>
                <w:color w:val="auto"/>
              </w:rPr>
            </w:pPr>
          </w:p>
        </w:tc>
        <w:tc>
          <w:tcPr>
            <w:tcW w:w="1820" w:type="dxa"/>
            <w:vAlign w:val="bottom"/>
            <w:shd w:val="clear" w:color="auto" w:fill="CEFEE7"/>
          </w:tcPr>
          <w:p>
            <w:pPr>
              <w:jc w:val="center"/>
              <w:ind w:left="1170"/>
              <w:spacing w:after="0"/>
              <w:rPr>
                <w:sz w:val="20"/>
                <w:szCs w:val="20"/>
                <w:color w:val="auto"/>
              </w:rPr>
            </w:pPr>
            <w:r>
              <w:rPr>
                <w:rFonts w:ascii="Arial" w:cs="Arial" w:eastAsia="Arial" w:hAnsi="Arial"/>
                <w:sz w:val="18"/>
                <w:szCs w:val="18"/>
                <w:color w:val="auto"/>
                <w:w w:val="97"/>
              </w:rPr>
              <w:t>(0.9)</w:t>
            </w:r>
          </w:p>
        </w:tc>
        <w:tc>
          <w:tcPr>
            <w:tcW w:w="0" w:type="dxa"/>
            <w:vAlign w:val="bottom"/>
          </w:tcPr>
          <w:p>
            <w:pPr>
              <w:spacing w:after="0"/>
              <w:rPr>
                <w:sz w:val="1"/>
                <w:szCs w:val="1"/>
                <w:color w:val="auto"/>
              </w:rPr>
            </w:pP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Decreased transport and transmission</w:t>
            </w:r>
          </w:p>
        </w:tc>
        <w:tc>
          <w:tcPr>
            <w:tcW w:w="360" w:type="dxa"/>
            <w:vAlign w:val="bottom"/>
          </w:tcPr>
          <w:p>
            <w:pPr>
              <w:spacing w:after="0"/>
              <w:rPr>
                <w:sz w:val="21"/>
                <w:szCs w:val="21"/>
                <w:color w:val="auto"/>
              </w:rPr>
            </w:pPr>
          </w:p>
        </w:tc>
        <w:tc>
          <w:tcPr>
            <w:tcW w:w="1820" w:type="dxa"/>
            <w:vAlign w:val="bottom"/>
          </w:tcPr>
          <w:p>
            <w:pPr>
              <w:jc w:val="center"/>
              <w:ind w:left="1170"/>
              <w:spacing w:after="0"/>
              <w:rPr>
                <w:sz w:val="20"/>
                <w:szCs w:val="20"/>
                <w:color w:val="auto"/>
              </w:rPr>
            </w:pPr>
            <w:r>
              <w:rPr>
                <w:rFonts w:ascii="Arial" w:cs="Arial" w:eastAsia="Arial" w:hAnsi="Arial"/>
                <w:sz w:val="18"/>
                <w:szCs w:val="18"/>
                <w:color w:val="auto"/>
                <w:w w:val="97"/>
              </w:rPr>
              <w:t>(0.8)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EFEE7"/>
            </w:tcBorders>
            <w:shd w:val="clear" w:color="auto" w:fill="CEFEE7"/>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EFEE7"/>
            </w:tcBorders>
            <w:shd w:val="clear" w:color="auto" w:fill="CEFEE7"/>
          </w:tcPr>
          <w:p>
            <w:pPr>
              <w:spacing w:after="0"/>
              <w:rPr>
                <w:sz w:val="23"/>
                <w:szCs w:val="23"/>
                <w:color w:val="auto"/>
              </w:rPr>
            </w:pPr>
          </w:p>
        </w:tc>
        <w:tc>
          <w:tcPr>
            <w:tcW w:w="1820" w:type="dxa"/>
            <w:vAlign w:val="bottom"/>
            <w:tcBorders>
              <w:bottom w:val="single" w:sz="8" w:color="CEFEE7"/>
            </w:tcBorders>
            <w:shd w:val="clear" w:color="auto" w:fill="CEFEE7"/>
          </w:tcPr>
          <w:p>
            <w:pPr>
              <w:jc w:val="center"/>
              <w:ind w:left="119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64"/>
        </w:trPr>
        <w:tc>
          <w:tcPr>
            <w:tcW w:w="9020" w:type="dxa"/>
            <w:vAlign w:val="bottom"/>
          </w:tcPr>
          <w:p>
            <w:pPr>
              <w:ind w:left="20"/>
              <w:spacing w:after="0"/>
              <w:rPr>
                <w:sz w:val="20"/>
                <w:szCs w:val="20"/>
                <w:color w:val="auto"/>
              </w:rPr>
            </w:pPr>
            <w:r>
              <w:rPr>
                <w:rFonts w:ascii="Arial" w:cs="Arial" w:eastAsia="Arial" w:hAnsi="Arial"/>
                <w:sz w:val="18"/>
                <w:szCs w:val="18"/>
                <w:color w:val="auto"/>
              </w:rPr>
              <w:t>Total increase in Gross margin (non-GAAP)</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center"/>
              <w:ind w:left="1190"/>
              <w:spacing w:after="0"/>
              <w:rPr>
                <w:sz w:val="20"/>
                <w:szCs w:val="20"/>
                <w:color w:val="auto"/>
              </w:rPr>
            </w:pPr>
            <w:r>
              <w:rPr>
                <w:rFonts w:ascii="Arial" w:cs="Arial" w:eastAsia="Arial" w:hAnsi="Arial"/>
                <w:sz w:val="18"/>
                <w:szCs w:val="18"/>
                <w:color w:val="auto"/>
                <w:w w:val="87"/>
              </w:rPr>
              <w:t>8.0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90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(a) The impacts to Gas Utilities gross margin from COVID-19 were primarily driven by reduced volumes from certain industrial and transport customers.</w:t>
      </w:r>
    </w:p>
    <w:p>
      <w:pPr>
        <w:spacing w:after="0" w:line="23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Operations and maintenance expense</w:t>
      </w:r>
      <w:r>
        <w:rPr>
          <w:rFonts w:ascii="Arial" w:cs="Arial" w:eastAsia="Arial" w:hAnsi="Arial"/>
          <w:sz w:val="18"/>
          <w:szCs w:val="18"/>
          <w:color w:val="auto"/>
        </w:rPr>
        <w:t xml:space="preserve"> decreased primarily due to $1.5 million of lower employee costs and $1.5 million of lower outside service expenses. COVID-19 impacts to operations and maintenance expense included $1.4 million of lower travel, training and outside services related expenses which were partially offset by $1.0 million of additional bad debt expense. Various other expenses comprised the remainder of the difference when compared to the same period in the prior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year and current year capital expenditures.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the Six Months Ended June 30,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six months ended June 30, 2020 increased as a result of:</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ind w:left="280"/>
              <w:spacing w:after="0"/>
              <w:rPr>
                <w:sz w:val="20"/>
                <w:szCs w:val="20"/>
                <w:color w:val="auto"/>
              </w:rPr>
            </w:pPr>
            <w:r>
              <w:rPr>
                <w:rFonts w:ascii="Arial" w:cs="Arial" w:eastAsia="Arial" w:hAnsi="Arial"/>
                <w:sz w:val="18"/>
                <w:szCs w:val="18"/>
                <w:color w:val="auto"/>
              </w:rPr>
              <w:t>(in millions)</w:t>
            </w:r>
          </w:p>
        </w:tc>
      </w:tr>
      <w:tr>
        <w:trPr>
          <w:trHeight w:val="27"/>
        </w:trPr>
        <w:tc>
          <w:tcPr>
            <w:tcW w:w="9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90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New rates</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EFFE7"/>
            </w:tcBorders>
            <w:shd w:val="clear" w:color="auto" w:fill="CEFFE7"/>
          </w:tcPr>
          <w:p>
            <w:pPr>
              <w:jc w:val="center"/>
              <w:ind w:left="1190"/>
              <w:spacing w:after="0"/>
              <w:rPr>
                <w:sz w:val="20"/>
                <w:szCs w:val="20"/>
                <w:color w:val="auto"/>
              </w:rPr>
            </w:pPr>
            <w:r>
              <w:rPr>
                <w:rFonts w:ascii="Arial" w:cs="Arial" w:eastAsia="Arial" w:hAnsi="Arial"/>
                <w:sz w:val="18"/>
                <w:szCs w:val="18"/>
                <w:color w:val="auto"/>
                <w:w w:val="87"/>
              </w:rPr>
              <w:t>9.2</w:t>
            </w:r>
          </w:p>
        </w:tc>
      </w:tr>
      <w:tr>
        <w:trPr>
          <w:trHeight w:val="243"/>
        </w:trPr>
        <w:tc>
          <w:tcPr>
            <w:tcW w:w="9000" w:type="dxa"/>
            <w:vAlign w:val="bottom"/>
          </w:tcPr>
          <w:p>
            <w:pPr>
              <w:spacing w:after="0"/>
              <w:rPr>
                <w:sz w:val="20"/>
                <w:szCs w:val="20"/>
                <w:color w:val="auto"/>
              </w:rPr>
            </w:pPr>
            <w:r>
              <w:rPr>
                <w:rFonts w:ascii="Arial" w:cs="Arial" w:eastAsia="Arial" w:hAnsi="Arial"/>
                <w:sz w:val="18"/>
                <w:szCs w:val="18"/>
                <w:color w:val="auto"/>
              </w:rPr>
              <w:t>Prior year amortization of excess deferred income taxes</w:t>
            </w:r>
          </w:p>
        </w:tc>
        <w:tc>
          <w:tcPr>
            <w:tcW w:w="360" w:type="dxa"/>
            <w:vAlign w:val="bottom"/>
          </w:tcPr>
          <w:p>
            <w:pPr>
              <w:spacing w:after="0"/>
              <w:rPr>
                <w:sz w:val="21"/>
                <w:szCs w:val="21"/>
                <w:color w:val="auto"/>
              </w:rPr>
            </w:pPr>
          </w:p>
        </w:tc>
        <w:tc>
          <w:tcPr>
            <w:tcW w:w="1820" w:type="dxa"/>
            <w:vAlign w:val="bottom"/>
          </w:tcPr>
          <w:p>
            <w:pPr>
              <w:jc w:val="center"/>
              <w:ind w:left="1190"/>
              <w:spacing w:after="0"/>
              <w:rPr>
                <w:sz w:val="20"/>
                <w:szCs w:val="20"/>
                <w:color w:val="auto"/>
              </w:rPr>
            </w:pPr>
            <w:r>
              <w:rPr>
                <w:rFonts w:ascii="Arial" w:cs="Arial" w:eastAsia="Arial" w:hAnsi="Arial"/>
                <w:sz w:val="18"/>
                <w:szCs w:val="18"/>
                <w:color w:val="auto"/>
                <w:w w:val="87"/>
              </w:rPr>
              <w:t>2.7</w:t>
            </w:r>
          </w:p>
        </w:tc>
      </w:tr>
      <w:tr>
        <w:trPr>
          <w:trHeight w:val="27"/>
        </w:trPr>
        <w:tc>
          <w:tcPr>
            <w:tcW w:w="9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0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Customer growth - distribution</w:t>
            </w:r>
          </w:p>
        </w:tc>
        <w:tc>
          <w:tcPr>
            <w:tcW w:w="36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center"/>
              <w:ind w:left="1190"/>
              <w:spacing w:after="0"/>
              <w:rPr>
                <w:sz w:val="20"/>
                <w:szCs w:val="20"/>
                <w:color w:val="auto"/>
              </w:rPr>
            </w:pPr>
            <w:r>
              <w:rPr>
                <w:rFonts w:ascii="Arial" w:cs="Arial" w:eastAsia="Arial" w:hAnsi="Arial"/>
                <w:sz w:val="18"/>
                <w:szCs w:val="18"/>
                <w:color w:val="auto"/>
                <w:w w:val="87"/>
              </w:rPr>
              <w:t>2.1</w:t>
            </w:r>
          </w:p>
        </w:tc>
      </w:tr>
      <w:tr>
        <w:trPr>
          <w:trHeight w:val="243"/>
        </w:trPr>
        <w:tc>
          <w:tcPr>
            <w:tcW w:w="9000" w:type="dxa"/>
            <w:vAlign w:val="bottom"/>
          </w:tcPr>
          <w:p>
            <w:pPr>
              <w:spacing w:after="0"/>
              <w:rPr>
                <w:sz w:val="20"/>
                <w:szCs w:val="20"/>
                <w:color w:val="auto"/>
              </w:rPr>
            </w:pPr>
            <w:r>
              <w:rPr>
                <w:rFonts w:ascii="Arial" w:cs="Arial" w:eastAsia="Arial" w:hAnsi="Arial"/>
                <w:sz w:val="18"/>
                <w:szCs w:val="18"/>
                <w:color w:val="auto"/>
              </w:rPr>
              <w:t>Mark-to-market on non-utility natural gas commodity contracts</w:t>
            </w:r>
          </w:p>
        </w:tc>
        <w:tc>
          <w:tcPr>
            <w:tcW w:w="360" w:type="dxa"/>
            <w:vAlign w:val="bottom"/>
          </w:tcPr>
          <w:p>
            <w:pPr>
              <w:spacing w:after="0"/>
              <w:rPr>
                <w:sz w:val="21"/>
                <w:szCs w:val="21"/>
                <w:color w:val="auto"/>
              </w:rPr>
            </w:pPr>
          </w:p>
        </w:tc>
        <w:tc>
          <w:tcPr>
            <w:tcW w:w="1820" w:type="dxa"/>
            <w:vAlign w:val="bottom"/>
          </w:tcPr>
          <w:p>
            <w:pPr>
              <w:jc w:val="center"/>
              <w:ind w:left="1190"/>
              <w:spacing w:after="0"/>
              <w:rPr>
                <w:sz w:val="20"/>
                <w:szCs w:val="20"/>
                <w:color w:val="auto"/>
              </w:rPr>
            </w:pPr>
            <w:r>
              <w:rPr>
                <w:rFonts w:ascii="Arial" w:cs="Arial" w:eastAsia="Arial" w:hAnsi="Arial"/>
                <w:sz w:val="18"/>
                <w:szCs w:val="18"/>
                <w:color w:val="auto"/>
                <w:w w:val="87"/>
              </w:rPr>
              <w:t>2.4</w:t>
            </w:r>
          </w:p>
        </w:tc>
      </w:tr>
      <w:tr>
        <w:trPr>
          <w:trHeight w:val="27"/>
        </w:trPr>
        <w:tc>
          <w:tcPr>
            <w:tcW w:w="9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0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Weather</w:t>
            </w:r>
          </w:p>
        </w:tc>
        <w:tc>
          <w:tcPr>
            <w:tcW w:w="36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center"/>
              <w:ind w:left="1170"/>
              <w:spacing w:after="0"/>
              <w:rPr>
                <w:sz w:val="20"/>
                <w:szCs w:val="20"/>
                <w:color w:val="auto"/>
              </w:rPr>
            </w:pPr>
            <w:r>
              <w:rPr>
                <w:rFonts w:ascii="Arial" w:cs="Arial" w:eastAsia="Arial" w:hAnsi="Arial"/>
                <w:sz w:val="18"/>
                <w:szCs w:val="18"/>
                <w:color w:val="auto"/>
                <w:w w:val="97"/>
              </w:rPr>
              <w:t>(7.6)</w:t>
            </w:r>
          </w:p>
        </w:tc>
      </w:tr>
      <w:tr>
        <w:trPr>
          <w:trHeight w:val="270"/>
        </w:trPr>
        <w:tc>
          <w:tcPr>
            <w:tcW w:w="9000" w:type="dxa"/>
            <w:vAlign w:val="bottom"/>
          </w:tcPr>
          <w:p>
            <w:pPr>
              <w:spacing w:after="0"/>
              <w:rPr>
                <w:sz w:val="20"/>
                <w:szCs w:val="20"/>
                <w:color w:val="auto"/>
              </w:rPr>
            </w:pPr>
            <w:r>
              <w:rPr>
                <w:rFonts w:ascii="Arial" w:cs="Arial" w:eastAsia="Arial" w:hAnsi="Arial"/>
                <w:sz w:val="18"/>
                <w:szCs w:val="18"/>
                <w:color w:val="auto"/>
              </w:rPr>
              <w:t xml:space="preserve">COVID-19 impacts </w:t>
            </w:r>
            <w:r>
              <w:rPr>
                <w:rFonts w:ascii="Arial" w:cs="Arial" w:eastAsia="Arial" w:hAnsi="Arial"/>
                <w:sz w:val="23"/>
                <w:szCs w:val="23"/>
                <w:color w:val="auto"/>
                <w:vertAlign w:val="superscript"/>
              </w:rPr>
              <w:t>(a)</w:t>
            </w:r>
          </w:p>
        </w:tc>
        <w:tc>
          <w:tcPr>
            <w:tcW w:w="360" w:type="dxa"/>
            <w:vAlign w:val="bottom"/>
          </w:tcPr>
          <w:p>
            <w:pPr>
              <w:spacing w:after="0"/>
              <w:rPr>
                <w:sz w:val="23"/>
                <w:szCs w:val="23"/>
                <w:color w:val="auto"/>
              </w:rPr>
            </w:pPr>
          </w:p>
        </w:tc>
        <w:tc>
          <w:tcPr>
            <w:tcW w:w="1820" w:type="dxa"/>
            <w:vAlign w:val="bottom"/>
          </w:tcPr>
          <w:p>
            <w:pPr>
              <w:jc w:val="center"/>
              <w:ind w:left="1170"/>
              <w:spacing w:after="0"/>
              <w:rPr>
                <w:sz w:val="20"/>
                <w:szCs w:val="20"/>
                <w:color w:val="auto"/>
              </w:rPr>
            </w:pPr>
            <w:r>
              <w:rPr>
                <w:rFonts w:ascii="Arial" w:cs="Arial" w:eastAsia="Arial" w:hAnsi="Arial"/>
                <w:sz w:val="18"/>
                <w:szCs w:val="18"/>
                <w:color w:val="auto"/>
                <w:w w:val="97"/>
              </w:rPr>
              <w:t>(0.9)</w:t>
            </w:r>
          </w:p>
        </w:tc>
      </w:tr>
      <w:tr>
        <w:trPr>
          <w:trHeight w:val="270"/>
        </w:trPr>
        <w:tc>
          <w:tcPr>
            <w:tcW w:w="90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center"/>
              <w:ind w:left="1190"/>
              <w:spacing w:after="0"/>
              <w:rPr>
                <w:sz w:val="20"/>
                <w:szCs w:val="20"/>
                <w:color w:val="auto"/>
              </w:rPr>
            </w:pPr>
            <w:r>
              <w:rPr>
                <w:rFonts w:ascii="Arial" w:cs="Arial" w:eastAsia="Arial" w:hAnsi="Arial"/>
                <w:sz w:val="18"/>
                <w:szCs w:val="18"/>
                <w:color w:val="auto"/>
                <w:w w:val="87"/>
              </w:rPr>
              <w:t>1.7</w:t>
            </w:r>
          </w:p>
        </w:tc>
      </w:tr>
      <w:tr>
        <w:trPr>
          <w:trHeight w:val="263"/>
        </w:trPr>
        <w:tc>
          <w:tcPr>
            <w:tcW w:w="9000" w:type="dxa"/>
            <w:vAlign w:val="bottom"/>
          </w:tcPr>
          <w:p>
            <w:pPr>
              <w:spacing w:after="0"/>
              <w:rPr>
                <w:sz w:val="20"/>
                <w:szCs w:val="20"/>
                <w:color w:val="auto"/>
              </w:rPr>
            </w:pPr>
            <w:r>
              <w:rPr>
                <w:rFonts w:ascii="Arial" w:cs="Arial" w:eastAsia="Arial" w:hAnsi="Arial"/>
                <w:sz w:val="18"/>
                <w:szCs w:val="18"/>
                <w:color w:val="auto"/>
              </w:rPr>
              <w:t>Total increase in Gross margin (non-GAAP)</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center"/>
              <w:ind w:left="1190"/>
              <w:spacing w:after="0"/>
              <w:rPr>
                <w:sz w:val="20"/>
                <w:szCs w:val="20"/>
                <w:color w:val="auto"/>
              </w:rPr>
            </w:pPr>
            <w:r>
              <w:rPr>
                <w:rFonts w:ascii="Arial" w:cs="Arial" w:eastAsia="Arial" w:hAnsi="Arial"/>
                <w:sz w:val="18"/>
                <w:szCs w:val="18"/>
                <w:color w:val="auto"/>
                <w:w w:val="87"/>
              </w:rPr>
              <w:t>9.6</w:t>
            </w: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 The impacts to Gas Utilities gross margin from COVID-19 were primarily driven by reduced volumes from certain industrial and transport customers.</w:t>
      </w:r>
    </w:p>
    <w:p>
      <w:pPr>
        <w:spacing w:after="0" w:line="2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u w:val="single" w:color="auto"/>
          <w:color w:val="auto"/>
        </w:rPr>
        <w:t>Operations and maintenance expense</w:t>
      </w:r>
      <w:r>
        <w:rPr>
          <w:rFonts w:ascii="Arial" w:cs="Arial" w:eastAsia="Arial" w:hAnsi="Arial"/>
          <w:sz w:val="17"/>
          <w:szCs w:val="17"/>
          <w:color w:val="auto"/>
        </w:rPr>
        <w:t xml:space="preserve"> decreased primarily due to $3.4 million of lower outside services expenses, $1.9 million of lower employee costs partially offset by $0.9 million of higher property taxes due to a higher asset base. COVID-19 impacts to operations and maintenance expense included $1.4 million of lower travel, training and outside services related expenses which were offset by $1.4 million of additional bad debt expense. Various other expenses comprised the remainder of the difference when compared to the same period in the prior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year and current year capital expenditures.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left="419"/>
              <w:spacing w:after="0"/>
              <w:rPr>
                <w:sz w:val="20"/>
                <w:szCs w:val="20"/>
                <w:color w:val="auto"/>
              </w:rPr>
            </w:pPr>
            <w:r>
              <w:rPr>
                <w:rFonts w:ascii="Arial" w:cs="Arial" w:eastAsia="Arial" w:hAnsi="Arial"/>
                <w:sz w:val="16"/>
                <w:szCs w:val="16"/>
                <w:color w:val="auto"/>
                <w:w w:val="87"/>
              </w:rPr>
              <w:t>Gas Revenue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3"/>
            <w:vMerge w:val="restart"/>
          </w:tcPr>
          <w:p>
            <w:pPr>
              <w:jc w:val="center"/>
              <w:ind w:right="119"/>
              <w:spacing w:after="0"/>
              <w:rPr>
                <w:sz w:val="20"/>
                <w:szCs w:val="20"/>
                <w:color w:val="auto"/>
              </w:rPr>
            </w:pPr>
            <w:r>
              <w:rPr>
                <w:rFonts w:ascii="Arial" w:cs="Arial" w:eastAsia="Arial" w:hAnsi="Arial"/>
                <w:sz w:val="16"/>
                <w:szCs w:val="16"/>
                <w:color w:val="auto"/>
                <w:w w:val="93"/>
              </w:rPr>
              <w:t>Gross Margin (non-GAAP)</w:t>
            </w:r>
          </w:p>
        </w:tc>
        <w:tc>
          <w:tcPr>
            <w:tcW w:w="100" w:type="dxa"/>
            <w:vAlign w:val="bottom"/>
          </w:tcPr>
          <w:p>
            <w:pPr>
              <w:spacing w:after="0"/>
              <w:rPr>
                <w:sz w:val="17"/>
                <w:szCs w:val="17"/>
                <w:color w:val="auto"/>
              </w:rPr>
            </w:pPr>
          </w:p>
        </w:tc>
        <w:tc>
          <w:tcPr>
            <w:tcW w:w="2380" w:type="dxa"/>
            <w:vAlign w:val="bottom"/>
            <w:gridSpan w:val="2"/>
          </w:tcPr>
          <w:p>
            <w:pPr>
              <w:jc w:val="center"/>
              <w:spacing w:after="0"/>
              <w:rPr>
                <w:sz w:val="20"/>
                <w:szCs w:val="20"/>
                <w:color w:val="auto"/>
              </w:rPr>
            </w:pPr>
            <w:r>
              <w:rPr>
                <w:rFonts w:ascii="Arial" w:cs="Arial" w:eastAsia="Arial" w:hAnsi="Arial"/>
                <w:sz w:val="16"/>
                <w:szCs w:val="16"/>
                <w:color w:val="auto"/>
                <w:w w:val="95"/>
              </w:rPr>
              <w:t>Gas Utilities Quantities Sold &amp;</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gridSpan w:val="4"/>
            <w:vMerge w:val="restart"/>
          </w:tcPr>
          <w:p>
            <w:pPr>
              <w:jc w:val="center"/>
              <w:ind w:right="380"/>
              <w:spacing w:after="0"/>
              <w:rPr>
                <w:sz w:val="20"/>
                <w:szCs w:val="20"/>
                <w:color w:val="auto"/>
              </w:rPr>
            </w:pPr>
            <w:r>
              <w:rPr>
                <w:rFonts w:ascii="Arial" w:cs="Arial" w:eastAsia="Arial" w:hAnsi="Arial"/>
                <w:sz w:val="16"/>
                <w:szCs w:val="16"/>
                <w:color w:val="auto"/>
                <w:w w:val="92"/>
              </w:rPr>
              <w:t>(in thousands)</w:t>
            </w:r>
          </w:p>
        </w:tc>
        <w:tc>
          <w:tcPr>
            <w:tcW w:w="2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1"/>
              </w:rPr>
              <w:t>Transported (Dth)</w:t>
            </w:r>
          </w:p>
        </w:tc>
        <w:tc>
          <w:tcPr>
            <w:tcW w:w="0" w:type="dxa"/>
            <w:vAlign w:val="bottom"/>
          </w:tcPr>
          <w:p>
            <w:pPr>
              <w:spacing w:after="0" w:line="20" w:lineRule="exact"/>
              <w:rPr>
                <w:sz w:val="1"/>
                <w:szCs w:val="1"/>
                <w:color w:val="auto"/>
              </w:rPr>
            </w:pPr>
          </w:p>
        </w:tc>
      </w:tr>
      <w:tr>
        <w:trPr>
          <w:trHeight w:val="209"/>
        </w:trPr>
        <w:tc>
          <w:tcPr>
            <w:tcW w:w="3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6"/>
                <w:szCs w:val="16"/>
                <w:color w:val="auto"/>
                <w:w w:val="90"/>
              </w:rPr>
              <w:t>(in thousands)</w:t>
            </w: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center"/>
              <w:ind w:right="380"/>
              <w:spacing w:after="0"/>
              <w:rPr>
                <w:sz w:val="20"/>
                <w:szCs w:val="20"/>
                <w:color w:val="auto"/>
              </w:rPr>
            </w:pPr>
            <w:r>
              <w:rPr>
                <w:rFonts w:ascii="Arial" w:cs="Arial" w:eastAsia="Arial" w:hAnsi="Arial"/>
                <w:sz w:val="16"/>
                <w:szCs w:val="16"/>
                <w:color w:val="auto"/>
                <w:w w:val="92"/>
              </w:rPr>
              <w:t>Three Months Ended</w:t>
            </w:r>
          </w:p>
        </w:tc>
        <w:tc>
          <w:tcPr>
            <w:tcW w:w="200" w:type="dxa"/>
            <w:vAlign w:val="bottom"/>
          </w:tcPr>
          <w:p>
            <w:pPr>
              <w:spacing w:after="0"/>
              <w:rPr>
                <w:sz w:val="18"/>
                <w:szCs w:val="18"/>
                <w:color w:val="auto"/>
              </w:rPr>
            </w:pPr>
          </w:p>
        </w:tc>
        <w:tc>
          <w:tcPr>
            <w:tcW w:w="2200" w:type="dxa"/>
            <w:vAlign w:val="bottom"/>
            <w:gridSpan w:val="3"/>
          </w:tcPr>
          <w:p>
            <w:pPr>
              <w:jc w:val="center"/>
              <w:ind w:right="119"/>
              <w:spacing w:after="0"/>
              <w:rPr>
                <w:sz w:val="20"/>
                <w:szCs w:val="20"/>
                <w:color w:val="auto"/>
              </w:rPr>
            </w:pPr>
            <w:r>
              <w:rPr>
                <w:rFonts w:ascii="Arial" w:cs="Arial" w:eastAsia="Arial" w:hAnsi="Arial"/>
                <w:sz w:val="16"/>
                <w:szCs w:val="16"/>
                <w:color w:val="auto"/>
                <w:w w:val="90"/>
              </w:rPr>
              <w:t>Three Months Ended</w:t>
            </w:r>
          </w:p>
        </w:tc>
        <w:tc>
          <w:tcPr>
            <w:tcW w:w="10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left="419"/>
              <w:spacing w:after="0"/>
              <w:rPr>
                <w:sz w:val="20"/>
                <w:szCs w:val="20"/>
                <w:color w:val="auto"/>
              </w:rPr>
            </w:pPr>
            <w:r>
              <w:rPr>
                <w:rFonts w:ascii="Arial" w:cs="Arial" w:eastAsia="Arial" w:hAnsi="Arial"/>
                <w:sz w:val="16"/>
                <w:szCs w:val="16"/>
                <w:color w:val="auto"/>
                <w:w w:val="87"/>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w w:val="87"/>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left="819"/>
              <w:spacing w:after="0"/>
              <w:rPr>
                <w:sz w:val="20"/>
                <w:szCs w:val="20"/>
                <w:color w:val="auto"/>
              </w:rPr>
            </w:pPr>
            <w:r>
              <w:rPr>
                <w:rFonts w:ascii="Arial" w:cs="Arial" w:eastAsia="Arial" w:hAnsi="Arial"/>
                <w:sz w:val="16"/>
                <w:szCs w:val="16"/>
                <w:color w:val="auto"/>
                <w:w w:val="87"/>
              </w:rPr>
              <w:t>June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color w:val="auto"/>
              </w:rPr>
              <w:t>2020</w:t>
            </w:r>
          </w:p>
        </w:tc>
        <w:tc>
          <w:tcPr>
            <w:tcW w:w="500" w:type="dxa"/>
            <w:vAlign w:val="bottom"/>
          </w:tcPr>
          <w:p>
            <w:pPr>
              <w:spacing w:after="0"/>
              <w:rPr>
                <w:sz w:val="22"/>
                <w:szCs w:val="22"/>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2020</w:t>
            </w:r>
          </w:p>
        </w:tc>
        <w:tc>
          <w:tcPr>
            <w:tcW w:w="420" w:type="dxa"/>
            <w:vAlign w:val="bottom"/>
          </w:tcPr>
          <w:p>
            <w:pPr>
              <w:spacing w:after="0"/>
              <w:rPr>
                <w:sz w:val="22"/>
                <w:szCs w:val="22"/>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color w:val="auto"/>
              </w:rPr>
              <w:t>2019</w:t>
            </w:r>
          </w:p>
        </w:tc>
        <w:tc>
          <w:tcPr>
            <w:tcW w:w="1580" w:type="dxa"/>
            <w:vAlign w:val="bottom"/>
            <w:gridSpan w:val="2"/>
          </w:tcPr>
          <w:p>
            <w:pPr>
              <w:jc w:val="right"/>
              <w:ind w:right="639"/>
              <w:spacing w:after="0"/>
              <w:rPr>
                <w:sz w:val="20"/>
                <w:szCs w:val="20"/>
                <w:color w:val="auto"/>
              </w:rPr>
            </w:pPr>
            <w:r>
              <w:rPr>
                <w:rFonts w:ascii="Arial" w:cs="Arial" w:eastAsia="Arial" w:hAnsi="Arial"/>
                <w:sz w:val="16"/>
                <w:szCs w:val="16"/>
                <w:color w:val="auto"/>
              </w:rPr>
              <w:t>2020</w:t>
            </w: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3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7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8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83,240</w:t>
            </w:r>
          </w:p>
        </w:tc>
        <w:tc>
          <w:tcPr>
            <w:tcW w:w="50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85,093</w:t>
            </w:r>
          </w:p>
        </w:tc>
        <w:tc>
          <w:tcPr>
            <w:tcW w:w="100" w:type="dxa"/>
            <w:vAlign w:val="bottom"/>
            <w:tcBorders>
              <w:bottom w:val="single" w:sz="8" w:color="CEFFE7"/>
            </w:tcBorders>
            <w:shd w:val="clear" w:color="auto" w:fill="CEFFE7"/>
          </w:tcPr>
          <w:p>
            <w:pPr>
              <w:spacing w:after="0"/>
              <w:rPr>
                <w:sz w:val="20"/>
                <w:szCs w:val="20"/>
                <w:color w:val="auto"/>
              </w:rPr>
            </w:pP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56,368</w:t>
            </w:r>
          </w:p>
        </w:tc>
        <w:tc>
          <w:tcPr>
            <w:tcW w:w="42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52,670</w:t>
            </w:r>
          </w:p>
        </w:tc>
        <w:tc>
          <w:tcPr>
            <w:tcW w:w="1580" w:type="dxa"/>
            <w:vAlign w:val="bottom"/>
            <w:tcBorders>
              <w:bottom w:val="single" w:sz="8" w:color="CEFFE7"/>
            </w:tcBorders>
            <w:gridSpan w:val="2"/>
            <w:shd w:val="clear" w:color="auto" w:fill="CEFFE7"/>
          </w:tcPr>
          <w:p>
            <w:pPr>
              <w:jc w:val="right"/>
              <w:ind w:right="359"/>
              <w:spacing w:after="0"/>
              <w:rPr>
                <w:sz w:val="20"/>
                <w:szCs w:val="20"/>
                <w:color w:val="auto"/>
              </w:rPr>
            </w:pPr>
            <w:r>
              <w:rPr>
                <w:rFonts w:ascii="Arial" w:cs="Arial" w:eastAsia="Arial" w:hAnsi="Arial"/>
                <w:sz w:val="16"/>
                <w:szCs w:val="16"/>
                <w:color w:val="auto"/>
              </w:rPr>
              <w:t>8,501,835</w:t>
            </w:r>
          </w:p>
        </w:tc>
        <w:tc>
          <w:tcPr>
            <w:tcW w:w="90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7,919,158</w:t>
            </w:r>
          </w:p>
        </w:tc>
        <w:tc>
          <w:tcPr>
            <w:tcW w:w="0" w:type="dxa"/>
            <w:vAlign w:val="bottom"/>
          </w:tcPr>
          <w:p>
            <w:pPr>
              <w:spacing w:after="0"/>
              <w:rPr>
                <w:sz w:val="1"/>
                <w:szCs w:val="1"/>
                <w:color w:val="auto"/>
              </w:rPr>
            </w:pPr>
          </w:p>
        </w:tc>
      </w:tr>
      <w:tr>
        <w:trPr>
          <w:trHeight w:val="223"/>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27,441</w:t>
            </w:r>
          </w:p>
        </w:tc>
        <w:tc>
          <w:tcPr>
            <w:tcW w:w="5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30,984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15,336</w:t>
            </w:r>
          </w:p>
        </w:tc>
        <w:tc>
          <w:tcPr>
            <w:tcW w:w="4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14,926</w:t>
            </w:r>
          </w:p>
        </w:tc>
        <w:tc>
          <w:tcPr>
            <w:tcW w:w="1580" w:type="dxa"/>
            <w:vAlign w:val="bottom"/>
            <w:gridSpan w:val="2"/>
          </w:tcPr>
          <w:p>
            <w:pPr>
              <w:jc w:val="right"/>
              <w:ind w:right="359"/>
              <w:spacing w:after="0"/>
              <w:rPr>
                <w:sz w:val="20"/>
                <w:szCs w:val="20"/>
                <w:color w:val="auto"/>
              </w:rPr>
            </w:pPr>
            <w:r>
              <w:rPr>
                <w:rFonts w:ascii="Arial" w:cs="Arial" w:eastAsia="Arial" w:hAnsi="Arial"/>
                <w:sz w:val="16"/>
                <w:szCs w:val="16"/>
                <w:color w:val="auto"/>
              </w:rPr>
              <w:t>3,965,529</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4,194,879</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7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6,059</w:t>
            </w:r>
          </w:p>
        </w:tc>
        <w:tc>
          <w:tcPr>
            <w:tcW w:w="50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3,980</w:t>
            </w:r>
          </w:p>
        </w:tc>
        <w:tc>
          <w:tcPr>
            <w:tcW w:w="100" w:type="dxa"/>
            <w:vAlign w:val="bottom"/>
            <w:tcBorders>
              <w:bottom w:val="single" w:sz="8" w:color="CEFFE7"/>
            </w:tcBorders>
            <w:shd w:val="clear" w:color="auto" w:fill="CEFFE7"/>
          </w:tcPr>
          <w:p>
            <w:pPr>
              <w:spacing w:after="0"/>
              <w:rPr>
                <w:sz w:val="20"/>
                <w:szCs w:val="20"/>
                <w:color w:val="auto"/>
              </w:rPr>
            </w:pPr>
          </w:p>
        </w:tc>
        <w:tc>
          <w:tcPr>
            <w:tcW w:w="200" w:type="dxa"/>
            <w:vAlign w:val="bottom"/>
            <w:tcBorders>
              <w:bottom w:val="single" w:sz="8" w:color="CEFFE7"/>
            </w:tcBorders>
            <w:shd w:val="clear" w:color="auto" w:fill="CEFFE7"/>
          </w:tcPr>
          <w:p>
            <w:pPr>
              <w:spacing w:after="0"/>
              <w:rPr>
                <w:sz w:val="20"/>
                <w:szCs w:val="20"/>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2,140</w:t>
            </w:r>
          </w:p>
        </w:tc>
        <w:tc>
          <w:tcPr>
            <w:tcW w:w="4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1,320</w:t>
            </w:r>
          </w:p>
        </w:tc>
        <w:tc>
          <w:tcPr>
            <w:tcW w:w="1580" w:type="dxa"/>
            <w:vAlign w:val="bottom"/>
            <w:tcBorders>
              <w:bottom w:val="single" w:sz="8" w:color="CEFFE7"/>
            </w:tcBorders>
            <w:gridSpan w:val="2"/>
            <w:shd w:val="clear" w:color="auto" w:fill="CEFFE7"/>
          </w:tcPr>
          <w:p>
            <w:pPr>
              <w:jc w:val="right"/>
              <w:ind w:right="359"/>
              <w:spacing w:after="0"/>
              <w:rPr>
                <w:sz w:val="20"/>
                <w:szCs w:val="20"/>
                <w:color w:val="auto"/>
              </w:rPr>
            </w:pPr>
            <w:r>
              <w:rPr>
                <w:rFonts w:ascii="Arial" w:cs="Arial" w:eastAsia="Arial" w:hAnsi="Arial"/>
                <w:sz w:val="16"/>
                <w:szCs w:val="16"/>
                <w:color w:val="auto"/>
              </w:rPr>
              <w:t>2,036,553</w:t>
            </w:r>
          </w:p>
        </w:tc>
        <w:tc>
          <w:tcPr>
            <w:tcW w:w="90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997,942</w:t>
            </w:r>
          </w:p>
        </w:tc>
        <w:tc>
          <w:tcPr>
            <w:tcW w:w="0" w:type="dxa"/>
            <w:vAlign w:val="bottom"/>
          </w:tcPr>
          <w:p>
            <w:pPr>
              <w:spacing w:after="0"/>
              <w:rPr>
                <w:sz w:val="1"/>
                <w:szCs w:val="1"/>
                <w:color w:val="auto"/>
              </w:rPr>
            </w:pPr>
          </w:p>
        </w:tc>
      </w:tr>
      <w:tr>
        <w:trPr>
          <w:trHeight w:val="223"/>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828</w:t>
            </w:r>
          </w:p>
        </w:tc>
        <w:tc>
          <w:tcPr>
            <w:tcW w:w="5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827</w:t>
            </w:r>
          </w:p>
        </w:tc>
        <w:tc>
          <w:tcPr>
            <w:tcW w:w="4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9"/>
                <w:szCs w:val="19"/>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EFFE7"/>
            </w:tcBorders>
            <w:gridSpan w:val="2"/>
            <w:shd w:val="clear" w:color="auto" w:fill="CEFFE7"/>
          </w:tcPr>
          <w:p>
            <w:pPr>
              <w:ind w:left="200"/>
              <w:spacing w:after="0"/>
              <w:rPr>
                <w:sz w:val="20"/>
                <w:szCs w:val="20"/>
                <w:color w:val="auto"/>
              </w:rPr>
            </w:pPr>
            <w:r>
              <w:rPr>
                <w:rFonts w:ascii="Arial" w:cs="Arial" w:eastAsia="Arial" w:hAnsi="Arial"/>
                <w:sz w:val="16"/>
                <w:szCs w:val="16"/>
                <w:color w:val="auto"/>
              </w:rPr>
              <w:t>Total Distribution</w:t>
            </w:r>
          </w:p>
        </w:tc>
        <w:tc>
          <w:tcPr>
            <w:tcW w:w="28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117,568</w:t>
            </w:r>
          </w:p>
        </w:tc>
        <w:tc>
          <w:tcPr>
            <w:tcW w:w="50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120,944</w:t>
            </w:r>
          </w:p>
        </w:tc>
        <w:tc>
          <w:tcPr>
            <w:tcW w:w="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74,671</w:t>
            </w:r>
          </w:p>
        </w:tc>
        <w:tc>
          <w:tcPr>
            <w:tcW w:w="4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69,803</w:t>
            </w:r>
          </w:p>
        </w:tc>
        <w:tc>
          <w:tcPr>
            <w:tcW w:w="1580" w:type="dxa"/>
            <w:vAlign w:val="bottom"/>
            <w:tcBorders>
              <w:bottom w:val="single" w:sz="8" w:color="CEFFE7"/>
            </w:tcBorders>
            <w:gridSpan w:val="2"/>
            <w:shd w:val="clear" w:color="auto" w:fill="CEFFE7"/>
          </w:tcPr>
          <w:p>
            <w:pPr>
              <w:jc w:val="right"/>
              <w:ind w:right="359"/>
              <w:spacing w:after="0"/>
              <w:rPr>
                <w:sz w:val="20"/>
                <w:szCs w:val="20"/>
                <w:color w:val="auto"/>
              </w:rPr>
            </w:pPr>
            <w:r>
              <w:rPr>
                <w:rFonts w:ascii="Arial" w:cs="Arial" w:eastAsia="Arial" w:hAnsi="Arial"/>
                <w:sz w:val="16"/>
                <w:szCs w:val="16"/>
                <w:color w:val="auto"/>
              </w:rPr>
              <w:t>14,503,917</w:t>
            </w:r>
          </w:p>
        </w:tc>
        <w:tc>
          <w:tcPr>
            <w:tcW w:w="90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92"/>
              </w:rPr>
              <w:t>13,111,979</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7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30,864</w:t>
            </w:r>
          </w:p>
        </w:tc>
        <w:tc>
          <w:tcPr>
            <w:tcW w:w="50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28,998</w:t>
            </w:r>
          </w:p>
        </w:tc>
        <w:tc>
          <w:tcPr>
            <w:tcW w:w="100" w:type="dxa"/>
            <w:vAlign w:val="bottom"/>
            <w:tcBorders>
              <w:bottom w:val="single" w:sz="8" w:color="CEFFE7"/>
            </w:tcBorders>
            <w:shd w:val="clear" w:color="auto" w:fill="CEFFE7"/>
          </w:tcPr>
          <w:p>
            <w:pPr>
              <w:spacing w:after="0"/>
              <w:rPr>
                <w:sz w:val="20"/>
                <w:szCs w:val="20"/>
                <w:color w:val="auto"/>
              </w:rPr>
            </w:pPr>
          </w:p>
        </w:tc>
        <w:tc>
          <w:tcPr>
            <w:tcW w:w="200" w:type="dxa"/>
            <w:vAlign w:val="bottom"/>
            <w:tcBorders>
              <w:bottom w:val="single" w:sz="8" w:color="CEFFE7"/>
            </w:tcBorders>
            <w:shd w:val="clear" w:color="auto" w:fill="CEFFE7"/>
          </w:tcPr>
          <w:p>
            <w:pPr>
              <w:spacing w:after="0"/>
              <w:rPr>
                <w:sz w:val="20"/>
                <w:szCs w:val="20"/>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30,851</w:t>
            </w:r>
          </w:p>
        </w:tc>
        <w:tc>
          <w:tcPr>
            <w:tcW w:w="4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29,031</w:t>
            </w:r>
          </w:p>
        </w:tc>
        <w:tc>
          <w:tcPr>
            <w:tcW w:w="1580" w:type="dxa"/>
            <w:vAlign w:val="bottom"/>
            <w:tcBorders>
              <w:bottom w:val="single" w:sz="8" w:color="CEFFE7"/>
            </w:tcBorders>
            <w:gridSpan w:val="2"/>
            <w:shd w:val="clear" w:color="auto" w:fill="CEFFE7"/>
          </w:tcPr>
          <w:p>
            <w:pPr>
              <w:jc w:val="right"/>
              <w:ind w:right="359"/>
              <w:spacing w:after="0"/>
              <w:rPr>
                <w:sz w:val="20"/>
                <w:szCs w:val="20"/>
                <w:color w:val="auto"/>
              </w:rPr>
            </w:pPr>
            <w:r>
              <w:rPr>
                <w:rFonts w:ascii="Arial" w:cs="Arial" w:eastAsia="Arial" w:hAnsi="Arial"/>
                <w:sz w:val="16"/>
                <w:szCs w:val="16"/>
                <w:color w:val="auto"/>
              </w:rPr>
              <w:t>30,243,501</w:t>
            </w:r>
          </w:p>
        </w:tc>
        <w:tc>
          <w:tcPr>
            <w:tcW w:w="90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92"/>
              </w:rPr>
              <w:t>32,767,310</w:t>
            </w:r>
          </w:p>
        </w:tc>
        <w:tc>
          <w:tcPr>
            <w:tcW w:w="0" w:type="dxa"/>
            <w:vAlign w:val="bottom"/>
          </w:tcPr>
          <w:p>
            <w:pPr>
              <w:spacing w:after="0"/>
              <w:rPr>
                <w:sz w:val="1"/>
                <w:szCs w:val="1"/>
                <w:color w:val="auto"/>
              </w:rPr>
            </w:pPr>
          </w:p>
        </w:tc>
      </w:tr>
      <w:tr>
        <w:trPr>
          <w:trHeight w:val="162"/>
        </w:trPr>
        <w:tc>
          <w:tcPr>
            <w:tcW w:w="3620" w:type="dxa"/>
            <w:vAlign w:val="bottom"/>
            <w:tcBorders>
              <w:bottom w:val="single" w:sz="8" w:color="CEFFE7"/>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3720" w:type="dxa"/>
            <w:vAlign w:val="bottom"/>
            <w:gridSpan w:val="2"/>
            <w:shd w:val="clear" w:color="auto" w:fill="CEFFE7"/>
          </w:tcPr>
          <w:p>
            <w:pPr>
              <w:ind w:left="200"/>
              <w:spacing w:after="0"/>
              <w:rPr>
                <w:sz w:val="20"/>
                <w:szCs w:val="20"/>
                <w:color w:val="auto"/>
              </w:rPr>
            </w:pPr>
            <w:r>
              <w:rPr>
                <w:rFonts w:ascii="Arial" w:cs="Arial" w:eastAsia="Arial" w:hAnsi="Arial"/>
                <w:sz w:val="16"/>
                <w:szCs w:val="16"/>
                <w:color w:val="auto"/>
              </w:rPr>
              <w:t>Total Regulated</w:t>
            </w:r>
          </w:p>
        </w:tc>
        <w:tc>
          <w:tcPr>
            <w:tcW w:w="280" w:type="dxa"/>
            <w:vAlign w:val="bottom"/>
            <w:shd w:val="clear" w:color="auto" w:fill="CEFFE7"/>
          </w:tcPr>
          <w:p>
            <w:pPr>
              <w:spacing w:after="0"/>
              <w:rPr>
                <w:sz w:val="24"/>
                <w:szCs w:val="24"/>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148,432</w:t>
            </w:r>
          </w:p>
        </w:tc>
        <w:tc>
          <w:tcPr>
            <w:tcW w:w="500" w:type="dxa"/>
            <w:vAlign w:val="bottom"/>
            <w:shd w:val="clear" w:color="auto" w:fill="CEFFE7"/>
          </w:tcPr>
          <w:p>
            <w:pPr>
              <w:spacing w:after="0"/>
              <w:rPr>
                <w:sz w:val="24"/>
                <w:szCs w:val="24"/>
                <w:color w:val="auto"/>
              </w:rPr>
            </w:pPr>
          </w:p>
        </w:tc>
        <w:tc>
          <w:tcPr>
            <w:tcW w:w="7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149,942</w:t>
            </w:r>
          </w:p>
        </w:tc>
        <w:tc>
          <w:tcPr>
            <w:tcW w:w="1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105,522</w:t>
            </w:r>
          </w:p>
        </w:tc>
        <w:tc>
          <w:tcPr>
            <w:tcW w:w="420" w:type="dxa"/>
            <w:vAlign w:val="bottom"/>
            <w:shd w:val="clear" w:color="auto" w:fill="CEFFE7"/>
          </w:tcPr>
          <w:p>
            <w:pPr>
              <w:spacing w:after="0"/>
              <w:rPr>
                <w:sz w:val="24"/>
                <w:szCs w:val="24"/>
                <w:color w:val="auto"/>
              </w:rPr>
            </w:pPr>
          </w:p>
        </w:tc>
        <w:tc>
          <w:tcPr>
            <w:tcW w:w="8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98,834</w:t>
            </w:r>
          </w:p>
        </w:tc>
        <w:tc>
          <w:tcPr>
            <w:tcW w:w="1580" w:type="dxa"/>
            <w:vAlign w:val="bottom"/>
            <w:gridSpan w:val="2"/>
            <w:shd w:val="clear" w:color="auto" w:fill="CEFFE7"/>
          </w:tcPr>
          <w:p>
            <w:pPr>
              <w:jc w:val="right"/>
              <w:ind w:right="359"/>
              <w:spacing w:after="0"/>
              <w:rPr>
                <w:sz w:val="20"/>
                <w:szCs w:val="20"/>
                <w:color w:val="auto"/>
              </w:rPr>
            </w:pPr>
            <w:r>
              <w:rPr>
                <w:rFonts w:ascii="Arial" w:cs="Arial" w:eastAsia="Arial" w:hAnsi="Arial"/>
                <w:sz w:val="16"/>
                <w:szCs w:val="16"/>
                <w:color w:val="auto"/>
              </w:rPr>
              <w:t>44,747,418</w:t>
            </w:r>
          </w:p>
        </w:tc>
        <w:tc>
          <w:tcPr>
            <w:tcW w:w="90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92"/>
              </w:rPr>
              <w:t>45,879,289</w:t>
            </w:r>
          </w:p>
        </w:tc>
        <w:tc>
          <w:tcPr>
            <w:tcW w:w="0" w:type="dxa"/>
            <w:vAlign w:val="bottom"/>
          </w:tcPr>
          <w:p>
            <w:pPr>
              <w:spacing w:after="0"/>
              <w:rPr>
                <w:sz w:val="1"/>
                <w:szCs w:val="1"/>
                <w:color w:val="auto"/>
              </w:rPr>
            </w:pPr>
          </w:p>
        </w:tc>
      </w:tr>
      <w:tr>
        <w:trPr>
          <w:trHeight w:val="112"/>
        </w:trPr>
        <w:tc>
          <w:tcPr>
            <w:tcW w:w="3620" w:type="dxa"/>
            <w:vAlign w:val="bottom"/>
            <w:tcBorders>
              <w:top w:val="single" w:sz="8" w:color="CEFFE7"/>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37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12,678</w:t>
            </w:r>
          </w:p>
        </w:tc>
        <w:tc>
          <w:tcPr>
            <w:tcW w:w="50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15,527</w:t>
            </w:r>
          </w:p>
        </w:tc>
        <w:tc>
          <w:tcPr>
            <w:tcW w:w="100" w:type="dxa"/>
            <w:vAlign w:val="bottom"/>
            <w:tcBorders>
              <w:bottom w:val="single" w:sz="8" w:color="CEFFE7"/>
            </w:tcBorders>
            <w:shd w:val="clear" w:color="auto" w:fill="CEFFE7"/>
          </w:tcPr>
          <w:p>
            <w:pPr>
              <w:spacing w:after="0"/>
              <w:rPr>
                <w:sz w:val="20"/>
                <w:szCs w:val="20"/>
                <w:color w:val="auto"/>
              </w:rPr>
            </w:pPr>
          </w:p>
        </w:tc>
        <w:tc>
          <w:tcPr>
            <w:tcW w:w="200" w:type="dxa"/>
            <w:vAlign w:val="bottom"/>
            <w:tcBorders>
              <w:bottom w:val="single" w:sz="8" w:color="CEFFE7"/>
            </w:tcBorders>
            <w:shd w:val="clear" w:color="auto" w:fill="CEFFE7"/>
          </w:tcPr>
          <w:p>
            <w:pPr>
              <w:spacing w:after="0"/>
              <w:rPr>
                <w:sz w:val="20"/>
                <w:szCs w:val="20"/>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10,966</w:t>
            </w:r>
          </w:p>
        </w:tc>
        <w:tc>
          <w:tcPr>
            <w:tcW w:w="4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9,651</w:t>
            </w:r>
          </w:p>
        </w:tc>
        <w:tc>
          <w:tcPr>
            <w:tcW w:w="100" w:type="dxa"/>
            <w:vAlign w:val="bottom"/>
            <w:tcBorders>
              <w:bottom w:val="single" w:sz="8" w:color="CEFFE7"/>
            </w:tcBorders>
            <w:shd w:val="clear" w:color="auto" w:fill="CEFFE7"/>
          </w:tcPr>
          <w:p>
            <w:pPr>
              <w:spacing w:after="0"/>
              <w:rPr>
                <w:sz w:val="20"/>
                <w:szCs w:val="20"/>
                <w:color w:val="auto"/>
              </w:rPr>
            </w:pPr>
          </w:p>
        </w:tc>
        <w:tc>
          <w:tcPr>
            <w:tcW w:w="1480" w:type="dxa"/>
            <w:vAlign w:val="bottom"/>
            <w:tcBorders>
              <w:bottom w:val="single" w:sz="8" w:color="CEFFE7"/>
            </w:tcBorders>
            <w:shd w:val="clear" w:color="auto" w:fill="CEFFE7"/>
          </w:tcPr>
          <w:p>
            <w:pPr>
              <w:spacing w:after="0"/>
              <w:rPr>
                <w:sz w:val="20"/>
                <w:szCs w:val="20"/>
                <w:color w:val="auto"/>
              </w:rPr>
            </w:pPr>
          </w:p>
        </w:tc>
        <w:tc>
          <w:tcPr>
            <w:tcW w:w="90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620" w:type="dxa"/>
            <w:vAlign w:val="bottom"/>
            <w:tcBorders>
              <w:bottom w:val="single" w:sz="8" w:color="CEFFE7"/>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480" w:type="dxa"/>
            <w:vAlign w:val="bottom"/>
            <w:tcBorders>
              <w:bottom w:val="single" w:sz="8" w:color="CEFFE7"/>
            </w:tcBorders>
          </w:tcPr>
          <w:p>
            <w:pPr>
              <w:spacing w:after="0"/>
              <w:rPr>
                <w:sz w:val="14"/>
                <w:szCs w:val="14"/>
                <w:color w:val="auto"/>
              </w:rPr>
            </w:pPr>
          </w:p>
        </w:tc>
        <w:tc>
          <w:tcPr>
            <w:tcW w:w="900" w:type="dxa"/>
            <w:vAlign w:val="bottom"/>
            <w:tcBorders>
              <w:bottom w:val="single" w:sz="8" w:color="CEFFE7"/>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720" w:type="dxa"/>
            <w:vAlign w:val="bottom"/>
            <w:gridSpan w:val="2"/>
            <w:shd w:val="clear" w:color="auto" w:fill="CEFFE7"/>
          </w:tcPr>
          <w:p>
            <w:pPr>
              <w:ind w:left="200"/>
              <w:spacing w:after="0"/>
              <w:rPr>
                <w:sz w:val="20"/>
                <w:szCs w:val="20"/>
                <w:color w:val="auto"/>
              </w:rPr>
            </w:pPr>
            <w:r>
              <w:rPr>
                <w:rFonts w:ascii="Arial" w:cs="Arial" w:eastAsia="Arial" w:hAnsi="Arial"/>
                <w:sz w:val="16"/>
                <w:szCs w:val="16"/>
                <w:color w:val="auto"/>
              </w:rPr>
              <w:t>Total Gas Revenue &amp; Gross Margin</w:t>
            </w:r>
          </w:p>
        </w:tc>
        <w:tc>
          <w:tcPr>
            <w:tcW w:w="28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161,110</w:t>
            </w:r>
          </w:p>
        </w:tc>
        <w:tc>
          <w:tcPr>
            <w:tcW w:w="500" w:type="dxa"/>
            <w:vAlign w:val="bottom"/>
            <w:vMerge w:val="restart"/>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165,469</w:t>
            </w:r>
          </w:p>
        </w:tc>
        <w:tc>
          <w:tcPr>
            <w:tcW w:w="100" w:type="dxa"/>
            <w:vAlign w:val="bottom"/>
            <w:shd w:val="clear" w:color="auto" w:fill="CEFFE7"/>
          </w:tcPr>
          <w:p>
            <w:pPr>
              <w:spacing w:after="0"/>
              <w:rPr>
                <w:sz w:val="17"/>
                <w:szCs w:val="17"/>
                <w:color w:val="auto"/>
              </w:rPr>
            </w:pPr>
          </w:p>
        </w:tc>
        <w:tc>
          <w:tcPr>
            <w:tcW w:w="20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116,488</w:t>
            </w:r>
          </w:p>
        </w:tc>
        <w:tc>
          <w:tcPr>
            <w:tcW w:w="420" w:type="dxa"/>
            <w:vAlign w:val="bottom"/>
            <w:vMerge w:val="restart"/>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EFFE7"/>
          </w:tcPr>
          <w:p>
            <w:pPr>
              <w:jc w:val="right"/>
              <w:ind w:right="59"/>
              <w:spacing w:after="0"/>
              <w:rPr>
                <w:sz w:val="20"/>
                <w:szCs w:val="20"/>
                <w:color w:val="auto"/>
              </w:rPr>
            </w:pPr>
            <w:r>
              <w:rPr>
                <w:rFonts w:ascii="Arial" w:cs="Arial" w:eastAsia="Arial" w:hAnsi="Arial"/>
                <w:sz w:val="16"/>
                <w:szCs w:val="16"/>
                <w:color w:val="auto"/>
              </w:rPr>
              <w:t>108,485</w:t>
            </w:r>
          </w:p>
        </w:tc>
        <w:tc>
          <w:tcPr>
            <w:tcW w:w="100" w:type="dxa"/>
            <w:vAlign w:val="bottom"/>
            <w:shd w:val="clear" w:color="auto" w:fill="CEFFE7"/>
          </w:tcPr>
          <w:p>
            <w:pPr>
              <w:spacing w:after="0"/>
              <w:rPr>
                <w:sz w:val="17"/>
                <w:szCs w:val="17"/>
                <w:color w:val="auto"/>
              </w:rPr>
            </w:pPr>
          </w:p>
        </w:tc>
        <w:tc>
          <w:tcPr>
            <w:tcW w:w="1480" w:type="dxa"/>
            <w:vAlign w:val="bottom"/>
            <w:shd w:val="clear" w:color="auto" w:fill="CEFFE7"/>
          </w:tcPr>
          <w:p>
            <w:pPr>
              <w:spacing w:after="0"/>
              <w:rPr>
                <w:sz w:val="17"/>
                <w:szCs w:val="17"/>
                <w:color w:val="auto"/>
              </w:rPr>
            </w:pPr>
          </w:p>
        </w:tc>
        <w:tc>
          <w:tcPr>
            <w:tcW w:w="90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20" w:type="dxa"/>
            <w:vAlign w:val="bottom"/>
            <w:tcBorders>
              <w:bottom w:val="single" w:sz="8" w:color="CEFFE7"/>
            </w:tcBorders>
            <w:gridSpan w:val="2"/>
            <w:shd w:val="clear" w:color="auto" w:fill="CEFFE7"/>
          </w:tcPr>
          <w:p>
            <w:pPr>
              <w:ind w:left="200"/>
              <w:spacing w:after="0"/>
              <w:rPr>
                <w:sz w:val="20"/>
                <w:szCs w:val="20"/>
                <w:color w:val="auto"/>
              </w:rPr>
            </w:pPr>
            <w:r>
              <w:rPr>
                <w:rFonts w:ascii="Arial" w:cs="Arial" w:eastAsia="Arial" w:hAnsi="Arial"/>
                <w:sz w:val="16"/>
                <w:szCs w:val="16"/>
                <w:color w:val="auto"/>
              </w:rPr>
              <w:t>(non-GAAP)</w:t>
            </w:r>
          </w:p>
        </w:tc>
        <w:tc>
          <w:tcPr>
            <w:tcW w:w="280" w:type="dxa"/>
            <w:vAlign w:val="bottom"/>
            <w:tcBorders>
              <w:bottom w:val="single" w:sz="8" w:color="auto"/>
            </w:tcBorders>
            <w:vMerge w:val="continue"/>
            <w:shd w:val="clear" w:color="auto" w:fill="CEFFE7"/>
          </w:tcPr>
          <w:p>
            <w:pPr>
              <w:spacing w:after="0"/>
              <w:rPr>
                <w:sz w:val="19"/>
                <w:szCs w:val="19"/>
                <w:color w:val="auto"/>
              </w:rPr>
            </w:pPr>
          </w:p>
        </w:tc>
        <w:tc>
          <w:tcPr>
            <w:tcW w:w="860" w:type="dxa"/>
            <w:vAlign w:val="bottom"/>
            <w:tcBorders>
              <w:bottom w:val="single" w:sz="8" w:color="auto"/>
            </w:tcBorders>
            <w:vMerge w:val="continue"/>
            <w:shd w:val="clear" w:color="auto" w:fill="CEFFE7"/>
          </w:tcPr>
          <w:p>
            <w:pPr>
              <w:spacing w:after="0"/>
              <w:rPr>
                <w:sz w:val="19"/>
                <w:szCs w:val="19"/>
                <w:color w:val="auto"/>
              </w:rPr>
            </w:pPr>
          </w:p>
        </w:tc>
        <w:tc>
          <w:tcPr>
            <w:tcW w:w="500" w:type="dxa"/>
            <w:vAlign w:val="bottom"/>
            <w:tcBorders>
              <w:bottom w:val="single" w:sz="8" w:color="auto"/>
            </w:tcBorders>
            <w:vMerge w:val="continue"/>
            <w:shd w:val="clear" w:color="auto" w:fill="CEFFE7"/>
          </w:tcPr>
          <w:p>
            <w:pPr>
              <w:spacing w:after="0"/>
              <w:rPr>
                <w:sz w:val="19"/>
                <w:szCs w:val="19"/>
                <w:color w:val="auto"/>
              </w:rPr>
            </w:pPr>
          </w:p>
        </w:tc>
        <w:tc>
          <w:tcPr>
            <w:tcW w:w="780" w:type="dxa"/>
            <w:vAlign w:val="bottom"/>
            <w:tcBorders>
              <w:bottom w:val="single" w:sz="8" w:color="auto"/>
            </w:tcBorders>
            <w:vMerge w:val="continue"/>
            <w:shd w:val="clear" w:color="auto" w:fill="CEFFE7"/>
          </w:tcPr>
          <w:p>
            <w:pPr>
              <w:spacing w:after="0"/>
              <w:rPr>
                <w:sz w:val="19"/>
                <w:szCs w:val="19"/>
                <w:color w:val="auto"/>
              </w:rPr>
            </w:pPr>
          </w:p>
        </w:tc>
        <w:tc>
          <w:tcPr>
            <w:tcW w:w="100" w:type="dxa"/>
            <w:vAlign w:val="bottom"/>
            <w:tcBorders>
              <w:bottom w:val="single" w:sz="8" w:color="CEFFE7"/>
            </w:tcBorders>
            <w:shd w:val="clear" w:color="auto" w:fill="CEFFE7"/>
          </w:tcPr>
          <w:p>
            <w:pPr>
              <w:spacing w:after="0"/>
              <w:rPr>
                <w:sz w:val="19"/>
                <w:szCs w:val="19"/>
                <w:color w:val="auto"/>
              </w:rPr>
            </w:pPr>
          </w:p>
        </w:tc>
        <w:tc>
          <w:tcPr>
            <w:tcW w:w="200" w:type="dxa"/>
            <w:vAlign w:val="bottom"/>
            <w:tcBorders>
              <w:bottom w:val="single" w:sz="8" w:color="auto"/>
            </w:tcBorders>
            <w:vMerge w:val="continue"/>
            <w:shd w:val="clear" w:color="auto" w:fill="CEFFE7"/>
          </w:tcPr>
          <w:p>
            <w:pPr>
              <w:spacing w:after="0"/>
              <w:rPr>
                <w:sz w:val="19"/>
                <w:szCs w:val="19"/>
                <w:color w:val="auto"/>
              </w:rPr>
            </w:pPr>
          </w:p>
        </w:tc>
        <w:tc>
          <w:tcPr>
            <w:tcW w:w="940" w:type="dxa"/>
            <w:vAlign w:val="bottom"/>
            <w:tcBorders>
              <w:bottom w:val="single" w:sz="8" w:color="auto"/>
            </w:tcBorders>
            <w:vMerge w:val="continue"/>
            <w:shd w:val="clear" w:color="auto" w:fill="CEFFE7"/>
          </w:tcPr>
          <w:p>
            <w:pPr>
              <w:spacing w:after="0"/>
              <w:rPr>
                <w:sz w:val="19"/>
                <w:szCs w:val="19"/>
                <w:color w:val="auto"/>
              </w:rPr>
            </w:pPr>
          </w:p>
        </w:tc>
        <w:tc>
          <w:tcPr>
            <w:tcW w:w="420" w:type="dxa"/>
            <w:vAlign w:val="bottom"/>
            <w:tcBorders>
              <w:bottom w:val="single" w:sz="8" w:color="auto"/>
            </w:tcBorders>
            <w:vMerge w:val="continue"/>
            <w:shd w:val="clear" w:color="auto" w:fill="CEFFE7"/>
          </w:tcPr>
          <w:p>
            <w:pPr>
              <w:spacing w:after="0"/>
              <w:rPr>
                <w:sz w:val="19"/>
                <w:szCs w:val="19"/>
                <w:color w:val="auto"/>
              </w:rPr>
            </w:pPr>
          </w:p>
        </w:tc>
        <w:tc>
          <w:tcPr>
            <w:tcW w:w="840" w:type="dxa"/>
            <w:vAlign w:val="bottom"/>
            <w:tcBorders>
              <w:bottom w:val="single" w:sz="8" w:color="auto"/>
            </w:tcBorders>
            <w:vMerge w:val="continue"/>
            <w:shd w:val="clear" w:color="auto" w:fill="CEFFE7"/>
          </w:tcPr>
          <w:p>
            <w:pPr>
              <w:spacing w:after="0"/>
              <w:rPr>
                <w:sz w:val="19"/>
                <w:szCs w:val="19"/>
                <w:color w:val="auto"/>
              </w:rPr>
            </w:pPr>
          </w:p>
        </w:tc>
        <w:tc>
          <w:tcPr>
            <w:tcW w:w="100" w:type="dxa"/>
            <w:vAlign w:val="bottom"/>
            <w:tcBorders>
              <w:bottom w:val="single" w:sz="8" w:color="CEFFE7"/>
            </w:tcBorders>
            <w:shd w:val="clear" w:color="auto" w:fill="CEFFE7"/>
          </w:tcPr>
          <w:p>
            <w:pPr>
              <w:spacing w:after="0"/>
              <w:rPr>
                <w:sz w:val="19"/>
                <w:szCs w:val="19"/>
                <w:color w:val="auto"/>
              </w:rPr>
            </w:pPr>
          </w:p>
        </w:tc>
        <w:tc>
          <w:tcPr>
            <w:tcW w:w="1480" w:type="dxa"/>
            <w:vAlign w:val="bottom"/>
            <w:tcBorders>
              <w:bottom w:val="single" w:sz="8" w:color="CEFFE7"/>
            </w:tcBorders>
            <w:shd w:val="clear" w:color="auto" w:fill="CEFFE7"/>
          </w:tcPr>
          <w:p>
            <w:pPr>
              <w:spacing w:after="0"/>
              <w:rPr>
                <w:sz w:val="19"/>
                <w:szCs w:val="19"/>
                <w:color w:val="auto"/>
              </w:rPr>
            </w:pPr>
          </w:p>
        </w:tc>
        <w:tc>
          <w:tcPr>
            <w:tcW w:w="900" w:type="dxa"/>
            <w:vAlign w:val="bottom"/>
            <w:tcBorders>
              <w:bottom w:val="single" w:sz="8" w:color="CEFFE7"/>
            </w:tcBorders>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50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480" w:type="dxa"/>
            <w:vAlign w:val="bottom"/>
            <w:tcBorders>
              <w:top w:val="single" w:sz="8" w:color="CEFFE7"/>
            </w:tcBorders>
          </w:tcPr>
          <w:p>
            <w:pPr>
              <w:spacing w:after="0" w:line="20" w:lineRule="exact"/>
              <w:rPr>
                <w:sz w:val="1"/>
                <w:szCs w:val="1"/>
                <w:color w:val="auto"/>
              </w:rPr>
            </w:pPr>
          </w:p>
        </w:tc>
        <w:tc>
          <w:tcPr>
            <w:tcW w:w="90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0"/>
        </w:trPr>
        <w:tc>
          <w:tcPr>
            <w:tcW w:w="3780" w:type="dxa"/>
            <w:vAlign w:val="bottom"/>
            <w:gridSpan w:val="3"/>
          </w:tcPr>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8"/>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6"/>
                <w:szCs w:val="16"/>
                <w:color w:val="auto"/>
                <w:w w:val="87"/>
              </w:rPr>
              <w:t>Gas Revenue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4"/>
          </w:tcPr>
          <w:p>
            <w:pPr>
              <w:jc w:val="center"/>
              <w:ind w:right="140"/>
              <w:spacing w:after="0"/>
              <w:rPr>
                <w:sz w:val="20"/>
                <w:szCs w:val="20"/>
                <w:color w:val="auto"/>
              </w:rPr>
            </w:pPr>
            <w:r>
              <w:rPr>
                <w:rFonts w:ascii="Arial" w:cs="Arial" w:eastAsia="Arial" w:hAnsi="Arial"/>
                <w:sz w:val="16"/>
                <w:szCs w:val="16"/>
                <w:color w:val="auto"/>
                <w:w w:val="94"/>
              </w:rPr>
              <w:t>Gross Margin (non-GAAP)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color w:val="auto"/>
                <w:w w:val="94"/>
              </w:rPr>
              <w:t>Gas Utilities Quantities Sold &amp;</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5"/>
          </w:tcPr>
          <w:p>
            <w:pPr>
              <w:jc w:val="center"/>
              <w:ind w:right="80"/>
              <w:spacing w:after="0"/>
              <w:rPr>
                <w:sz w:val="20"/>
                <w:szCs w:val="20"/>
                <w:color w:val="auto"/>
              </w:rPr>
            </w:pPr>
            <w:r>
              <w:rPr>
                <w:rFonts w:ascii="Arial" w:cs="Arial" w:eastAsia="Arial" w:hAnsi="Arial"/>
                <w:sz w:val="16"/>
                <w:szCs w:val="16"/>
                <w:color w:val="auto"/>
                <w:w w:val="90"/>
              </w:rPr>
              <w:t>(in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color w:val="auto"/>
                <w:w w:val="93"/>
              </w:rPr>
              <w:t>Transported (Dth)</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center"/>
              <w:ind w:right="80"/>
              <w:spacing w:after="0"/>
              <w:rPr>
                <w:sz w:val="20"/>
                <w:szCs w:val="20"/>
                <w:color w:val="auto"/>
              </w:rPr>
            </w:pPr>
            <w:r>
              <w:rPr>
                <w:rFonts w:ascii="Arial" w:cs="Arial" w:eastAsia="Arial" w:hAnsi="Arial"/>
                <w:sz w:val="16"/>
                <w:szCs w:val="16"/>
                <w:color w:val="auto"/>
                <w:w w:val="92"/>
              </w:rPr>
              <w:t>Six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4"/>
          </w:tcPr>
          <w:p>
            <w:pPr>
              <w:jc w:val="center"/>
              <w:ind w:right="120"/>
              <w:spacing w:after="0"/>
              <w:rPr>
                <w:sz w:val="20"/>
                <w:szCs w:val="20"/>
                <w:color w:val="auto"/>
              </w:rPr>
            </w:pPr>
            <w:r>
              <w:rPr>
                <w:rFonts w:ascii="Arial" w:cs="Arial" w:eastAsia="Arial" w:hAnsi="Arial"/>
                <w:sz w:val="16"/>
                <w:szCs w:val="16"/>
                <w:color w:val="auto"/>
                <w:w w:val="92"/>
              </w:rPr>
              <w:t>Six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color w:val="auto"/>
                <w:w w:val="93"/>
              </w:rPr>
              <w:t>Six Months Ended</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gridSpan w:val="4"/>
          </w:tcPr>
          <w:p>
            <w:pPr>
              <w:jc w:val="center"/>
              <w:ind w:right="800"/>
              <w:spacing w:after="0"/>
              <w:rPr>
                <w:sz w:val="20"/>
                <w:szCs w:val="20"/>
                <w:color w:val="auto"/>
              </w:rPr>
            </w:pPr>
            <w:r>
              <w:rPr>
                <w:rFonts w:ascii="Arial" w:cs="Arial" w:eastAsia="Arial" w:hAnsi="Arial"/>
                <w:sz w:val="16"/>
                <w:szCs w:val="16"/>
                <w:color w:val="auto"/>
                <w:w w:val="87"/>
              </w:rPr>
              <w:t>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left="659"/>
              <w:spacing w:after="0"/>
              <w:rPr>
                <w:sz w:val="20"/>
                <w:szCs w:val="20"/>
                <w:color w:val="auto"/>
              </w:rPr>
            </w:pPr>
            <w:r>
              <w:rPr>
                <w:rFonts w:ascii="Arial" w:cs="Arial" w:eastAsia="Arial" w:hAnsi="Arial"/>
                <w:sz w:val="16"/>
                <w:szCs w:val="16"/>
                <w:color w:val="auto"/>
                <w:w w:val="87"/>
              </w:rPr>
              <w:t>June 30,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color w:val="auto"/>
                <w:w w:val="87"/>
              </w:rPr>
              <w:t>June 30,</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2020</w:t>
            </w:r>
          </w:p>
        </w:tc>
        <w:tc>
          <w:tcPr>
            <w:tcW w:w="400" w:type="dxa"/>
            <w:vAlign w:val="bottom"/>
          </w:tcPr>
          <w:p>
            <w:pPr>
              <w:spacing w:after="0"/>
              <w:rPr>
                <w:sz w:val="22"/>
                <w:szCs w:val="22"/>
                <w:color w:val="auto"/>
              </w:rPr>
            </w:pPr>
          </w:p>
        </w:tc>
        <w:tc>
          <w:tcPr>
            <w:tcW w:w="800" w:type="dxa"/>
            <w:vAlign w:val="bottom"/>
          </w:tcPr>
          <w:p>
            <w:pPr>
              <w:ind w:left="140"/>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22"/>
                <w:szCs w:val="22"/>
                <w:color w:val="auto"/>
              </w:rPr>
            </w:pPr>
          </w:p>
        </w:tc>
        <w:tc>
          <w:tcPr>
            <w:tcW w:w="1280" w:type="dxa"/>
            <w:vAlign w:val="bottom"/>
            <w:gridSpan w:val="3"/>
          </w:tcPr>
          <w:p>
            <w:pPr>
              <w:jc w:val="right"/>
              <w:ind w:right="359"/>
              <w:spacing w:after="0"/>
              <w:rPr>
                <w:sz w:val="20"/>
                <w:szCs w:val="20"/>
                <w:color w:val="auto"/>
              </w:rPr>
            </w:pPr>
            <w:r>
              <w:rPr>
                <w:rFonts w:ascii="Arial" w:cs="Arial" w:eastAsia="Arial" w:hAnsi="Arial"/>
                <w:sz w:val="16"/>
                <w:szCs w:val="16"/>
                <w:color w:val="auto"/>
              </w:rPr>
              <w:t>2020</w:t>
            </w: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400" w:type="dxa"/>
            <w:vAlign w:val="bottom"/>
            <w:tcBorders>
              <w:bottom w:val="single" w:sz="8" w:color="CEFFE7"/>
            </w:tcBorders>
            <w:gridSpan w:val="4"/>
            <w:shd w:val="clear" w:color="auto" w:fill="CEFFE7"/>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290,471</w:t>
            </w:r>
          </w:p>
        </w:tc>
        <w:tc>
          <w:tcPr>
            <w:tcW w:w="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326,222</w:t>
            </w:r>
          </w:p>
        </w:tc>
        <w:tc>
          <w:tcPr>
            <w:tcW w:w="280" w:type="dxa"/>
            <w:vAlign w:val="bottom"/>
            <w:tcBorders>
              <w:bottom w:val="single" w:sz="8" w:color="CEFFE7"/>
            </w:tcBorders>
            <w:gridSpan w:val="3"/>
            <w:shd w:val="clear" w:color="auto" w:fill="CEFFE7"/>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159,489</w:t>
            </w:r>
          </w:p>
        </w:tc>
        <w:tc>
          <w:tcPr>
            <w:tcW w:w="4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w w:val="96"/>
              </w:rPr>
              <w:t>157,727</w:t>
            </w:r>
          </w:p>
        </w:tc>
        <w:tc>
          <w:tcPr>
            <w:tcW w:w="8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gridSpan w:val="3"/>
            <w:shd w:val="clear" w:color="auto" w:fill="CEFFE7"/>
          </w:tcPr>
          <w:p>
            <w:pPr>
              <w:jc w:val="right"/>
              <w:ind w:right="99"/>
              <w:spacing w:after="0"/>
              <w:rPr>
                <w:sz w:val="20"/>
                <w:szCs w:val="20"/>
                <w:color w:val="auto"/>
              </w:rPr>
            </w:pPr>
            <w:r>
              <w:rPr>
                <w:rFonts w:ascii="Arial" w:cs="Arial" w:eastAsia="Arial" w:hAnsi="Arial"/>
                <w:sz w:val="16"/>
                <w:szCs w:val="16"/>
                <w:color w:val="auto"/>
              </w:rPr>
              <w:t>36,732,630</w:t>
            </w:r>
          </w:p>
        </w:tc>
        <w:tc>
          <w:tcPr>
            <w:tcW w:w="11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40,757,176</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107,677</w:t>
            </w:r>
          </w:p>
        </w:tc>
        <w:tc>
          <w:tcPr>
            <w:tcW w:w="2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127,123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48,855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50,084</w:t>
            </w:r>
          </w:p>
        </w:tc>
        <w:tc>
          <w:tcPr>
            <w:tcW w:w="80" w:type="dxa"/>
            <w:vAlign w:val="bottom"/>
          </w:tcPr>
          <w:p>
            <w:pPr>
              <w:spacing w:after="0"/>
              <w:rPr>
                <w:sz w:val="19"/>
                <w:szCs w:val="19"/>
                <w:color w:val="auto"/>
              </w:rPr>
            </w:pPr>
          </w:p>
        </w:tc>
        <w:tc>
          <w:tcPr>
            <w:tcW w:w="1280" w:type="dxa"/>
            <w:vAlign w:val="bottom"/>
            <w:gridSpan w:val="3"/>
          </w:tcPr>
          <w:p>
            <w:pPr>
              <w:jc w:val="right"/>
              <w:ind w:right="99"/>
              <w:spacing w:after="0"/>
              <w:rPr>
                <w:sz w:val="20"/>
                <w:szCs w:val="20"/>
                <w:color w:val="auto"/>
              </w:rPr>
            </w:pPr>
            <w:r>
              <w:rPr>
                <w:rFonts w:ascii="Arial" w:cs="Arial" w:eastAsia="Arial" w:hAnsi="Arial"/>
                <w:sz w:val="16"/>
                <w:szCs w:val="16"/>
                <w:color w:val="auto"/>
              </w:rPr>
              <w:t>16,800,332</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19,185,727</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100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11,259</w:t>
            </w:r>
          </w:p>
        </w:tc>
        <w:tc>
          <w:tcPr>
            <w:tcW w:w="2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9,994</w:t>
            </w:r>
          </w:p>
        </w:tc>
        <w:tc>
          <w:tcPr>
            <w:tcW w:w="6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4,183</w:t>
            </w:r>
          </w:p>
        </w:tc>
        <w:tc>
          <w:tcPr>
            <w:tcW w:w="4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3,337</w:t>
            </w:r>
          </w:p>
        </w:tc>
        <w:tc>
          <w:tcPr>
            <w:tcW w:w="8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gridSpan w:val="3"/>
            <w:shd w:val="clear" w:color="auto" w:fill="CEFFE7"/>
          </w:tcPr>
          <w:p>
            <w:pPr>
              <w:jc w:val="right"/>
              <w:ind w:right="99"/>
              <w:spacing w:after="0"/>
              <w:rPr>
                <w:sz w:val="20"/>
                <w:szCs w:val="20"/>
                <w:color w:val="auto"/>
              </w:rPr>
            </w:pPr>
            <w:r>
              <w:rPr>
                <w:rFonts w:ascii="Arial" w:cs="Arial" w:eastAsia="Arial" w:hAnsi="Arial"/>
                <w:sz w:val="16"/>
                <w:szCs w:val="16"/>
                <w:color w:val="auto"/>
              </w:rPr>
              <w:t>3,097,605</w:t>
            </w:r>
          </w:p>
        </w:tc>
        <w:tc>
          <w:tcPr>
            <w:tcW w:w="11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2,180,469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(415)</w:t>
            </w:r>
          </w:p>
        </w:tc>
        <w:tc>
          <w:tcPr>
            <w:tcW w:w="2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(3,467)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99"/>
              <w:spacing w:after="0"/>
              <w:rPr>
                <w:sz w:val="20"/>
                <w:szCs w:val="20"/>
                <w:color w:val="auto"/>
              </w:rPr>
            </w:pPr>
            <w:r>
              <w:rPr>
                <w:rFonts w:ascii="Arial" w:cs="Arial" w:eastAsia="Arial" w:hAnsi="Arial"/>
                <w:sz w:val="16"/>
                <w:szCs w:val="16"/>
                <w:color w:val="auto"/>
              </w:rPr>
              <w:t>(415)</w:t>
            </w:r>
          </w:p>
        </w:tc>
        <w:tc>
          <w:tcPr>
            <w:tcW w:w="800" w:type="dxa"/>
            <w:vAlign w:val="bottom"/>
          </w:tcPr>
          <w:p>
            <w:pPr>
              <w:ind w:left="300"/>
              <w:spacing w:after="0"/>
              <w:rPr>
                <w:sz w:val="20"/>
                <w:szCs w:val="20"/>
                <w:color w:val="auto"/>
              </w:rPr>
            </w:pPr>
            <w:r>
              <w:rPr>
                <w:rFonts w:ascii="Arial" w:cs="Arial" w:eastAsia="Arial" w:hAnsi="Arial"/>
                <w:sz w:val="16"/>
                <w:szCs w:val="16"/>
                <w:color w:val="auto"/>
                <w:w w:val="94"/>
              </w:rPr>
              <w:t>(3,467)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8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Total Distribution</w:t>
            </w:r>
          </w:p>
        </w:tc>
        <w:tc>
          <w:tcPr>
            <w:tcW w:w="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408,992</w:t>
            </w:r>
          </w:p>
        </w:tc>
        <w:tc>
          <w:tcPr>
            <w:tcW w:w="2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459,872</w:t>
            </w:r>
          </w:p>
        </w:tc>
        <w:tc>
          <w:tcPr>
            <w:tcW w:w="6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212,112</w:t>
            </w:r>
          </w:p>
        </w:tc>
        <w:tc>
          <w:tcPr>
            <w:tcW w:w="4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w w:val="96"/>
              </w:rPr>
              <w:t>207,681</w:t>
            </w:r>
          </w:p>
        </w:tc>
        <w:tc>
          <w:tcPr>
            <w:tcW w:w="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gridSpan w:val="3"/>
            <w:shd w:val="clear" w:color="auto" w:fill="CEFFE7"/>
          </w:tcPr>
          <w:p>
            <w:pPr>
              <w:jc w:val="right"/>
              <w:ind w:right="99"/>
              <w:spacing w:after="0"/>
              <w:rPr>
                <w:sz w:val="20"/>
                <w:szCs w:val="20"/>
                <w:color w:val="auto"/>
              </w:rPr>
            </w:pPr>
            <w:r>
              <w:rPr>
                <w:rFonts w:ascii="Arial" w:cs="Arial" w:eastAsia="Arial" w:hAnsi="Arial"/>
                <w:sz w:val="16"/>
                <w:szCs w:val="16"/>
                <w:color w:val="auto"/>
              </w:rPr>
              <w:t>56,630,567</w:t>
            </w:r>
          </w:p>
        </w:tc>
        <w:tc>
          <w:tcPr>
            <w:tcW w:w="11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62,123,372</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2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100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75,337</w:t>
            </w:r>
          </w:p>
        </w:tc>
        <w:tc>
          <w:tcPr>
            <w:tcW w:w="2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73,945</w:t>
            </w:r>
          </w:p>
        </w:tc>
        <w:tc>
          <w:tcPr>
            <w:tcW w:w="6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75,308</w:t>
            </w:r>
          </w:p>
        </w:tc>
        <w:tc>
          <w:tcPr>
            <w:tcW w:w="4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73,978</w:t>
            </w:r>
          </w:p>
        </w:tc>
        <w:tc>
          <w:tcPr>
            <w:tcW w:w="8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gridSpan w:val="3"/>
            <w:shd w:val="clear" w:color="auto" w:fill="CEFFE7"/>
          </w:tcPr>
          <w:p>
            <w:pPr>
              <w:jc w:val="right"/>
              <w:ind w:right="99"/>
              <w:spacing w:after="0"/>
              <w:rPr>
                <w:sz w:val="20"/>
                <w:szCs w:val="20"/>
                <w:color w:val="auto"/>
              </w:rPr>
            </w:pPr>
            <w:r>
              <w:rPr>
                <w:rFonts w:ascii="Arial" w:cs="Arial" w:eastAsia="Arial" w:hAnsi="Arial"/>
                <w:sz w:val="16"/>
                <w:szCs w:val="16"/>
                <w:color w:val="auto"/>
              </w:rPr>
              <w:t>75,299,008</w:t>
            </w:r>
          </w:p>
        </w:tc>
        <w:tc>
          <w:tcPr>
            <w:tcW w:w="11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79,083,470</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80" w:type="dxa"/>
            <w:vAlign w:val="bottom"/>
            <w:tcBorders>
              <w:bottom w:val="single" w:sz="8" w:color="CEFFE7"/>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140" w:type="dxa"/>
            <w:vAlign w:val="bottom"/>
            <w:tcBorders>
              <w:bottom w:val="single" w:sz="8" w:color="CEFFE7"/>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shd w:val="clear" w:color="auto" w:fill="CEFFE7"/>
          </w:tcPr>
          <w:p>
            <w:pPr>
              <w:ind w:left="200"/>
              <w:spacing w:after="0"/>
              <w:rPr>
                <w:sz w:val="20"/>
                <w:szCs w:val="20"/>
                <w:color w:val="auto"/>
              </w:rPr>
            </w:pPr>
            <w:r>
              <w:rPr>
                <w:rFonts w:ascii="Arial" w:cs="Arial" w:eastAsia="Arial" w:hAnsi="Arial"/>
                <w:sz w:val="16"/>
                <w:szCs w:val="16"/>
                <w:color w:val="auto"/>
              </w:rPr>
              <w:t>Total Regulated</w:t>
            </w:r>
          </w:p>
        </w:tc>
        <w:tc>
          <w:tcPr>
            <w:tcW w:w="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00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484,329</w:t>
            </w:r>
          </w:p>
        </w:tc>
        <w:tc>
          <w:tcPr>
            <w:tcW w:w="240" w:type="dxa"/>
            <w:vAlign w:val="bottom"/>
            <w:shd w:val="clear" w:color="auto" w:fill="CEFFE7"/>
          </w:tcPr>
          <w:p>
            <w:pPr>
              <w:spacing w:after="0"/>
              <w:rPr>
                <w:sz w:val="24"/>
                <w:szCs w:val="24"/>
                <w:color w:val="auto"/>
              </w:rPr>
            </w:pPr>
          </w:p>
        </w:tc>
        <w:tc>
          <w:tcPr>
            <w:tcW w:w="880" w:type="dxa"/>
            <w:vAlign w:val="bottom"/>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533,817</w:t>
            </w:r>
          </w:p>
        </w:tc>
        <w:tc>
          <w:tcPr>
            <w:tcW w:w="6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287,420</w:t>
            </w:r>
          </w:p>
        </w:tc>
        <w:tc>
          <w:tcPr>
            <w:tcW w:w="400" w:type="dxa"/>
            <w:vAlign w:val="bottom"/>
            <w:shd w:val="clear" w:color="auto" w:fill="CEFFE7"/>
          </w:tcPr>
          <w:p>
            <w:pPr>
              <w:spacing w:after="0"/>
              <w:rPr>
                <w:sz w:val="24"/>
                <w:szCs w:val="24"/>
                <w:color w:val="auto"/>
              </w:rPr>
            </w:pPr>
          </w:p>
        </w:tc>
        <w:tc>
          <w:tcPr>
            <w:tcW w:w="800" w:type="dxa"/>
            <w:vAlign w:val="bottom"/>
            <w:shd w:val="clear" w:color="auto" w:fill="CEFFE7"/>
          </w:tcPr>
          <w:p>
            <w:pPr>
              <w:ind w:left="220"/>
              <w:spacing w:after="0"/>
              <w:rPr>
                <w:sz w:val="20"/>
                <w:szCs w:val="20"/>
                <w:color w:val="auto"/>
              </w:rPr>
            </w:pPr>
            <w:r>
              <w:rPr>
                <w:rFonts w:ascii="Arial" w:cs="Arial" w:eastAsia="Arial" w:hAnsi="Arial"/>
                <w:sz w:val="16"/>
                <w:szCs w:val="16"/>
                <w:color w:val="auto"/>
                <w:w w:val="96"/>
              </w:rPr>
              <w:t>281,659</w:t>
            </w:r>
          </w:p>
        </w:tc>
        <w:tc>
          <w:tcPr>
            <w:tcW w:w="80" w:type="dxa"/>
            <w:vAlign w:val="bottom"/>
            <w:shd w:val="clear" w:color="auto" w:fill="CEFFE7"/>
          </w:tcPr>
          <w:p>
            <w:pPr>
              <w:spacing w:after="0"/>
              <w:rPr>
                <w:sz w:val="24"/>
                <w:szCs w:val="24"/>
                <w:color w:val="auto"/>
              </w:rPr>
            </w:pPr>
          </w:p>
        </w:tc>
        <w:tc>
          <w:tcPr>
            <w:tcW w:w="1280" w:type="dxa"/>
            <w:vAlign w:val="bottom"/>
            <w:gridSpan w:val="3"/>
            <w:shd w:val="clear" w:color="auto" w:fill="CEFFE7"/>
          </w:tcPr>
          <w:p>
            <w:pPr>
              <w:jc w:val="right"/>
              <w:ind w:right="99"/>
              <w:spacing w:after="0"/>
              <w:rPr>
                <w:sz w:val="20"/>
                <w:szCs w:val="20"/>
                <w:color w:val="auto"/>
              </w:rPr>
            </w:pPr>
            <w:r>
              <w:rPr>
                <w:rFonts w:ascii="Arial" w:cs="Arial" w:eastAsia="Arial" w:hAnsi="Arial"/>
                <w:sz w:val="16"/>
                <w:szCs w:val="16"/>
                <w:color w:val="auto"/>
              </w:rPr>
              <w:t>131,929,575</w:t>
            </w:r>
          </w:p>
        </w:tc>
        <w:tc>
          <w:tcPr>
            <w:tcW w:w="112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141,206,842</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380" w:type="dxa"/>
            <w:vAlign w:val="bottom"/>
            <w:tcBorders>
              <w:top w:val="single" w:sz="8" w:color="CEFFE7"/>
            </w:tcBorders>
          </w:tcPr>
          <w:p>
            <w:pPr>
              <w:spacing w:after="0"/>
              <w:rPr>
                <w:sz w:val="9"/>
                <w:szCs w:val="9"/>
                <w:color w:val="auto"/>
              </w:rPr>
            </w:pPr>
          </w:p>
        </w:tc>
        <w:tc>
          <w:tcPr>
            <w:tcW w:w="20" w:type="dxa"/>
            <w:vAlign w:val="bottom"/>
            <w:tcBorders>
              <w:top w:val="single" w:sz="8" w:color="CEFFE7"/>
            </w:tcBorders>
          </w:tcPr>
          <w:p>
            <w:pPr>
              <w:spacing w:after="0"/>
              <w:rPr>
                <w:sz w:val="9"/>
                <w:szCs w:val="9"/>
                <w:color w:val="auto"/>
              </w:rPr>
            </w:pPr>
          </w:p>
        </w:tc>
        <w:tc>
          <w:tcPr>
            <w:tcW w:w="140" w:type="dxa"/>
            <w:vAlign w:val="bottom"/>
            <w:tcBorders>
              <w:top w:val="single" w:sz="8" w:color="CEFFE7"/>
            </w:tcBorders>
          </w:tcPr>
          <w:p>
            <w:pPr>
              <w:spacing w:after="0"/>
              <w:rPr>
                <w:sz w:val="9"/>
                <w:szCs w:val="9"/>
                <w:color w:val="auto"/>
              </w:rPr>
            </w:pPr>
          </w:p>
        </w:tc>
        <w:tc>
          <w:tcPr>
            <w:tcW w:w="120" w:type="dxa"/>
            <w:vAlign w:val="bottom"/>
            <w:tcBorders>
              <w:top w:val="single" w:sz="8" w:color="CEFFE7"/>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CEFFE7"/>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2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100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37,554</w:t>
            </w:r>
          </w:p>
        </w:tc>
        <w:tc>
          <w:tcPr>
            <w:tcW w:w="2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42,732</w:t>
            </w:r>
          </w:p>
        </w:tc>
        <w:tc>
          <w:tcPr>
            <w:tcW w:w="6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34,480</w:t>
            </w:r>
          </w:p>
        </w:tc>
        <w:tc>
          <w:tcPr>
            <w:tcW w:w="4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30,627</w:t>
            </w:r>
          </w:p>
        </w:tc>
        <w:tc>
          <w:tcPr>
            <w:tcW w:w="80" w:type="dxa"/>
            <w:vAlign w:val="bottom"/>
            <w:tcBorders>
              <w:bottom w:val="single" w:sz="8" w:color="CEFFE7"/>
            </w:tcBorders>
            <w:shd w:val="clear" w:color="auto" w:fill="CEFFE7"/>
          </w:tcPr>
          <w:p>
            <w:pPr>
              <w:spacing w:after="0"/>
              <w:rPr>
                <w:sz w:val="20"/>
                <w:szCs w:val="20"/>
                <w:color w:val="auto"/>
              </w:rPr>
            </w:pPr>
          </w:p>
        </w:tc>
        <w:tc>
          <w:tcPr>
            <w:tcW w:w="2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160" w:type="dxa"/>
            <w:vAlign w:val="bottom"/>
            <w:tcBorders>
              <w:bottom w:val="single" w:sz="8" w:color="CEFFE7"/>
            </w:tcBorders>
            <w:shd w:val="clear" w:color="auto" w:fill="CEFFE7"/>
          </w:tcPr>
          <w:p>
            <w:pPr>
              <w:spacing w:after="0"/>
              <w:rPr>
                <w:sz w:val="20"/>
                <w:szCs w:val="20"/>
                <w:color w:val="auto"/>
              </w:rPr>
            </w:pPr>
          </w:p>
        </w:tc>
        <w:tc>
          <w:tcPr>
            <w:tcW w:w="112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80" w:type="dxa"/>
            <w:vAlign w:val="bottom"/>
            <w:tcBorders>
              <w:bottom w:val="single" w:sz="8" w:color="CEFFE7"/>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140" w:type="dxa"/>
            <w:vAlign w:val="bottom"/>
            <w:tcBorders>
              <w:bottom w:val="single" w:sz="8" w:color="CEFFE7"/>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160" w:type="dxa"/>
            <w:vAlign w:val="bottom"/>
            <w:tcBorders>
              <w:bottom w:val="single" w:sz="8" w:color="CEFFE7"/>
            </w:tcBorders>
          </w:tcPr>
          <w:p>
            <w:pPr>
              <w:spacing w:after="0"/>
              <w:rPr>
                <w:sz w:val="14"/>
                <w:szCs w:val="14"/>
                <w:color w:val="auto"/>
              </w:rPr>
            </w:pPr>
          </w:p>
        </w:tc>
        <w:tc>
          <w:tcPr>
            <w:tcW w:w="1120" w:type="dxa"/>
            <w:vAlign w:val="bottom"/>
            <w:tcBorders>
              <w:bottom w:val="single" w:sz="8" w:color="CEFFE7"/>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shd w:val="clear" w:color="auto" w:fill="CEFFE7"/>
          </w:tcPr>
          <w:p>
            <w:pPr>
              <w:ind w:left="200"/>
              <w:spacing w:after="0"/>
              <w:rPr>
                <w:sz w:val="20"/>
                <w:szCs w:val="20"/>
                <w:color w:val="auto"/>
              </w:rPr>
            </w:pPr>
            <w:r>
              <w:rPr>
                <w:rFonts w:ascii="Arial" w:cs="Arial" w:eastAsia="Arial" w:hAnsi="Arial"/>
                <w:sz w:val="16"/>
                <w:szCs w:val="16"/>
                <w:color w:val="auto"/>
              </w:rPr>
              <w:t>Total Gas Revenue &amp; Gross Margin</w:t>
            </w:r>
          </w:p>
        </w:tc>
        <w:tc>
          <w:tcPr>
            <w:tcW w:w="400" w:type="dxa"/>
            <w:vAlign w:val="bottom"/>
            <w:gridSpan w:val="4"/>
            <w:vMerge w:val="restart"/>
            <w:shd w:val="clear" w:color="auto" w:fill="CEFFE7"/>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521,883</w:t>
            </w:r>
          </w:p>
        </w:tc>
        <w:tc>
          <w:tcPr>
            <w:tcW w:w="24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EFFE7"/>
          </w:tcPr>
          <w:p>
            <w:pPr>
              <w:jc w:val="right"/>
              <w:ind w:right="80"/>
              <w:spacing w:after="0"/>
              <w:rPr>
                <w:sz w:val="20"/>
                <w:szCs w:val="20"/>
                <w:color w:val="auto"/>
              </w:rPr>
            </w:pPr>
            <w:r>
              <w:rPr>
                <w:rFonts w:ascii="Arial" w:cs="Arial" w:eastAsia="Arial" w:hAnsi="Arial"/>
                <w:sz w:val="16"/>
                <w:szCs w:val="16"/>
                <w:color w:val="auto"/>
              </w:rPr>
              <w:t>576,549</w:t>
            </w:r>
          </w:p>
        </w:tc>
        <w:tc>
          <w:tcPr>
            <w:tcW w:w="280" w:type="dxa"/>
            <w:vAlign w:val="bottom"/>
            <w:gridSpan w:val="3"/>
            <w:vMerge w:val="restart"/>
            <w:shd w:val="clear" w:color="auto" w:fill="CEFFE7"/>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321,900</w:t>
            </w:r>
          </w:p>
        </w:tc>
        <w:tc>
          <w:tcPr>
            <w:tcW w:w="40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EFFE7"/>
          </w:tcPr>
          <w:p>
            <w:pPr>
              <w:ind w:left="220"/>
              <w:spacing w:after="0"/>
              <w:rPr>
                <w:sz w:val="20"/>
                <w:szCs w:val="20"/>
                <w:color w:val="auto"/>
              </w:rPr>
            </w:pPr>
            <w:r>
              <w:rPr>
                <w:rFonts w:ascii="Arial" w:cs="Arial" w:eastAsia="Arial" w:hAnsi="Arial"/>
                <w:sz w:val="16"/>
                <w:szCs w:val="16"/>
                <w:color w:val="auto"/>
                <w:w w:val="96"/>
              </w:rPr>
              <w:t>312,286</w:t>
            </w:r>
          </w:p>
        </w:tc>
        <w:tc>
          <w:tcPr>
            <w:tcW w:w="8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1160" w:type="dxa"/>
            <w:vAlign w:val="bottom"/>
            <w:shd w:val="clear" w:color="auto" w:fill="CEFFE7"/>
          </w:tcPr>
          <w:p>
            <w:pPr>
              <w:spacing w:after="0"/>
              <w:rPr>
                <w:sz w:val="17"/>
                <w:szCs w:val="17"/>
                <w:color w:val="auto"/>
              </w:rPr>
            </w:pPr>
          </w:p>
        </w:tc>
        <w:tc>
          <w:tcPr>
            <w:tcW w:w="11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80" w:type="dxa"/>
            <w:vAlign w:val="bottom"/>
            <w:shd w:val="clear" w:color="auto" w:fill="CEFFE7"/>
          </w:tcPr>
          <w:p>
            <w:pPr>
              <w:ind w:left="200"/>
              <w:spacing w:after="0"/>
              <w:rPr>
                <w:sz w:val="20"/>
                <w:szCs w:val="20"/>
                <w:color w:val="auto"/>
              </w:rPr>
            </w:pPr>
            <w:r>
              <w:rPr>
                <w:rFonts w:ascii="Arial" w:cs="Arial" w:eastAsia="Arial" w:hAnsi="Arial"/>
                <w:sz w:val="16"/>
                <w:szCs w:val="16"/>
                <w:color w:val="auto"/>
              </w:rPr>
              <w:t>(non-GAAP)</w:t>
            </w:r>
          </w:p>
        </w:tc>
        <w:tc>
          <w:tcPr>
            <w:tcW w:w="400" w:type="dxa"/>
            <w:vAlign w:val="bottom"/>
            <w:gridSpan w:val="4"/>
            <w:vMerge w:val="continue"/>
            <w:shd w:val="clear" w:color="auto" w:fill="CEFFE7"/>
          </w:tcPr>
          <w:p>
            <w:pPr>
              <w:spacing w:after="0"/>
              <w:rPr>
                <w:sz w:val="19"/>
                <w:szCs w:val="19"/>
                <w:color w:val="auto"/>
              </w:rPr>
            </w:pPr>
          </w:p>
        </w:tc>
        <w:tc>
          <w:tcPr>
            <w:tcW w:w="1000" w:type="dxa"/>
            <w:vAlign w:val="bottom"/>
            <w:gridSpan w:val="2"/>
            <w:vMerge w:val="continue"/>
            <w:shd w:val="clear" w:color="auto" w:fill="CEFFE7"/>
          </w:tcPr>
          <w:p>
            <w:pPr>
              <w:spacing w:after="0"/>
              <w:rPr>
                <w:sz w:val="19"/>
                <w:szCs w:val="19"/>
                <w:color w:val="auto"/>
              </w:rPr>
            </w:pPr>
          </w:p>
        </w:tc>
        <w:tc>
          <w:tcPr>
            <w:tcW w:w="240" w:type="dxa"/>
            <w:vAlign w:val="bottom"/>
            <w:vMerge w:val="continue"/>
            <w:shd w:val="clear" w:color="auto" w:fill="CEFFE7"/>
          </w:tcPr>
          <w:p>
            <w:pPr>
              <w:spacing w:after="0"/>
              <w:rPr>
                <w:sz w:val="19"/>
                <w:szCs w:val="19"/>
                <w:color w:val="auto"/>
              </w:rPr>
            </w:pPr>
          </w:p>
        </w:tc>
        <w:tc>
          <w:tcPr>
            <w:tcW w:w="880" w:type="dxa"/>
            <w:vAlign w:val="bottom"/>
            <w:gridSpan w:val="2"/>
            <w:vMerge w:val="continue"/>
            <w:shd w:val="clear" w:color="auto" w:fill="CEFFE7"/>
          </w:tcPr>
          <w:p>
            <w:pPr>
              <w:spacing w:after="0"/>
              <w:rPr>
                <w:sz w:val="19"/>
                <w:szCs w:val="19"/>
                <w:color w:val="auto"/>
              </w:rPr>
            </w:pPr>
          </w:p>
        </w:tc>
        <w:tc>
          <w:tcPr>
            <w:tcW w:w="280" w:type="dxa"/>
            <w:vAlign w:val="bottom"/>
            <w:gridSpan w:val="3"/>
            <w:vMerge w:val="continue"/>
            <w:shd w:val="clear" w:color="auto" w:fill="CEFFE7"/>
          </w:tcPr>
          <w:p>
            <w:pPr>
              <w:spacing w:after="0"/>
              <w:rPr>
                <w:sz w:val="19"/>
                <w:szCs w:val="19"/>
                <w:color w:val="auto"/>
              </w:rPr>
            </w:pPr>
          </w:p>
        </w:tc>
        <w:tc>
          <w:tcPr>
            <w:tcW w:w="920" w:type="dxa"/>
            <w:vAlign w:val="bottom"/>
            <w:vMerge w:val="continue"/>
            <w:shd w:val="clear" w:color="auto" w:fill="CEFFE7"/>
          </w:tcPr>
          <w:p>
            <w:pPr>
              <w:spacing w:after="0"/>
              <w:rPr>
                <w:sz w:val="19"/>
                <w:szCs w:val="19"/>
                <w:color w:val="auto"/>
              </w:rPr>
            </w:pPr>
          </w:p>
        </w:tc>
        <w:tc>
          <w:tcPr>
            <w:tcW w:w="400" w:type="dxa"/>
            <w:vAlign w:val="bottom"/>
            <w:vMerge w:val="continue"/>
            <w:shd w:val="clear" w:color="auto" w:fill="CEFFE7"/>
          </w:tcPr>
          <w:p>
            <w:pPr>
              <w:spacing w:after="0"/>
              <w:rPr>
                <w:sz w:val="19"/>
                <w:szCs w:val="19"/>
                <w:color w:val="auto"/>
              </w:rPr>
            </w:pPr>
          </w:p>
        </w:tc>
        <w:tc>
          <w:tcPr>
            <w:tcW w:w="800" w:type="dxa"/>
            <w:vAlign w:val="bottom"/>
            <w:vMerge w:val="continue"/>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160" w:type="dxa"/>
            <w:vAlign w:val="bottom"/>
            <w:shd w:val="clear" w:color="auto" w:fill="CEFFE7"/>
          </w:tcPr>
          <w:p>
            <w:pPr>
              <w:spacing w:after="0"/>
              <w:rPr>
                <w:sz w:val="19"/>
                <w:szCs w:val="19"/>
                <w:color w:val="auto"/>
              </w:rPr>
            </w:pPr>
          </w:p>
        </w:tc>
        <w:tc>
          <w:tcPr>
            <w:tcW w:w="11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280" w:type="dxa"/>
            <w:vAlign w:val="bottom"/>
            <w:tcBorders>
              <w:top w:val="single" w:sz="8" w:color="CEFFE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left="299"/>
              <w:spacing w:after="0"/>
              <w:rPr>
                <w:sz w:val="20"/>
                <w:szCs w:val="20"/>
                <w:color w:val="auto"/>
              </w:rPr>
            </w:pPr>
            <w:r>
              <w:rPr>
                <w:rFonts w:ascii="Arial" w:cs="Arial" w:eastAsia="Arial" w:hAnsi="Arial"/>
                <w:sz w:val="16"/>
                <w:szCs w:val="16"/>
                <w:color w:val="auto"/>
                <w:w w:val="87"/>
              </w:rPr>
              <w:t>Gas Revenue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4"/>
            <w:vMerge w:val="restart"/>
          </w:tcPr>
          <w:p>
            <w:pPr>
              <w:jc w:val="center"/>
              <w:ind w:right="360"/>
              <w:spacing w:after="0"/>
              <w:rPr>
                <w:sz w:val="20"/>
                <w:szCs w:val="20"/>
                <w:color w:val="auto"/>
              </w:rPr>
            </w:pPr>
            <w:r>
              <w:rPr>
                <w:rFonts w:ascii="Arial" w:cs="Arial" w:eastAsia="Arial" w:hAnsi="Arial"/>
                <w:sz w:val="16"/>
                <w:szCs w:val="16"/>
                <w:color w:val="auto"/>
                <w:w w:val="93"/>
              </w:rPr>
              <w:t>Gross Margin (non-GAAP)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color w:val="auto"/>
                <w:w w:val="95"/>
              </w:rPr>
              <w:t>Gas Utilities Quantities Sold &amp;</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gridSpan w:val="5"/>
            <w:vMerge w:val="restart"/>
          </w:tcPr>
          <w:p>
            <w:pPr>
              <w:jc w:val="center"/>
              <w:ind w:right="500"/>
              <w:spacing w:after="0"/>
              <w:rPr>
                <w:sz w:val="20"/>
                <w:szCs w:val="20"/>
                <w:color w:val="auto"/>
              </w:rPr>
            </w:pPr>
            <w:r>
              <w:rPr>
                <w:rFonts w:ascii="Arial" w:cs="Arial" w:eastAsia="Arial" w:hAnsi="Arial"/>
                <w:sz w:val="16"/>
                <w:szCs w:val="16"/>
                <w:color w:val="auto"/>
                <w:w w:val="92"/>
              </w:rPr>
              <w:t>(in thousands)</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1"/>
              </w:rPr>
              <w:t>Transported (Dth)</w:t>
            </w: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6"/>
                <w:szCs w:val="16"/>
                <w:color w:val="auto"/>
                <w:w w:val="90"/>
              </w:rPr>
              <w:t>(in thousands)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center"/>
              <w:ind w:right="500"/>
              <w:spacing w:after="0"/>
              <w:rPr>
                <w:sz w:val="20"/>
                <w:szCs w:val="20"/>
                <w:color w:val="auto"/>
              </w:rPr>
            </w:pPr>
            <w:r>
              <w:rPr>
                <w:rFonts w:ascii="Arial" w:cs="Arial" w:eastAsia="Arial" w:hAnsi="Arial"/>
                <w:sz w:val="16"/>
                <w:szCs w:val="16"/>
                <w:color w:val="auto"/>
                <w:w w:val="92"/>
              </w:rPr>
              <w:t>Three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4"/>
          </w:tcPr>
          <w:p>
            <w:pPr>
              <w:jc w:val="center"/>
              <w:ind w:right="360"/>
              <w:spacing w:after="0"/>
              <w:rPr>
                <w:sz w:val="20"/>
                <w:szCs w:val="20"/>
                <w:color w:val="auto"/>
              </w:rPr>
            </w:pPr>
            <w:r>
              <w:rPr>
                <w:rFonts w:ascii="Arial" w:cs="Arial" w:eastAsia="Arial" w:hAnsi="Arial"/>
                <w:sz w:val="16"/>
                <w:szCs w:val="16"/>
                <w:color w:val="auto"/>
                <w:w w:val="90"/>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left="299"/>
              <w:spacing w:after="0"/>
              <w:rPr>
                <w:sz w:val="20"/>
                <w:szCs w:val="20"/>
                <w:color w:val="auto"/>
              </w:rPr>
            </w:pPr>
            <w:r>
              <w:rPr>
                <w:rFonts w:ascii="Arial" w:cs="Arial" w:eastAsia="Arial" w:hAnsi="Arial"/>
                <w:sz w:val="16"/>
                <w:szCs w:val="16"/>
                <w:color w:val="auto"/>
                <w:w w:val="87"/>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left="459"/>
              <w:spacing w:after="0"/>
              <w:rPr>
                <w:sz w:val="20"/>
                <w:szCs w:val="20"/>
                <w:color w:val="auto"/>
              </w:rPr>
            </w:pPr>
            <w:r>
              <w:rPr>
                <w:rFonts w:ascii="Arial" w:cs="Arial" w:eastAsia="Arial" w:hAnsi="Arial"/>
                <w:sz w:val="16"/>
                <w:szCs w:val="16"/>
                <w:color w:val="auto"/>
                <w:w w:val="87"/>
              </w:rPr>
              <w:t>June 30,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center"/>
              <w:ind w:right="19"/>
              <w:spacing w:after="0"/>
              <w:rPr>
                <w:sz w:val="20"/>
                <w:szCs w:val="20"/>
                <w:color w:val="auto"/>
              </w:rPr>
            </w:pPr>
            <w:r>
              <w:rPr>
                <w:rFonts w:ascii="Arial" w:cs="Arial" w:eastAsia="Arial" w:hAnsi="Arial"/>
                <w:sz w:val="16"/>
                <w:szCs w:val="16"/>
                <w:color w:val="auto"/>
                <w:w w:val="87"/>
              </w:rPr>
              <w:t>June 30,</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color w:val="auto"/>
              </w:rPr>
              <w:t>2020</w:t>
            </w:r>
          </w:p>
        </w:tc>
        <w:tc>
          <w:tcPr>
            <w:tcW w:w="40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22"/>
                <w:szCs w:val="22"/>
                <w:color w:val="auto"/>
              </w:rPr>
            </w:pPr>
          </w:p>
        </w:tc>
        <w:tc>
          <w:tcPr>
            <w:tcW w:w="1280" w:type="dxa"/>
            <w:vAlign w:val="bottom"/>
            <w:gridSpan w:val="3"/>
          </w:tcPr>
          <w:p>
            <w:pPr>
              <w:jc w:val="right"/>
              <w:ind w:right="419"/>
              <w:spacing w:after="0"/>
              <w:rPr>
                <w:sz w:val="20"/>
                <w:szCs w:val="20"/>
                <w:color w:val="auto"/>
              </w:rPr>
            </w:pPr>
            <w:r>
              <w:rPr>
                <w:rFonts w:ascii="Arial" w:cs="Arial" w:eastAsia="Arial" w:hAnsi="Arial"/>
                <w:sz w:val="16"/>
                <w:szCs w:val="16"/>
                <w:color w:val="auto"/>
              </w:rPr>
              <w:t>2020</w:t>
            </w: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 w:type="dxa"/>
            <w:vAlign w:val="bottom"/>
            <w:tcBorders>
              <w:right w:val="single" w:sz="8" w:color="CEFFE7"/>
            </w:tcBorders>
          </w:tcPr>
          <w:p>
            <w:pPr>
              <w:spacing w:after="0"/>
              <w:rPr>
                <w:sz w:val="20"/>
                <w:szCs w:val="20"/>
                <w:color w:val="auto"/>
              </w:rPr>
            </w:pPr>
          </w:p>
        </w:tc>
        <w:tc>
          <w:tcPr>
            <w:tcW w:w="370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Arkansas Gas</w:t>
            </w:r>
          </w:p>
        </w:tc>
        <w:tc>
          <w:tcPr>
            <w:tcW w:w="160" w:type="dxa"/>
            <w:vAlign w:val="bottom"/>
            <w:tcBorders>
              <w:bottom w:val="single" w:sz="8" w:color="CEFFE7"/>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28,733</w:t>
            </w:r>
          </w:p>
        </w:tc>
        <w:tc>
          <w:tcPr>
            <w:tcW w:w="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26,236</w:t>
            </w:r>
          </w:p>
        </w:tc>
        <w:tc>
          <w:tcPr>
            <w:tcW w:w="10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CEFFE7"/>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21,906</w:t>
            </w:r>
          </w:p>
        </w:tc>
        <w:tc>
          <w:tcPr>
            <w:tcW w:w="40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18,617</w:t>
            </w:r>
          </w:p>
        </w:tc>
        <w:tc>
          <w:tcPr>
            <w:tcW w:w="8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gridSpan w:val="3"/>
            <w:shd w:val="clear" w:color="auto" w:fill="CEFFE7"/>
          </w:tcPr>
          <w:p>
            <w:pPr>
              <w:jc w:val="right"/>
              <w:ind w:right="139"/>
              <w:spacing w:after="0"/>
              <w:rPr>
                <w:sz w:val="20"/>
                <w:szCs w:val="20"/>
                <w:color w:val="auto"/>
              </w:rPr>
            </w:pPr>
            <w:r>
              <w:rPr>
                <w:rFonts w:ascii="Arial" w:cs="Arial" w:eastAsia="Arial" w:hAnsi="Arial"/>
                <w:sz w:val="16"/>
                <w:szCs w:val="16"/>
                <w:color w:val="auto"/>
              </w:rPr>
              <w:t>4,906,236</w:t>
            </w:r>
          </w:p>
        </w:tc>
        <w:tc>
          <w:tcPr>
            <w:tcW w:w="11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4,542,917</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Colorado Gas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28,613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36,713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18,807</w:t>
            </w:r>
          </w:p>
        </w:tc>
        <w:tc>
          <w:tcPr>
            <w:tcW w:w="40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19,755</w:t>
            </w:r>
          </w:p>
        </w:tc>
        <w:tc>
          <w:tcPr>
            <w:tcW w:w="80" w:type="dxa"/>
            <w:vAlign w:val="bottom"/>
          </w:tcPr>
          <w:p>
            <w:pPr>
              <w:spacing w:after="0"/>
              <w:rPr>
                <w:sz w:val="19"/>
                <w:szCs w:val="19"/>
                <w:color w:val="auto"/>
              </w:rPr>
            </w:pPr>
          </w:p>
        </w:tc>
        <w:tc>
          <w:tcPr>
            <w:tcW w:w="1280" w:type="dxa"/>
            <w:vAlign w:val="bottom"/>
            <w:gridSpan w:val="3"/>
          </w:tcPr>
          <w:p>
            <w:pPr>
              <w:jc w:val="right"/>
              <w:ind w:right="139"/>
              <w:spacing w:after="0"/>
              <w:rPr>
                <w:sz w:val="20"/>
                <w:szCs w:val="20"/>
                <w:color w:val="auto"/>
              </w:rPr>
            </w:pPr>
            <w:r>
              <w:rPr>
                <w:rFonts w:ascii="Arial" w:cs="Arial" w:eastAsia="Arial" w:hAnsi="Arial"/>
                <w:sz w:val="16"/>
                <w:szCs w:val="16"/>
                <w:color w:val="auto"/>
              </w:rPr>
              <w:t>5,046,844</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6,067,353</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Borders>
              <w:right w:val="single" w:sz="8" w:color="CEFFE7"/>
            </w:tcBorders>
          </w:tcPr>
          <w:p>
            <w:pPr>
              <w:spacing w:after="0"/>
              <w:rPr>
                <w:sz w:val="20"/>
                <w:szCs w:val="20"/>
                <w:color w:val="auto"/>
              </w:rPr>
            </w:pPr>
          </w:p>
        </w:tc>
        <w:tc>
          <w:tcPr>
            <w:tcW w:w="370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Iowa Gas</w:t>
            </w:r>
          </w:p>
        </w:tc>
        <w:tc>
          <w:tcPr>
            <w:tcW w:w="2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21,407</w:t>
            </w:r>
          </w:p>
        </w:tc>
        <w:tc>
          <w:tcPr>
            <w:tcW w:w="30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23,714</w:t>
            </w:r>
          </w:p>
        </w:tc>
        <w:tc>
          <w:tcPr>
            <w:tcW w:w="100" w:type="dxa"/>
            <w:vAlign w:val="bottom"/>
            <w:tcBorders>
              <w:bottom w:val="single" w:sz="8" w:color="CEFFE7"/>
            </w:tcBorders>
            <w:shd w:val="clear" w:color="auto" w:fill="CEFFE7"/>
          </w:tcPr>
          <w:p>
            <w:pPr>
              <w:spacing w:after="0"/>
              <w:rPr>
                <w:sz w:val="20"/>
                <w:szCs w:val="20"/>
                <w:color w:val="auto"/>
              </w:rPr>
            </w:pPr>
          </w:p>
        </w:tc>
        <w:tc>
          <w:tcPr>
            <w:tcW w:w="6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14,355</w:t>
            </w:r>
          </w:p>
        </w:tc>
        <w:tc>
          <w:tcPr>
            <w:tcW w:w="4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14,588</w:t>
            </w:r>
          </w:p>
        </w:tc>
        <w:tc>
          <w:tcPr>
            <w:tcW w:w="8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gridSpan w:val="3"/>
            <w:shd w:val="clear" w:color="auto" w:fill="CEFFE7"/>
          </w:tcPr>
          <w:p>
            <w:pPr>
              <w:jc w:val="right"/>
              <w:ind w:right="139"/>
              <w:spacing w:after="0"/>
              <w:rPr>
                <w:sz w:val="20"/>
                <w:szCs w:val="20"/>
                <w:color w:val="auto"/>
              </w:rPr>
            </w:pPr>
            <w:r>
              <w:rPr>
                <w:rFonts w:ascii="Arial" w:cs="Arial" w:eastAsia="Arial" w:hAnsi="Arial"/>
                <w:sz w:val="16"/>
                <w:szCs w:val="16"/>
                <w:color w:val="auto"/>
              </w:rPr>
              <w:t>5,521,119</w:t>
            </w:r>
          </w:p>
        </w:tc>
        <w:tc>
          <w:tcPr>
            <w:tcW w:w="11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7,484,272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Kansas Gas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18,486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17,379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12,460</w:t>
            </w:r>
          </w:p>
        </w:tc>
        <w:tc>
          <w:tcPr>
            <w:tcW w:w="400" w:type="dxa"/>
            <w:vAlign w:val="bottom"/>
          </w:tcPr>
          <w:p>
            <w:pPr>
              <w:spacing w:after="0"/>
              <w:rPr>
                <w:sz w:val="19"/>
                <w:szCs w:val="19"/>
                <w:color w:val="auto"/>
              </w:rPr>
            </w:pPr>
          </w:p>
        </w:tc>
        <w:tc>
          <w:tcPr>
            <w:tcW w:w="800" w:type="dxa"/>
            <w:vAlign w:val="bottom"/>
          </w:tcPr>
          <w:p>
            <w:pPr>
              <w:ind w:left="220"/>
              <w:spacing w:after="0"/>
              <w:rPr>
                <w:sz w:val="20"/>
                <w:szCs w:val="20"/>
                <w:color w:val="auto"/>
              </w:rPr>
            </w:pPr>
            <w:r>
              <w:rPr>
                <w:rFonts w:ascii="Arial" w:cs="Arial" w:eastAsia="Arial" w:hAnsi="Arial"/>
                <w:sz w:val="16"/>
                <w:szCs w:val="16"/>
                <w:color w:val="auto"/>
              </w:rPr>
              <w:t>11,957</w:t>
            </w:r>
          </w:p>
        </w:tc>
        <w:tc>
          <w:tcPr>
            <w:tcW w:w="80" w:type="dxa"/>
            <w:vAlign w:val="bottom"/>
          </w:tcPr>
          <w:p>
            <w:pPr>
              <w:spacing w:after="0"/>
              <w:rPr>
                <w:sz w:val="19"/>
                <w:szCs w:val="19"/>
                <w:color w:val="auto"/>
              </w:rPr>
            </w:pPr>
          </w:p>
        </w:tc>
        <w:tc>
          <w:tcPr>
            <w:tcW w:w="1280" w:type="dxa"/>
            <w:vAlign w:val="bottom"/>
            <w:gridSpan w:val="3"/>
          </w:tcPr>
          <w:p>
            <w:pPr>
              <w:jc w:val="right"/>
              <w:ind w:right="139"/>
              <w:spacing w:after="0"/>
              <w:rPr>
                <w:sz w:val="20"/>
                <w:szCs w:val="20"/>
                <w:color w:val="auto"/>
              </w:rPr>
            </w:pPr>
            <w:r>
              <w:rPr>
                <w:rFonts w:ascii="Arial" w:cs="Arial" w:eastAsia="Arial" w:hAnsi="Arial"/>
                <w:sz w:val="16"/>
                <w:szCs w:val="16"/>
                <w:color w:val="auto"/>
              </w:rPr>
              <w:t>6,722,914</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6,290,716</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Borders>
              <w:right w:val="single" w:sz="8" w:color="CEFFE7"/>
            </w:tcBorders>
          </w:tcPr>
          <w:p>
            <w:pPr>
              <w:spacing w:after="0"/>
              <w:rPr>
                <w:sz w:val="20"/>
                <w:szCs w:val="20"/>
                <w:color w:val="auto"/>
              </w:rPr>
            </w:pPr>
          </w:p>
        </w:tc>
        <w:tc>
          <w:tcPr>
            <w:tcW w:w="370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Nebraska Gas</w:t>
            </w:r>
          </w:p>
        </w:tc>
        <w:tc>
          <w:tcPr>
            <w:tcW w:w="2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40,466</w:t>
            </w:r>
          </w:p>
        </w:tc>
        <w:tc>
          <w:tcPr>
            <w:tcW w:w="30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39,315</w:t>
            </w:r>
          </w:p>
        </w:tc>
        <w:tc>
          <w:tcPr>
            <w:tcW w:w="100" w:type="dxa"/>
            <w:vAlign w:val="bottom"/>
            <w:tcBorders>
              <w:bottom w:val="single" w:sz="8" w:color="CEFFE7"/>
            </w:tcBorders>
            <w:shd w:val="clear" w:color="auto" w:fill="CEFFE7"/>
          </w:tcPr>
          <w:p>
            <w:pPr>
              <w:spacing w:after="0"/>
              <w:rPr>
                <w:sz w:val="20"/>
                <w:szCs w:val="20"/>
                <w:color w:val="auto"/>
              </w:rPr>
            </w:pPr>
          </w:p>
        </w:tc>
        <w:tc>
          <w:tcPr>
            <w:tcW w:w="6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30,719</w:t>
            </w:r>
          </w:p>
        </w:tc>
        <w:tc>
          <w:tcPr>
            <w:tcW w:w="4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27,709</w:t>
            </w:r>
          </w:p>
        </w:tc>
        <w:tc>
          <w:tcPr>
            <w:tcW w:w="8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gridSpan w:val="3"/>
            <w:shd w:val="clear" w:color="auto" w:fill="CEFFE7"/>
          </w:tcPr>
          <w:p>
            <w:pPr>
              <w:jc w:val="right"/>
              <w:ind w:right="139"/>
              <w:spacing w:after="0"/>
              <w:rPr>
                <w:sz w:val="20"/>
                <w:szCs w:val="20"/>
                <w:color w:val="auto"/>
              </w:rPr>
            </w:pPr>
            <w:r>
              <w:rPr>
                <w:rFonts w:ascii="Arial" w:cs="Arial" w:eastAsia="Arial" w:hAnsi="Arial"/>
                <w:sz w:val="16"/>
                <w:szCs w:val="16"/>
                <w:color w:val="auto"/>
              </w:rPr>
              <w:t>13,822,478</w:t>
            </w:r>
          </w:p>
        </w:tc>
        <w:tc>
          <w:tcPr>
            <w:tcW w:w="11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14,816,996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Wyoming Gas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23,405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22,112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18,241</w:t>
            </w:r>
          </w:p>
        </w:tc>
        <w:tc>
          <w:tcPr>
            <w:tcW w:w="40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15,859</w:t>
            </w:r>
          </w:p>
        </w:tc>
        <w:tc>
          <w:tcPr>
            <w:tcW w:w="80" w:type="dxa"/>
            <w:vAlign w:val="bottom"/>
          </w:tcPr>
          <w:p>
            <w:pPr>
              <w:spacing w:after="0"/>
              <w:rPr>
                <w:sz w:val="19"/>
                <w:szCs w:val="19"/>
                <w:color w:val="auto"/>
              </w:rPr>
            </w:pPr>
          </w:p>
        </w:tc>
        <w:tc>
          <w:tcPr>
            <w:tcW w:w="1280" w:type="dxa"/>
            <w:vAlign w:val="bottom"/>
            <w:gridSpan w:val="3"/>
          </w:tcPr>
          <w:p>
            <w:pPr>
              <w:jc w:val="right"/>
              <w:ind w:right="139"/>
              <w:spacing w:after="0"/>
              <w:rPr>
                <w:sz w:val="20"/>
                <w:szCs w:val="20"/>
                <w:color w:val="auto"/>
              </w:rPr>
            </w:pPr>
            <w:r>
              <w:rPr>
                <w:rFonts w:ascii="Arial" w:cs="Arial" w:eastAsia="Arial" w:hAnsi="Arial"/>
                <w:sz w:val="16"/>
                <w:szCs w:val="16"/>
                <w:color w:val="auto"/>
              </w:rPr>
              <w:t>8,727,827</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6,677,035</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700" w:type="dxa"/>
            <w:vAlign w:val="bottom"/>
            <w:tcBorders>
              <w:bottom w:val="single" w:sz="8" w:color="CEFFE7"/>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0" w:type="dxa"/>
            <w:vAlign w:val="bottom"/>
            <w:tcBorders>
              <w:right w:val="single" w:sz="8" w:color="CEFFE7"/>
            </w:tcBorders>
          </w:tcPr>
          <w:p>
            <w:pPr>
              <w:spacing w:after="0"/>
              <w:rPr>
                <w:sz w:val="23"/>
                <w:szCs w:val="23"/>
                <w:color w:val="auto"/>
              </w:rPr>
            </w:pPr>
          </w:p>
        </w:tc>
        <w:tc>
          <w:tcPr>
            <w:tcW w:w="370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Total Gas Revenue &amp; Gross Margin (non-GAAP)</w:t>
            </w:r>
          </w:p>
        </w:tc>
        <w:tc>
          <w:tcPr>
            <w:tcW w:w="16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161,110</w:t>
            </w:r>
          </w:p>
        </w:tc>
        <w:tc>
          <w:tcPr>
            <w:tcW w:w="3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23"/>
                <w:szCs w:val="23"/>
                <w:color w:val="auto"/>
              </w:rPr>
            </w:pPr>
          </w:p>
        </w:tc>
        <w:tc>
          <w:tcPr>
            <w:tcW w:w="7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165,469</w:t>
            </w:r>
          </w:p>
        </w:tc>
        <w:tc>
          <w:tcPr>
            <w:tcW w:w="100" w:type="dxa"/>
            <w:vAlign w:val="bottom"/>
            <w:shd w:val="clear" w:color="auto" w:fill="CEFFE7"/>
          </w:tcPr>
          <w:p>
            <w:pPr>
              <w:spacing w:after="0"/>
              <w:rPr>
                <w:sz w:val="23"/>
                <w:szCs w:val="23"/>
                <w:color w:val="auto"/>
              </w:rPr>
            </w:pPr>
          </w:p>
        </w:tc>
        <w:tc>
          <w:tcPr>
            <w:tcW w:w="16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EFFE7"/>
          </w:tcPr>
          <w:p>
            <w:pPr>
              <w:spacing w:after="0"/>
              <w:rPr>
                <w:sz w:val="23"/>
                <w:szCs w:val="23"/>
                <w:color w:val="auto"/>
              </w:rPr>
            </w:pPr>
          </w:p>
        </w:tc>
        <w:tc>
          <w:tcPr>
            <w:tcW w:w="92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116,488</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108,485</w:t>
            </w:r>
          </w:p>
        </w:tc>
        <w:tc>
          <w:tcPr>
            <w:tcW w:w="80" w:type="dxa"/>
            <w:vAlign w:val="bottom"/>
            <w:shd w:val="clear" w:color="auto" w:fill="CEFFE7"/>
          </w:tcPr>
          <w:p>
            <w:pPr>
              <w:spacing w:after="0"/>
              <w:rPr>
                <w:sz w:val="23"/>
                <w:szCs w:val="23"/>
                <w:color w:val="auto"/>
              </w:rPr>
            </w:pPr>
          </w:p>
        </w:tc>
        <w:tc>
          <w:tcPr>
            <w:tcW w:w="1280" w:type="dxa"/>
            <w:vAlign w:val="bottom"/>
            <w:gridSpan w:val="3"/>
            <w:shd w:val="clear" w:color="auto" w:fill="CEFFE7"/>
          </w:tcPr>
          <w:p>
            <w:pPr>
              <w:jc w:val="right"/>
              <w:ind w:right="139"/>
              <w:spacing w:after="0"/>
              <w:rPr>
                <w:sz w:val="20"/>
                <w:szCs w:val="20"/>
                <w:color w:val="auto"/>
              </w:rPr>
            </w:pPr>
            <w:r>
              <w:rPr>
                <w:rFonts w:ascii="Arial" w:cs="Arial" w:eastAsia="Arial" w:hAnsi="Arial"/>
                <w:sz w:val="16"/>
                <w:szCs w:val="16"/>
                <w:color w:val="auto"/>
              </w:rPr>
              <w:t>44,747,418</w:t>
            </w:r>
          </w:p>
        </w:tc>
        <w:tc>
          <w:tcPr>
            <w:tcW w:w="112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45,879,289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tcBorders>
              <w:top w:val="single" w:sz="8" w:color="CEFFE7"/>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left="299"/>
              <w:spacing w:after="0"/>
              <w:rPr>
                <w:sz w:val="20"/>
                <w:szCs w:val="20"/>
                <w:color w:val="auto"/>
              </w:rPr>
            </w:pPr>
            <w:r>
              <w:rPr>
                <w:rFonts w:ascii="Arial" w:cs="Arial" w:eastAsia="Arial" w:hAnsi="Arial"/>
                <w:sz w:val="16"/>
                <w:szCs w:val="16"/>
                <w:color w:val="auto"/>
                <w:w w:val="87"/>
              </w:rPr>
              <w:t>Gas Revenue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4"/>
            <w:vMerge w:val="restart"/>
          </w:tcPr>
          <w:p>
            <w:pPr>
              <w:jc w:val="center"/>
              <w:ind w:right="380"/>
              <w:spacing w:after="0"/>
              <w:rPr>
                <w:sz w:val="20"/>
                <w:szCs w:val="20"/>
                <w:color w:val="auto"/>
              </w:rPr>
            </w:pPr>
            <w:r>
              <w:rPr>
                <w:rFonts w:ascii="Arial" w:cs="Arial" w:eastAsia="Arial" w:hAnsi="Arial"/>
                <w:sz w:val="16"/>
                <w:szCs w:val="16"/>
                <w:color w:val="auto"/>
                <w:w w:val="94"/>
              </w:rPr>
              <w:t>Gross Margin (non-GAAP)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2"/>
          </w:tcPr>
          <w:p>
            <w:pPr>
              <w:jc w:val="center"/>
              <w:ind w:right="19"/>
              <w:spacing w:after="0"/>
              <w:rPr>
                <w:sz w:val="20"/>
                <w:szCs w:val="20"/>
                <w:color w:val="auto"/>
              </w:rPr>
            </w:pPr>
            <w:r>
              <w:rPr>
                <w:rFonts w:ascii="Arial" w:cs="Arial" w:eastAsia="Arial" w:hAnsi="Arial"/>
                <w:sz w:val="16"/>
                <w:szCs w:val="16"/>
                <w:color w:val="auto"/>
                <w:w w:val="94"/>
              </w:rPr>
              <w:t>Gas Utilities Quantities Sold &amp;</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gridSpan w:val="5"/>
            <w:vMerge w:val="restart"/>
          </w:tcPr>
          <w:p>
            <w:pPr>
              <w:jc w:val="center"/>
              <w:ind w:right="500"/>
              <w:spacing w:after="0"/>
              <w:rPr>
                <w:sz w:val="20"/>
                <w:szCs w:val="20"/>
                <w:color w:val="auto"/>
              </w:rPr>
            </w:pPr>
            <w:r>
              <w:rPr>
                <w:rFonts w:ascii="Arial" w:cs="Arial" w:eastAsia="Arial" w:hAnsi="Arial"/>
                <w:sz w:val="16"/>
                <w:szCs w:val="16"/>
                <w:color w:val="auto"/>
                <w:w w:val="92"/>
              </w:rPr>
              <w:t>(in thousands)</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gridSpan w:val="2"/>
            <w:vMerge w:val="restart"/>
          </w:tcPr>
          <w:p>
            <w:pPr>
              <w:jc w:val="center"/>
              <w:ind w:right="19"/>
              <w:spacing w:after="0"/>
              <w:rPr>
                <w:sz w:val="20"/>
                <w:szCs w:val="20"/>
                <w:color w:val="auto"/>
              </w:rPr>
            </w:pPr>
            <w:r>
              <w:rPr>
                <w:rFonts w:ascii="Arial" w:cs="Arial" w:eastAsia="Arial" w:hAnsi="Arial"/>
                <w:sz w:val="16"/>
                <w:szCs w:val="16"/>
                <w:color w:val="auto"/>
                <w:w w:val="93"/>
              </w:rPr>
              <w:t>Transported (Dth)</w:t>
            </w: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6"/>
                <w:szCs w:val="16"/>
                <w:color w:val="auto"/>
                <w:w w:val="90"/>
              </w:rPr>
              <w:t>(in thousands)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center"/>
              <w:ind w:right="500"/>
              <w:spacing w:after="0"/>
              <w:rPr>
                <w:sz w:val="20"/>
                <w:szCs w:val="20"/>
                <w:color w:val="auto"/>
              </w:rPr>
            </w:pPr>
            <w:r>
              <w:rPr>
                <w:rFonts w:ascii="Arial" w:cs="Arial" w:eastAsia="Arial" w:hAnsi="Arial"/>
                <w:sz w:val="16"/>
                <w:szCs w:val="16"/>
                <w:color w:val="auto"/>
                <w:w w:val="93"/>
              </w:rPr>
              <w:t>Six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4"/>
          </w:tcPr>
          <w:p>
            <w:pPr>
              <w:jc w:val="center"/>
              <w:ind w:right="360"/>
              <w:spacing w:after="0"/>
              <w:rPr>
                <w:sz w:val="20"/>
                <w:szCs w:val="20"/>
                <w:color w:val="auto"/>
              </w:rPr>
            </w:pPr>
            <w:r>
              <w:rPr>
                <w:rFonts w:ascii="Arial" w:cs="Arial" w:eastAsia="Arial" w:hAnsi="Arial"/>
                <w:sz w:val="16"/>
                <w:szCs w:val="16"/>
                <w:color w:val="auto"/>
                <w:w w:val="92"/>
              </w:rPr>
              <w:t>Six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9"/>
              <w:spacing w:after="0"/>
              <w:rPr>
                <w:sz w:val="20"/>
                <w:szCs w:val="20"/>
                <w:color w:val="auto"/>
              </w:rPr>
            </w:pPr>
            <w:r>
              <w:rPr>
                <w:rFonts w:ascii="Arial" w:cs="Arial" w:eastAsia="Arial" w:hAnsi="Arial"/>
                <w:sz w:val="16"/>
                <w:szCs w:val="16"/>
                <w:color w:val="auto"/>
                <w:w w:val="93"/>
              </w:rPr>
              <w:t>Six Months Ended</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left="299"/>
              <w:spacing w:after="0"/>
              <w:rPr>
                <w:sz w:val="20"/>
                <w:szCs w:val="20"/>
                <w:color w:val="auto"/>
              </w:rPr>
            </w:pPr>
            <w:r>
              <w:rPr>
                <w:rFonts w:ascii="Arial" w:cs="Arial" w:eastAsia="Arial" w:hAnsi="Arial"/>
                <w:sz w:val="16"/>
                <w:szCs w:val="16"/>
                <w:color w:val="auto"/>
                <w:w w:val="87"/>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left="419"/>
              <w:spacing w:after="0"/>
              <w:rPr>
                <w:sz w:val="20"/>
                <w:szCs w:val="20"/>
                <w:color w:val="auto"/>
              </w:rPr>
            </w:pPr>
            <w:r>
              <w:rPr>
                <w:rFonts w:ascii="Arial" w:cs="Arial" w:eastAsia="Arial" w:hAnsi="Arial"/>
                <w:sz w:val="16"/>
                <w:szCs w:val="16"/>
                <w:color w:val="auto"/>
                <w:w w:val="87"/>
              </w:rPr>
              <w:t>June 30,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center"/>
              <w:ind w:right="19"/>
              <w:spacing w:after="0"/>
              <w:rPr>
                <w:sz w:val="20"/>
                <w:szCs w:val="20"/>
                <w:color w:val="auto"/>
              </w:rPr>
            </w:pPr>
            <w:r>
              <w:rPr>
                <w:rFonts w:ascii="Arial" w:cs="Arial" w:eastAsia="Arial" w:hAnsi="Arial"/>
                <w:sz w:val="16"/>
                <w:szCs w:val="16"/>
                <w:color w:val="auto"/>
                <w:w w:val="87"/>
              </w:rPr>
              <w:t>June 30,</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color w:val="auto"/>
              </w:rPr>
              <w:t>2020</w:t>
            </w:r>
          </w:p>
        </w:tc>
        <w:tc>
          <w:tcPr>
            <w:tcW w:w="40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22"/>
                <w:szCs w:val="22"/>
                <w:color w:val="auto"/>
              </w:rPr>
            </w:pPr>
          </w:p>
        </w:tc>
        <w:tc>
          <w:tcPr>
            <w:tcW w:w="1280" w:type="dxa"/>
            <w:vAlign w:val="bottom"/>
            <w:gridSpan w:val="3"/>
          </w:tcPr>
          <w:p>
            <w:pPr>
              <w:jc w:val="right"/>
              <w:ind w:right="419"/>
              <w:spacing w:after="0"/>
              <w:rPr>
                <w:sz w:val="20"/>
                <w:szCs w:val="20"/>
                <w:color w:val="auto"/>
              </w:rPr>
            </w:pPr>
            <w:r>
              <w:rPr>
                <w:rFonts w:ascii="Arial" w:cs="Arial" w:eastAsia="Arial" w:hAnsi="Arial"/>
                <w:sz w:val="16"/>
                <w:szCs w:val="16"/>
                <w:color w:val="auto"/>
              </w:rPr>
              <w:t>2020</w:t>
            </w:r>
          </w:p>
        </w:tc>
        <w:tc>
          <w:tcPr>
            <w:tcW w:w="1120" w:type="dxa"/>
            <w:vAlign w:val="bottom"/>
          </w:tcPr>
          <w:p>
            <w:pPr>
              <w:jc w:val="right"/>
              <w:ind w:right="3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70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Arkansas Gas</w:t>
            </w:r>
          </w:p>
        </w:tc>
        <w:tc>
          <w:tcPr>
            <w:tcW w:w="16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103,578</w:t>
            </w:r>
          </w:p>
        </w:tc>
        <w:tc>
          <w:tcPr>
            <w:tcW w:w="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105,627</w:t>
            </w:r>
          </w:p>
        </w:tc>
        <w:tc>
          <w:tcPr>
            <w:tcW w:w="10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CEFFE7"/>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70,761</w:t>
            </w:r>
          </w:p>
        </w:tc>
        <w:tc>
          <w:tcPr>
            <w:tcW w:w="40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62,899</w:t>
            </w:r>
          </w:p>
        </w:tc>
        <w:tc>
          <w:tcPr>
            <w:tcW w:w="8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gridSpan w:val="3"/>
            <w:shd w:val="clear" w:color="auto" w:fill="CEFFE7"/>
          </w:tcPr>
          <w:p>
            <w:pPr>
              <w:jc w:val="right"/>
              <w:ind w:right="139"/>
              <w:spacing w:after="0"/>
              <w:rPr>
                <w:sz w:val="20"/>
                <w:szCs w:val="20"/>
                <w:color w:val="auto"/>
              </w:rPr>
            </w:pPr>
            <w:r>
              <w:rPr>
                <w:rFonts w:ascii="Arial" w:cs="Arial" w:eastAsia="Arial" w:hAnsi="Arial"/>
                <w:sz w:val="16"/>
                <w:szCs w:val="16"/>
                <w:color w:val="auto"/>
              </w:rPr>
              <w:t>15,869,184</w:t>
            </w:r>
          </w:p>
        </w:tc>
        <w:tc>
          <w:tcPr>
            <w:tcW w:w="11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16,967,113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Colorado Gas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101,219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113,184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56,813</w:t>
            </w:r>
          </w:p>
        </w:tc>
        <w:tc>
          <w:tcPr>
            <w:tcW w:w="40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57,355</w:t>
            </w:r>
          </w:p>
        </w:tc>
        <w:tc>
          <w:tcPr>
            <w:tcW w:w="80" w:type="dxa"/>
            <w:vAlign w:val="bottom"/>
          </w:tcPr>
          <w:p>
            <w:pPr>
              <w:spacing w:after="0"/>
              <w:rPr>
                <w:sz w:val="19"/>
                <w:szCs w:val="19"/>
                <w:color w:val="auto"/>
              </w:rPr>
            </w:pPr>
          </w:p>
        </w:tc>
        <w:tc>
          <w:tcPr>
            <w:tcW w:w="1280" w:type="dxa"/>
            <w:vAlign w:val="bottom"/>
            <w:gridSpan w:val="3"/>
          </w:tcPr>
          <w:p>
            <w:pPr>
              <w:jc w:val="right"/>
              <w:ind w:right="139"/>
              <w:spacing w:after="0"/>
              <w:rPr>
                <w:sz w:val="20"/>
                <w:szCs w:val="20"/>
                <w:color w:val="auto"/>
              </w:rPr>
            </w:pPr>
            <w:r>
              <w:rPr>
                <w:rFonts w:ascii="Arial" w:cs="Arial" w:eastAsia="Arial" w:hAnsi="Arial"/>
                <w:sz w:val="16"/>
                <w:szCs w:val="16"/>
                <w:color w:val="auto"/>
              </w:rPr>
              <w:t>18,143,249</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19,244,278</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370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Iowa Gas</w:t>
            </w:r>
          </w:p>
        </w:tc>
        <w:tc>
          <w:tcPr>
            <w:tcW w:w="2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76,231</w:t>
            </w:r>
          </w:p>
        </w:tc>
        <w:tc>
          <w:tcPr>
            <w:tcW w:w="30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89,355</w:t>
            </w:r>
          </w:p>
        </w:tc>
        <w:tc>
          <w:tcPr>
            <w:tcW w:w="100" w:type="dxa"/>
            <w:vAlign w:val="bottom"/>
            <w:tcBorders>
              <w:bottom w:val="single" w:sz="8" w:color="CEFFE7"/>
            </w:tcBorders>
            <w:shd w:val="clear" w:color="auto" w:fill="CEFFE7"/>
          </w:tcPr>
          <w:p>
            <w:pPr>
              <w:spacing w:after="0"/>
              <w:rPr>
                <w:sz w:val="20"/>
                <w:szCs w:val="20"/>
                <w:color w:val="auto"/>
              </w:rPr>
            </w:pPr>
          </w:p>
        </w:tc>
        <w:tc>
          <w:tcPr>
            <w:tcW w:w="6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35,683</w:t>
            </w:r>
          </w:p>
        </w:tc>
        <w:tc>
          <w:tcPr>
            <w:tcW w:w="4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37,638</w:t>
            </w:r>
          </w:p>
        </w:tc>
        <w:tc>
          <w:tcPr>
            <w:tcW w:w="8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gridSpan w:val="3"/>
            <w:shd w:val="clear" w:color="auto" w:fill="CEFFE7"/>
          </w:tcPr>
          <w:p>
            <w:pPr>
              <w:jc w:val="right"/>
              <w:ind w:right="139"/>
              <w:spacing w:after="0"/>
              <w:rPr>
                <w:sz w:val="20"/>
                <w:szCs w:val="20"/>
                <w:color w:val="auto"/>
              </w:rPr>
            </w:pPr>
            <w:r>
              <w:rPr>
                <w:rFonts w:ascii="Arial" w:cs="Arial" w:eastAsia="Arial" w:hAnsi="Arial"/>
                <w:sz w:val="16"/>
                <w:szCs w:val="16"/>
                <w:color w:val="auto"/>
              </w:rPr>
              <w:t>19,801,392</w:t>
            </w:r>
          </w:p>
        </w:tc>
        <w:tc>
          <w:tcPr>
            <w:tcW w:w="11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23,147,959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Kansas Gas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51,980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58,596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31,063</w:t>
            </w:r>
          </w:p>
        </w:tc>
        <w:tc>
          <w:tcPr>
            <w:tcW w:w="40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30,076</w:t>
            </w:r>
          </w:p>
        </w:tc>
        <w:tc>
          <w:tcPr>
            <w:tcW w:w="80" w:type="dxa"/>
            <w:vAlign w:val="bottom"/>
          </w:tcPr>
          <w:p>
            <w:pPr>
              <w:spacing w:after="0"/>
              <w:rPr>
                <w:sz w:val="19"/>
                <w:szCs w:val="19"/>
                <w:color w:val="auto"/>
              </w:rPr>
            </w:pPr>
          </w:p>
        </w:tc>
        <w:tc>
          <w:tcPr>
            <w:tcW w:w="1280" w:type="dxa"/>
            <w:vAlign w:val="bottom"/>
            <w:gridSpan w:val="3"/>
          </w:tcPr>
          <w:p>
            <w:pPr>
              <w:jc w:val="right"/>
              <w:ind w:right="139"/>
              <w:spacing w:after="0"/>
              <w:rPr>
                <w:sz w:val="20"/>
                <w:szCs w:val="20"/>
                <w:color w:val="auto"/>
              </w:rPr>
            </w:pPr>
            <w:r>
              <w:rPr>
                <w:rFonts w:ascii="Arial" w:cs="Arial" w:eastAsia="Arial" w:hAnsi="Arial"/>
                <w:sz w:val="16"/>
                <w:szCs w:val="16"/>
                <w:color w:val="auto"/>
              </w:rPr>
              <w:t>16,637,772</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16,733,986</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370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Nebraska Gas</w:t>
            </w:r>
          </w:p>
        </w:tc>
        <w:tc>
          <w:tcPr>
            <w:tcW w:w="2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124,132</w:t>
            </w:r>
          </w:p>
        </w:tc>
        <w:tc>
          <w:tcPr>
            <w:tcW w:w="30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148,112</w:t>
            </w:r>
          </w:p>
        </w:tc>
        <w:tc>
          <w:tcPr>
            <w:tcW w:w="100" w:type="dxa"/>
            <w:vAlign w:val="bottom"/>
            <w:tcBorders>
              <w:bottom w:val="single" w:sz="8" w:color="CEFFE7"/>
            </w:tcBorders>
            <w:shd w:val="clear" w:color="auto" w:fill="CEFFE7"/>
          </w:tcPr>
          <w:p>
            <w:pPr>
              <w:spacing w:after="0"/>
              <w:rPr>
                <w:sz w:val="20"/>
                <w:szCs w:val="20"/>
                <w:color w:val="auto"/>
              </w:rPr>
            </w:pPr>
          </w:p>
        </w:tc>
        <w:tc>
          <w:tcPr>
            <w:tcW w:w="6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82,385</w:t>
            </w:r>
          </w:p>
        </w:tc>
        <w:tc>
          <w:tcPr>
            <w:tcW w:w="4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6"/>
                <w:szCs w:val="16"/>
                <w:color w:val="auto"/>
              </w:rPr>
              <w:t>83,782</w:t>
            </w:r>
          </w:p>
        </w:tc>
        <w:tc>
          <w:tcPr>
            <w:tcW w:w="8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gridSpan w:val="3"/>
            <w:shd w:val="clear" w:color="auto" w:fill="CEFFE7"/>
          </w:tcPr>
          <w:p>
            <w:pPr>
              <w:jc w:val="right"/>
              <w:ind w:right="139"/>
              <w:spacing w:after="0"/>
              <w:rPr>
                <w:sz w:val="20"/>
                <w:szCs w:val="20"/>
                <w:color w:val="auto"/>
              </w:rPr>
            </w:pPr>
            <w:r>
              <w:rPr>
                <w:rFonts w:ascii="Arial" w:cs="Arial" w:eastAsia="Arial" w:hAnsi="Arial"/>
                <w:sz w:val="16"/>
                <w:szCs w:val="16"/>
                <w:color w:val="auto"/>
              </w:rPr>
              <w:t>40,331,514</w:t>
            </w:r>
          </w:p>
        </w:tc>
        <w:tc>
          <w:tcPr>
            <w:tcW w:w="11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43,816,014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Wyoming Gas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64,743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61,675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45,195</w:t>
            </w:r>
          </w:p>
        </w:tc>
        <w:tc>
          <w:tcPr>
            <w:tcW w:w="40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40,536</w:t>
            </w:r>
          </w:p>
        </w:tc>
        <w:tc>
          <w:tcPr>
            <w:tcW w:w="80" w:type="dxa"/>
            <w:vAlign w:val="bottom"/>
          </w:tcPr>
          <w:p>
            <w:pPr>
              <w:spacing w:after="0"/>
              <w:rPr>
                <w:sz w:val="19"/>
                <w:szCs w:val="19"/>
                <w:color w:val="auto"/>
              </w:rPr>
            </w:pPr>
          </w:p>
        </w:tc>
        <w:tc>
          <w:tcPr>
            <w:tcW w:w="1280" w:type="dxa"/>
            <w:vAlign w:val="bottom"/>
            <w:gridSpan w:val="3"/>
          </w:tcPr>
          <w:p>
            <w:pPr>
              <w:jc w:val="right"/>
              <w:ind w:right="139"/>
              <w:spacing w:after="0"/>
              <w:rPr>
                <w:sz w:val="20"/>
                <w:szCs w:val="20"/>
                <w:color w:val="auto"/>
              </w:rPr>
            </w:pPr>
            <w:r>
              <w:rPr>
                <w:rFonts w:ascii="Arial" w:cs="Arial" w:eastAsia="Arial" w:hAnsi="Arial"/>
                <w:sz w:val="16"/>
                <w:szCs w:val="16"/>
                <w:color w:val="auto"/>
              </w:rPr>
              <w:t>21,146,464</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21,297,492</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700" w:type="dxa"/>
            <w:vAlign w:val="bottom"/>
            <w:tcBorders>
              <w:bottom w:val="single" w:sz="8" w:color="CEFFE7"/>
            </w:tcBorders>
            <w:gridSpan w:val="2"/>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3700" w:type="dxa"/>
            <w:vAlign w:val="bottom"/>
            <w:gridSpan w:val="2"/>
            <w:shd w:val="clear" w:color="auto" w:fill="CEFFE7"/>
          </w:tcPr>
          <w:p>
            <w:pPr>
              <w:ind w:left="200"/>
              <w:spacing w:after="0"/>
              <w:rPr>
                <w:sz w:val="20"/>
                <w:szCs w:val="20"/>
                <w:color w:val="auto"/>
              </w:rPr>
            </w:pPr>
            <w:r>
              <w:rPr>
                <w:rFonts w:ascii="Arial" w:cs="Arial" w:eastAsia="Arial" w:hAnsi="Arial"/>
                <w:sz w:val="16"/>
                <w:szCs w:val="16"/>
                <w:color w:val="auto"/>
              </w:rPr>
              <w:t>Total Gas Revenue &amp; Gross Margin (non-GAAP)</w:t>
            </w:r>
          </w:p>
        </w:tc>
        <w:tc>
          <w:tcPr>
            <w:tcW w:w="160" w:type="dxa"/>
            <w:vAlign w:val="bottom"/>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521,883</w:t>
            </w:r>
          </w:p>
        </w:tc>
        <w:tc>
          <w:tcPr>
            <w:tcW w:w="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23"/>
                <w:szCs w:val="23"/>
                <w:color w:val="auto"/>
              </w:rPr>
            </w:pPr>
          </w:p>
        </w:tc>
        <w:tc>
          <w:tcPr>
            <w:tcW w:w="7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576,549</w:t>
            </w:r>
          </w:p>
        </w:tc>
        <w:tc>
          <w:tcPr>
            <w:tcW w:w="100" w:type="dxa"/>
            <w:vAlign w:val="bottom"/>
            <w:shd w:val="clear" w:color="auto" w:fill="CEFFE7"/>
          </w:tcPr>
          <w:p>
            <w:pPr>
              <w:spacing w:after="0"/>
              <w:rPr>
                <w:sz w:val="23"/>
                <w:szCs w:val="23"/>
                <w:color w:val="auto"/>
              </w:rPr>
            </w:pPr>
          </w:p>
        </w:tc>
        <w:tc>
          <w:tcPr>
            <w:tcW w:w="16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EFFE7"/>
          </w:tcPr>
          <w:p>
            <w:pPr>
              <w:spacing w:after="0"/>
              <w:rPr>
                <w:sz w:val="23"/>
                <w:szCs w:val="23"/>
                <w:color w:val="auto"/>
              </w:rPr>
            </w:pPr>
          </w:p>
        </w:tc>
        <w:tc>
          <w:tcPr>
            <w:tcW w:w="92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321,900</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312,286</w:t>
            </w:r>
          </w:p>
        </w:tc>
        <w:tc>
          <w:tcPr>
            <w:tcW w:w="80" w:type="dxa"/>
            <w:vAlign w:val="bottom"/>
            <w:shd w:val="clear" w:color="auto" w:fill="CEFFE7"/>
          </w:tcPr>
          <w:p>
            <w:pPr>
              <w:spacing w:after="0"/>
              <w:rPr>
                <w:sz w:val="23"/>
                <w:szCs w:val="23"/>
                <w:color w:val="auto"/>
              </w:rPr>
            </w:pPr>
          </w:p>
        </w:tc>
        <w:tc>
          <w:tcPr>
            <w:tcW w:w="1280" w:type="dxa"/>
            <w:vAlign w:val="bottom"/>
            <w:gridSpan w:val="3"/>
            <w:shd w:val="clear" w:color="auto" w:fill="CEFFE7"/>
          </w:tcPr>
          <w:p>
            <w:pPr>
              <w:jc w:val="right"/>
              <w:ind w:right="139"/>
              <w:spacing w:after="0"/>
              <w:rPr>
                <w:sz w:val="20"/>
                <w:szCs w:val="20"/>
                <w:color w:val="auto"/>
              </w:rPr>
            </w:pPr>
            <w:r>
              <w:rPr>
                <w:rFonts w:ascii="Arial" w:cs="Arial" w:eastAsia="Arial" w:hAnsi="Arial"/>
                <w:sz w:val="16"/>
                <w:szCs w:val="16"/>
                <w:color w:val="auto"/>
              </w:rPr>
              <w:t>131,929,575</w:t>
            </w:r>
          </w:p>
        </w:tc>
        <w:tc>
          <w:tcPr>
            <w:tcW w:w="112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141,206,842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tcBorders>
              <w:top w:val="single" w:sz="8" w:color="CEFFE7"/>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Gas Utilities are highly seasonal, and sales volumes vary considerably with weather and seasonal heating and industrial loads. Approximately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ectPr>
          <w:pgSz w:w="11900" w:h="16838" w:orient="portrait"/>
          <w:cols w:equalWidth="0" w:num="1">
            <w:col w:w="11180"/>
          </w:cols>
          <w:pgMar w:left="320" w:top="126" w:right="399" w:bottom="1440" w:gutter="0" w:footer="0" w:header="0"/>
        </w:sect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Three Months Ended June 30,</w:t>
            </w:r>
          </w:p>
        </w:tc>
        <w:tc>
          <w:tcPr>
            <w:tcW w:w="1600" w:type="dxa"/>
            <w:vAlign w:val="bottom"/>
          </w:tcPr>
          <w:p>
            <w:pPr>
              <w:spacing w:after="0"/>
              <w:rPr>
                <w:sz w:val="20"/>
                <w:szCs w:val="20"/>
                <w:color w:val="auto"/>
              </w:rPr>
            </w:pPr>
          </w:p>
        </w:tc>
      </w:tr>
      <w:tr>
        <w:trPr>
          <w:trHeight w:val="270"/>
        </w:trPr>
        <w:tc>
          <w:tcPr>
            <w:tcW w:w="5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780" w:type="dxa"/>
            <w:vAlign w:val="bottom"/>
          </w:tcPr>
          <w:p>
            <w:pPr>
              <w:jc w:val="right"/>
              <w:ind w:right="1190"/>
              <w:spacing w:after="0"/>
              <w:rPr>
                <w:sz w:val="20"/>
                <w:szCs w:val="20"/>
                <w:color w:val="auto"/>
              </w:rPr>
            </w:pPr>
            <w:r>
              <w:rPr>
                <w:rFonts w:ascii="Arial" w:cs="Arial" w:eastAsia="Arial" w:hAnsi="Arial"/>
                <w:sz w:val="18"/>
                <w:szCs w:val="18"/>
                <w:color w:val="auto"/>
              </w:rPr>
              <w:t>2020</w:t>
            </w:r>
          </w:p>
        </w:tc>
        <w:tc>
          <w:tcPr>
            <w:tcW w:w="1080" w:type="dxa"/>
            <w:vAlign w:val="bottom"/>
          </w:tcPr>
          <w:p>
            <w:pPr>
              <w:spacing w:after="0"/>
              <w:rPr>
                <w:sz w:val="23"/>
                <w:szCs w:val="23"/>
                <w:color w:val="auto"/>
              </w:rPr>
            </w:pPr>
          </w:p>
        </w:tc>
        <w:tc>
          <w:tcPr>
            <w:tcW w:w="1600" w:type="dxa"/>
            <w:vAlign w:val="bottom"/>
          </w:tcPr>
          <w:p>
            <w:pPr>
              <w:jc w:val="right"/>
              <w:ind w:right="1090"/>
              <w:spacing w:after="0"/>
              <w:rPr>
                <w:sz w:val="20"/>
                <w:szCs w:val="20"/>
                <w:color w:val="auto"/>
              </w:rPr>
            </w:pPr>
            <w:r>
              <w:rPr>
                <w:rFonts w:ascii="Arial" w:cs="Arial" w:eastAsia="Arial" w:hAnsi="Arial"/>
                <w:sz w:val="18"/>
                <w:szCs w:val="18"/>
                <w:color w:val="auto"/>
                <w:w w:val="99"/>
              </w:rPr>
              <w:t>2019</w:t>
            </w:r>
          </w:p>
        </w:tc>
      </w:tr>
      <w:tr>
        <w:trPr>
          <w:trHeight w:val="27"/>
        </w:trPr>
        <w:tc>
          <w:tcPr>
            <w:tcW w:w="5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2"/>
        </w:trPr>
        <w:tc>
          <w:tcPr>
            <w:tcW w:w="5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0"/>
              </w:rPr>
              <w:t>Variance</w:t>
            </w:r>
          </w:p>
        </w:tc>
        <w:tc>
          <w:tcPr>
            <w:tcW w:w="1080" w:type="dxa"/>
            <w:vAlign w:val="bottom"/>
          </w:tcPr>
          <w:p>
            <w:pPr>
              <w:spacing w:after="0"/>
              <w:rPr>
                <w:sz w:val="19"/>
                <w:szCs w:val="19"/>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87"/>
              </w:rPr>
              <w:t>Variance</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Heating Degree Days</w:t>
            </w:r>
          </w:p>
        </w:tc>
        <w:tc>
          <w:tcPr>
            <w:tcW w:w="1000" w:type="dxa"/>
            <w:vAlign w:val="bottom"/>
          </w:tcPr>
          <w:p>
            <w:pPr>
              <w:ind w:left="360"/>
              <w:spacing w:after="0"/>
              <w:rPr>
                <w:sz w:val="20"/>
                <w:szCs w:val="20"/>
                <w:color w:val="auto"/>
              </w:rPr>
            </w:pPr>
            <w:r>
              <w:rPr>
                <w:rFonts w:ascii="Arial" w:cs="Arial" w:eastAsia="Arial" w:hAnsi="Arial"/>
                <w:sz w:val="18"/>
                <w:szCs w:val="18"/>
                <w:color w:val="auto"/>
              </w:rPr>
              <w:t>Actual</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4"/>
              </w:rPr>
              <w:t>from Normal</w:t>
            </w:r>
          </w:p>
        </w:tc>
        <w:tc>
          <w:tcPr>
            <w:tcW w:w="1080" w:type="dxa"/>
            <w:vAlign w:val="bottom"/>
          </w:tcPr>
          <w:p>
            <w:pPr>
              <w:ind w:left="340"/>
              <w:spacing w:after="0"/>
              <w:rPr>
                <w:sz w:val="20"/>
                <w:szCs w:val="20"/>
                <w:color w:val="auto"/>
              </w:rPr>
            </w:pPr>
            <w:r>
              <w:rPr>
                <w:rFonts w:ascii="Arial" w:cs="Arial" w:eastAsia="Arial" w:hAnsi="Arial"/>
                <w:sz w:val="18"/>
                <w:szCs w:val="18"/>
                <w:color w:val="auto"/>
              </w:rPr>
              <w:t>Actual</w:t>
            </w: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4"/>
              </w:rPr>
              <w:t>from Normal</w:t>
            </w:r>
          </w:p>
        </w:tc>
      </w:tr>
      <w:tr>
        <w:trPr>
          <w:trHeight w:val="27"/>
        </w:trPr>
        <w:tc>
          <w:tcPr>
            <w:tcW w:w="5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5780" w:type="dxa"/>
            <w:vAlign w:val="bottom"/>
            <w:shd w:val="clear" w:color="auto" w:fill="CEFFE7"/>
          </w:tcPr>
          <w:p>
            <w:pPr>
              <w:ind w:left="140"/>
              <w:spacing w:after="0"/>
              <w:rPr>
                <w:sz w:val="20"/>
                <w:szCs w:val="20"/>
                <w:color w:val="auto"/>
              </w:rPr>
            </w:pPr>
            <w:r>
              <w:rPr>
                <w:rFonts w:ascii="Arial" w:cs="Arial" w:eastAsia="Arial" w:hAnsi="Arial"/>
                <w:sz w:val="18"/>
                <w:szCs w:val="18"/>
                <w:color w:val="auto"/>
              </w:rPr>
              <w:t xml:space="preserve">Arkansas Gas </w:t>
            </w:r>
            <w:r>
              <w:rPr>
                <w:rFonts w:ascii="Arial" w:cs="Arial" w:eastAsia="Arial" w:hAnsi="Arial"/>
                <w:sz w:val="23"/>
                <w:szCs w:val="23"/>
                <w:color w:val="auto"/>
                <w:vertAlign w:val="superscript"/>
              </w:rPr>
              <w:t>(a)</w:t>
            </w:r>
          </w:p>
        </w:tc>
        <w:tc>
          <w:tcPr>
            <w:tcW w:w="100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86"/>
              </w:rPr>
              <w:t>353</w:t>
            </w:r>
          </w:p>
        </w:tc>
        <w:tc>
          <w:tcPr>
            <w:tcW w:w="1780" w:type="dxa"/>
            <w:vAlign w:val="bottom"/>
            <w:shd w:val="clear" w:color="auto" w:fill="CEFFE7"/>
          </w:tcPr>
          <w:p>
            <w:pPr>
              <w:jc w:val="center"/>
              <w:ind w:left="90"/>
              <w:spacing w:after="0"/>
              <w:rPr>
                <w:sz w:val="20"/>
                <w:szCs w:val="20"/>
                <w:color w:val="auto"/>
              </w:rPr>
            </w:pPr>
            <w:r>
              <w:rPr>
                <w:rFonts w:ascii="Arial" w:cs="Arial" w:eastAsia="Arial" w:hAnsi="Arial"/>
                <w:sz w:val="18"/>
                <w:szCs w:val="18"/>
                <w:color w:val="auto"/>
                <w:w w:val="92"/>
              </w:rPr>
              <w:t>7%</w:t>
            </w:r>
          </w:p>
        </w:tc>
        <w:tc>
          <w:tcPr>
            <w:tcW w:w="10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246</w:t>
            </w:r>
          </w:p>
        </w:tc>
        <w:tc>
          <w:tcPr>
            <w:tcW w:w="160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5"/>
              </w:rPr>
              <w:t>(25)%</w:t>
            </w:r>
          </w:p>
        </w:tc>
      </w:tr>
      <w:tr>
        <w:trPr>
          <w:trHeight w:val="243"/>
        </w:trPr>
        <w:tc>
          <w:tcPr>
            <w:tcW w:w="5780" w:type="dxa"/>
            <w:vAlign w:val="bottom"/>
          </w:tcPr>
          <w:p>
            <w:pPr>
              <w:ind w:left="120"/>
              <w:spacing w:after="0"/>
              <w:rPr>
                <w:sz w:val="20"/>
                <w:szCs w:val="20"/>
                <w:color w:val="auto"/>
              </w:rPr>
            </w:pPr>
            <w:r>
              <w:rPr>
                <w:rFonts w:ascii="Arial" w:cs="Arial" w:eastAsia="Arial" w:hAnsi="Arial"/>
                <w:sz w:val="18"/>
                <w:szCs w:val="18"/>
                <w:color w:val="auto"/>
              </w:rPr>
              <w:t>Colorado Gas</w:t>
            </w:r>
          </w:p>
        </w:tc>
        <w:tc>
          <w:tcPr>
            <w:tcW w:w="1000" w:type="dxa"/>
            <w:vAlign w:val="bottom"/>
          </w:tcPr>
          <w:p>
            <w:pPr>
              <w:jc w:val="center"/>
              <w:ind w:left="130"/>
              <w:spacing w:after="0"/>
              <w:rPr>
                <w:sz w:val="20"/>
                <w:szCs w:val="20"/>
                <w:color w:val="auto"/>
              </w:rPr>
            </w:pPr>
            <w:r>
              <w:rPr>
                <w:rFonts w:ascii="Arial" w:cs="Arial" w:eastAsia="Arial" w:hAnsi="Arial"/>
                <w:sz w:val="18"/>
                <w:szCs w:val="18"/>
                <w:color w:val="auto"/>
                <w:w w:val="86"/>
              </w:rPr>
              <w:t>809</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1"/>
              </w:rPr>
              <w:t>(15)%</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92"/>
              </w:rPr>
              <w:t>6%</w:t>
            </w:r>
          </w:p>
        </w:tc>
      </w:tr>
      <w:tr>
        <w:trPr>
          <w:trHeight w:val="27"/>
        </w:trPr>
        <w:tc>
          <w:tcPr>
            <w:tcW w:w="5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Iowa Gas</w:t>
            </w:r>
          </w:p>
        </w:tc>
        <w:tc>
          <w:tcPr>
            <w:tcW w:w="100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86"/>
              </w:rPr>
              <w:t>783</w:t>
            </w:r>
          </w:p>
        </w:tc>
        <w:tc>
          <w:tcPr>
            <w:tcW w:w="1780" w:type="dxa"/>
            <w:vAlign w:val="bottom"/>
            <w:tcBorders>
              <w:bottom w:val="single" w:sz="8" w:color="CEFFE7"/>
            </w:tcBorders>
            <w:shd w:val="clear" w:color="auto" w:fill="CEFFE7"/>
          </w:tcPr>
          <w:p>
            <w:pPr>
              <w:jc w:val="center"/>
              <w:ind w:left="90"/>
              <w:spacing w:after="0"/>
              <w:rPr>
                <w:sz w:val="20"/>
                <w:szCs w:val="20"/>
                <w:color w:val="auto"/>
              </w:rPr>
            </w:pPr>
            <w:r>
              <w:rPr>
                <w:rFonts w:ascii="Arial" w:cs="Arial" w:eastAsia="Arial" w:hAnsi="Arial"/>
                <w:sz w:val="18"/>
                <w:szCs w:val="18"/>
                <w:color w:val="auto"/>
                <w:w w:val="88"/>
              </w:rPr>
              <w:t>14%</w:t>
            </w:r>
          </w:p>
        </w:tc>
        <w:tc>
          <w:tcPr>
            <w:tcW w:w="10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3"/>
              </w:rPr>
              <w:t>738</w:t>
            </w:r>
          </w:p>
        </w:tc>
        <w:tc>
          <w:tcPr>
            <w:tcW w:w="160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92"/>
              </w:rPr>
              <w:t>8%</w:t>
            </w:r>
          </w:p>
        </w:tc>
      </w:tr>
      <w:tr>
        <w:trPr>
          <w:trHeight w:val="270"/>
        </w:trPr>
        <w:tc>
          <w:tcPr>
            <w:tcW w:w="5780" w:type="dxa"/>
            <w:vAlign w:val="bottom"/>
          </w:tcPr>
          <w:p>
            <w:pPr>
              <w:ind w:left="140"/>
              <w:spacing w:after="0"/>
              <w:rPr>
                <w:sz w:val="20"/>
                <w:szCs w:val="20"/>
                <w:color w:val="auto"/>
              </w:rPr>
            </w:pPr>
            <w:r>
              <w:rPr>
                <w:rFonts w:ascii="Arial" w:cs="Arial" w:eastAsia="Arial" w:hAnsi="Arial"/>
                <w:sz w:val="18"/>
                <w:szCs w:val="18"/>
                <w:color w:val="auto"/>
              </w:rPr>
              <w:t xml:space="preserve">Kansas Gas </w:t>
            </w:r>
            <w:r>
              <w:rPr>
                <w:rFonts w:ascii="Arial" w:cs="Arial" w:eastAsia="Arial" w:hAnsi="Arial"/>
                <w:sz w:val="23"/>
                <w:szCs w:val="23"/>
                <w:color w:val="auto"/>
                <w:vertAlign w:val="superscript"/>
              </w:rPr>
              <w:t>(a)</w:t>
            </w:r>
          </w:p>
        </w:tc>
        <w:tc>
          <w:tcPr>
            <w:tcW w:w="1000" w:type="dxa"/>
            <w:vAlign w:val="bottom"/>
          </w:tcPr>
          <w:p>
            <w:pPr>
              <w:jc w:val="center"/>
              <w:ind w:left="130"/>
              <w:spacing w:after="0"/>
              <w:rPr>
                <w:sz w:val="20"/>
                <w:szCs w:val="20"/>
                <w:color w:val="auto"/>
              </w:rPr>
            </w:pPr>
            <w:r>
              <w:rPr>
                <w:rFonts w:ascii="Arial" w:cs="Arial" w:eastAsia="Arial" w:hAnsi="Arial"/>
                <w:sz w:val="18"/>
                <w:szCs w:val="18"/>
                <w:color w:val="auto"/>
                <w:w w:val="86"/>
              </w:rPr>
              <w:t>477</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2"/>
              </w:rPr>
              <w:t>7%</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425</w:t>
            </w: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94"/>
              </w:rPr>
              <w:t>(5)%</w:t>
            </w:r>
          </w:p>
        </w:tc>
      </w:tr>
      <w:tr>
        <w:trPr>
          <w:trHeight w:val="250"/>
        </w:trPr>
        <w:tc>
          <w:tcPr>
            <w:tcW w:w="5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Nebraska Gas</w:t>
            </w:r>
          </w:p>
        </w:tc>
        <w:tc>
          <w:tcPr>
            <w:tcW w:w="100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86"/>
              </w:rPr>
              <w:t>692</w:t>
            </w:r>
          </w:p>
        </w:tc>
        <w:tc>
          <w:tcPr>
            <w:tcW w:w="1780" w:type="dxa"/>
            <w:vAlign w:val="bottom"/>
            <w:tcBorders>
              <w:bottom w:val="single" w:sz="8" w:color="CEFFE7"/>
            </w:tcBorders>
            <w:shd w:val="clear" w:color="auto" w:fill="CEFFE7"/>
          </w:tcPr>
          <w:p>
            <w:pPr>
              <w:jc w:val="center"/>
              <w:ind w:left="90"/>
              <w:spacing w:after="0"/>
              <w:rPr>
                <w:sz w:val="20"/>
                <w:szCs w:val="20"/>
                <w:color w:val="auto"/>
              </w:rPr>
            </w:pPr>
            <w:r>
              <w:rPr>
                <w:rFonts w:ascii="Arial" w:cs="Arial" w:eastAsia="Arial" w:hAnsi="Arial"/>
                <w:sz w:val="18"/>
                <w:szCs w:val="18"/>
                <w:color w:val="auto"/>
                <w:w w:val="92"/>
              </w:rPr>
              <w:t>9%</w:t>
            </w:r>
          </w:p>
        </w:tc>
        <w:tc>
          <w:tcPr>
            <w:tcW w:w="10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3"/>
              </w:rPr>
              <w:t>664</w:t>
            </w:r>
          </w:p>
        </w:tc>
        <w:tc>
          <w:tcPr>
            <w:tcW w:w="160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92"/>
              </w:rPr>
              <w:t>5%</w:t>
            </w:r>
          </w:p>
        </w:tc>
      </w:tr>
      <w:tr>
        <w:trPr>
          <w:trHeight w:val="243"/>
        </w:trPr>
        <w:tc>
          <w:tcPr>
            <w:tcW w:w="5780" w:type="dxa"/>
            <w:vAlign w:val="bottom"/>
          </w:tcPr>
          <w:p>
            <w:pPr>
              <w:ind w:left="120"/>
              <w:spacing w:after="0"/>
              <w:rPr>
                <w:sz w:val="20"/>
                <w:szCs w:val="20"/>
                <w:color w:val="auto"/>
              </w:rPr>
            </w:pPr>
            <w:r>
              <w:rPr>
                <w:rFonts w:ascii="Arial" w:cs="Arial" w:eastAsia="Arial" w:hAnsi="Arial"/>
                <w:sz w:val="18"/>
                <w:szCs w:val="18"/>
                <w:color w:val="auto"/>
              </w:rPr>
              <w:t>Wyoming Gas</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8"/>
              </w:rPr>
              <w:t>1,216</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3"/>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1,397</w:t>
            </w: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4"/>
              </w:rPr>
              <w:t>15%</w:t>
            </w:r>
          </w:p>
        </w:tc>
      </w:tr>
      <w:tr>
        <w:trPr>
          <w:trHeight w:val="27"/>
        </w:trPr>
        <w:tc>
          <w:tcPr>
            <w:tcW w:w="5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80" w:type="dxa"/>
            <w:vAlign w:val="bottom"/>
            <w:shd w:val="clear" w:color="auto" w:fill="CEFFE7"/>
          </w:tcPr>
          <w:p>
            <w:pPr>
              <w:ind w:left="140"/>
              <w:spacing w:after="0"/>
              <w:rPr>
                <w:sz w:val="20"/>
                <w:szCs w:val="20"/>
                <w:color w:val="auto"/>
              </w:rPr>
            </w:pPr>
            <w:r>
              <w:rPr>
                <w:rFonts w:ascii="Arial" w:cs="Arial" w:eastAsia="Arial" w:hAnsi="Arial"/>
                <w:sz w:val="18"/>
                <w:szCs w:val="18"/>
                <w:color w:val="auto"/>
              </w:rPr>
              <w:t xml:space="preserve">Combined </w:t>
            </w:r>
            <w:r>
              <w:rPr>
                <w:rFonts w:ascii="Arial" w:cs="Arial" w:eastAsia="Arial" w:hAnsi="Arial"/>
                <w:sz w:val="23"/>
                <w:szCs w:val="23"/>
                <w:color w:val="auto"/>
                <w:vertAlign w:val="superscript"/>
              </w:rPr>
              <w:t>(b)</w:t>
            </w:r>
          </w:p>
        </w:tc>
        <w:tc>
          <w:tcPr>
            <w:tcW w:w="100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86"/>
              </w:rPr>
              <w:t>688</w:t>
            </w:r>
          </w:p>
        </w:tc>
        <w:tc>
          <w:tcPr>
            <w:tcW w:w="1780" w:type="dxa"/>
            <w:vAlign w:val="bottom"/>
            <w:shd w:val="clear" w:color="auto" w:fill="CEFFE7"/>
          </w:tcPr>
          <w:p>
            <w:pPr>
              <w:jc w:val="center"/>
              <w:ind w:left="90"/>
              <w:spacing w:after="0"/>
              <w:rPr>
                <w:sz w:val="20"/>
                <w:szCs w:val="20"/>
                <w:color w:val="auto"/>
              </w:rPr>
            </w:pPr>
            <w:r>
              <w:rPr>
                <w:rFonts w:ascii="Arial" w:cs="Arial" w:eastAsia="Arial" w:hAnsi="Arial"/>
                <w:sz w:val="18"/>
                <w:szCs w:val="18"/>
                <w:color w:val="auto"/>
                <w:w w:val="92"/>
              </w:rPr>
              <w:t>2%</w:t>
            </w:r>
          </w:p>
        </w:tc>
        <w:tc>
          <w:tcPr>
            <w:tcW w:w="10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795</w:t>
            </w:r>
          </w:p>
        </w:tc>
        <w:tc>
          <w:tcPr>
            <w:tcW w:w="1600" w:type="dxa"/>
            <w:vAlign w:val="bottom"/>
            <w:shd w:val="clear" w:color="auto" w:fill="CEFFE7"/>
          </w:tcPr>
          <w:p>
            <w:pPr>
              <w:jc w:val="center"/>
              <w:ind w:left="150"/>
              <w:spacing w:after="0"/>
              <w:rPr>
                <w:sz w:val="20"/>
                <w:szCs w:val="20"/>
                <w:color w:val="auto"/>
              </w:rPr>
            </w:pPr>
            <w:r>
              <w:rPr>
                <w:rFonts w:ascii="Arial" w:cs="Arial" w:eastAsia="Arial" w:hAnsi="Arial"/>
                <w:sz w:val="18"/>
                <w:szCs w:val="18"/>
                <w:color w:val="auto"/>
                <w:w w:val="92"/>
              </w:rPr>
              <w:t>5%</w:t>
            </w:r>
          </w:p>
        </w:tc>
      </w:tr>
      <w:tr>
        <w:trPr>
          <w:trHeight w:val="405"/>
        </w:trPr>
        <w:tc>
          <w:tcPr>
            <w:tcW w:w="5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6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Six Months Ended June 30,</w:t>
            </w:r>
          </w:p>
        </w:tc>
        <w:tc>
          <w:tcPr>
            <w:tcW w:w="1600" w:type="dxa"/>
            <w:vAlign w:val="bottom"/>
          </w:tcPr>
          <w:p>
            <w:pPr>
              <w:spacing w:after="0"/>
              <w:rPr>
                <w:sz w:val="24"/>
                <w:szCs w:val="24"/>
                <w:color w:val="auto"/>
              </w:rPr>
            </w:pPr>
          </w:p>
        </w:tc>
      </w:tr>
      <w:tr>
        <w:trPr>
          <w:trHeight w:val="270"/>
        </w:trPr>
        <w:tc>
          <w:tcPr>
            <w:tcW w:w="5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780" w:type="dxa"/>
            <w:vAlign w:val="bottom"/>
          </w:tcPr>
          <w:p>
            <w:pPr>
              <w:jc w:val="right"/>
              <w:ind w:right="1190"/>
              <w:spacing w:after="0"/>
              <w:rPr>
                <w:sz w:val="20"/>
                <w:szCs w:val="20"/>
                <w:color w:val="auto"/>
              </w:rPr>
            </w:pPr>
            <w:r>
              <w:rPr>
                <w:rFonts w:ascii="Arial" w:cs="Arial" w:eastAsia="Arial" w:hAnsi="Arial"/>
                <w:sz w:val="18"/>
                <w:szCs w:val="18"/>
                <w:color w:val="auto"/>
              </w:rPr>
              <w:t>2020</w:t>
            </w:r>
          </w:p>
        </w:tc>
        <w:tc>
          <w:tcPr>
            <w:tcW w:w="1080" w:type="dxa"/>
            <w:vAlign w:val="bottom"/>
          </w:tcPr>
          <w:p>
            <w:pPr>
              <w:spacing w:after="0"/>
              <w:rPr>
                <w:sz w:val="23"/>
                <w:szCs w:val="23"/>
                <w:color w:val="auto"/>
              </w:rPr>
            </w:pPr>
          </w:p>
        </w:tc>
        <w:tc>
          <w:tcPr>
            <w:tcW w:w="1600" w:type="dxa"/>
            <w:vAlign w:val="bottom"/>
          </w:tcPr>
          <w:p>
            <w:pPr>
              <w:jc w:val="right"/>
              <w:ind w:right="1090"/>
              <w:spacing w:after="0"/>
              <w:rPr>
                <w:sz w:val="20"/>
                <w:szCs w:val="20"/>
                <w:color w:val="auto"/>
              </w:rPr>
            </w:pPr>
            <w:r>
              <w:rPr>
                <w:rFonts w:ascii="Arial" w:cs="Arial" w:eastAsia="Arial" w:hAnsi="Arial"/>
                <w:sz w:val="18"/>
                <w:szCs w:val="18"/>
                <w:color w:val="auto"/>
                <w:w w:val="99"/>
              </w:rPr>
              <w:t>2019</w:t>
            </w:r>
          </w:p>
        </w:tc>
      </w:tr>
      <w:tr>
        <w:trPr>
          <w:trHeight w:val="27"/>
        </w:trPr>
        <w:tc>
          <w:tcPr>
            <w:tcW w:w="5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2"/>
        </w:trPr>
        <w:tc>
          <w:tcPr>
            <w:tcW w:w="5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0"/>
              </w:rPr>
              <w:t>Variance</w:t>
            </w:r>
          </w:p>
        </w:tc>
        <w:tc>
          <w:tcPr>
            <w:tcW w:w="1080" w:type="dxa"/>
            <w:vAlign w:val="bottom"/>
          </w:tcPr>
          <w:p>
            <w:pPr>
              <w:spacing w:after="0"/>
              <w:rPr>
                <w:sz w:val="19"/>
                <w:szCs w:val="19"/>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87"/>
              </w:rPr>
              <w:t>Variance</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Heating Degree Days:</w:t>
            </w:r>
          </w:p>
        </w:tc>
        <w:tc>
          <w:tcPr>
            <w:tcW w:w="1000" w:type="dxa"/>
            <w:vAlign w:val="bottom"/>
          </w:tcPr>
          <w:p>
            <w:pPr>
              <w:ind w:left="360"/>
              <w:spacing w:after="0"/>
              <w:rPr>
                <w:sz w:val="20"/>
                <w:szCs w:val="20"/>
                <w:color w:val="auto"/>
              </w:rPr>
            </w:pPr>
            <w:r>
              <w:rPr>
                <w:rFonts w:ascii="Arial" w:cs="Arial" w:eastAsia="Arial" w:hAnsi="Arial"/>
                <w:sz w:val="18"/>
                <w:szCs w:val="18"/>
                <w:color w:val="auto"/>
              </w:rPr>
              <w:t>Actual</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4"/>
              </w:rPr>
              <w:t>from Normal</w:t>
            </w:r>
          </w:p>
        </w:tc>
        <w:tc>
          <w:tcPr>
            <w:tcW w:w="1080" w:type="dxa"/>
            <w:vAlign w:val="bottom"/>
          </w:tcPr>
          <w:p>
            <w:pPr>
              <w:ind w:left="340"/>
              <w:spacing w:after="0"/>
              <w:rPr>
                <w:sz w:val="20"/>
                <w:szCs w:val="20"/>
                <w:color w:val="auto"/>
              </w:rPr>
            </w:pPr>
            <w:r>
              <w:rPr>
                <w:rFonts w:ascii="Arial" w:cs="Arial" w:eastAsia="Arial" w:hAnsi="Arial"/>
                <w:sz w:val="18"/>
                <w:szCs w:val="18"/>
                <w:color w:val="auto"/>
              </w:rPr>
              <w:t>Actual</w:t>
            </w: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4"/>
              </w:rPr>
              <w:t>from Normal</w:t>
            </w:r>
          </w:p>
        </w:tc>
      </w:tr>
      <w:tr>
        <w:trPr>
          <w:trHeight w:val="27"/>
        </w:trPr>
        <w:tc>
          <w:tcPr>
            <w:tcW w:w="5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5780" w:type="dxa"/>
            <w:vAlign w:val="bottom"/>
            <w:shd w:val="clear" w:color="auto" w:fill="CEFFE7"/>
          </w:tcPr>
          <w:p>
            <w:pPr>
              <w:ind w:left="140"/>
              <w:spacing w:after="0"/>
              <w:rPr>
                <w:sz w:val="20"/>
                <w:szCs w:val="20"/>
                <w:color w:val="auto"/>
              </w:rPr>
            </w:pPr>
            <w:r>
              <w:rPr>
                <w:rFonts w:ascii="Arial" w:cs="Arial" w:eastAsia="Arial" w:hAnsi="Arial"/>
                <w:sz w:val="18"/>
                <w:szCs w:val="18"/>
                <w:color w:val="auto"/>
              </w:rPr>
              <w:t xml:space="preserve">Arkansas Gas </w:t>
            </w:r>
            <w:r>
              <w:rPr>
                <w:rFonts w:ascii="Arial" w:cs="Arial" w:eastAsia="Arial" w:hAnsi="Arial"/>
                <w:sz w:val="23"/>
                <w:szCs w:val="23"/>
                <w:color w:val="auto"/>
                <w:vertAlign w:val="superscript"/>
              </w:rPr>
              <w:t>(a)</w:t>
            </w:r>
          </w:p>
        </w:tc>
        <w:tc>
          <w:tcPr>
            <w:tcW w:w="1000" w:type="dxa"/>
            <w:vAlign w:val="bottom"/>
            <w:shd w:val="clear" w:color="auto" w:fill="CEFFE7"/>
          </w:tcPr>
          <w:p>
            <w:pPr>
              <w:jc w:val="center"/>
              <w:ind w:left="110"/>
              <w:spacing w:after="0"/>
              <w:rPr>
                <w:sz w:val="20"/>
                <w:szCs w:val="20"/>
                <w:color w:val="auto"/>
              </w:rPr>
            </w:pPr>
            <w:r>
              <w:rPr>
                <w:rFonts w:ascii="Arial" w:cs="Arial" w:eastAsia="Arial" w:hAnsi="Arial"/>
                <w:sz w:val="18"/>
                <w:szCs w:val="18"/>
                <w:color w:val="auto"/>
                <w:w w:val="88"/>
              </w:rPr>
              <w:t>2,012</w:t>
            </w:r>
          </w:p>
        </w:tc>
        <w:tc>
          <w:tcPr>
            <w:tcW w:w="1780" w:type="dxa"/>
            <w:vAlign w:val="bottom"/>
            <w:shd w:val="clear" w:color="auto" w:fill="CEFFE7"/>
          </w:tcPr>
          <w:p>
            <w:pPr>
              <w:jc w:val="center"/>
              <w:ind w:left="90"/>
              <w:spacing w:after="0"/>
              <w:rPr>
                <w:sz w:val="20"/>
                <w:szCs w:val="20"/>
                <w:color w:val="auto"/>
              </w:rPr>
            </w:pPr>
            <w:r>
              <w:rPr>
                <w:rFonts w:ascii="Arial" w:cs="Arial" w:eastAsia="Arial" w:hAnsi="Arial"/>
                <w:sz w:val="18"/>
                <w:szCs w:val="18"/>
                <w:color w:val="auto"/>
                <w:w w:val="91"/>
              </w:rPr>
              <w:t>(17)%</w:t>
            </w:r>
          </w:p>
        </w:tc>
        <w:tc>
          <w:tcPr>
            <w:tcW w:w="10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2,347</w:t>
            </w:r>
          </w:p>
        </w:tc>
        <w:tc>
          <w:tcPr>
            <w:tcW w:w="1600" w:type="dxa"/>
            <w:vAlign w:val="bottom"/>
            <w:shd w:val="clear" w:color="auto" w:fill="CEFFE7"/>
          </w:tcPr>
          <w:p>
            <w:pPr>
              <w:jc w:val="center"/>
              <w:ind w:left="150"/>
              <w:spacing w:after="0"/>
              <w:rPr>
                <w:sz w:val="20"/>
                <w:szCs w:val="20"/>
                <w:color w:val="auto"/>
              </w:rPr>
            </w:pPr>
            <w:r>
              <w:rPr>
                <w:rFonts w:ascii="Arial" w:cs="Arial" w:eastAsia="Arial" w:hAnsi="Arial"/>
                <w:sz w:val="18"/>
                <w:szCs w:val="18"/>
                <w:color w:val="auto"/>
                <w:w w:val="94"/>
              </w:rPr>
              <w:t>(4)%</w:t>
            </w:r>
          </w:p>
        </w:tc>
      </w:tr>
      <w:tr>
        <w:trPr>
          <w:trHeight w:val="243"/>
        </w:trPr>
        <w:tc>
          <w:tcPr>
            <w:tcW w:w="5780" w:type="dxa"/>
            <w:vAlign w:val="bottom"/>
          </w:tcPr>
          <w:p>
            <w:pPr>
              <w:ind w:left="120"/>
              <w:spacing w:after="0"/>
              <w:rPr>
                <w:sz w:val="20"/>
                <w:szCs w:val="20"/>
                <w:color w:val="auto"/>
              </w:rPr>
            </w:pPr>
            <w:r>
              <w:rPr>
                <w:rFonts w:ascii="Arial" w:cs="Arial" w:eastAsia="Arial" w:hAnsi="Arial"/>
                <w:sz w:val="18"/>
                <w:szCs w:val="18"/>
                <w:color w:val="auto"/>
              </w:rPr>
              <w:t>Colorado Gas</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8"/>
              </w:rPr>
              <w:t>3,638</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4"/>
              </w:rPr>
              <w:t>(6)%</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4,047</w:t>
            </w: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92"/>
              </w:rPr>
              <w:t>4%</w:t>
            </w:r>
          </w:p>
        </w:tc>
      </w:tr>
      <w:tr>
        <w:trPr>
          <w:trHeight w:val="27"/>
        </w:trPr>
        <w:tc>
          <w:tcPr>
            <w:tcW w:w="5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Iowa Gas</w:t>
            </w:r>
          </w:p>
        </w:tc>
        <w:tc>
          <w:tcPr>
            <w:tcW w:w="1000" w:type="dxa"/>
            <w:vAlign w:val="bottom"/>
            <w:tcBorders>
              <w:bottom w:val="single" w:sz="8" w:color="CEFFE7"/>
            </w:tcBorders>
            <w:shd w:val="clear" w:color="auto" w:fill="CEFFE7"/>
          </w:tcPr>
          <w:p>
            <w:pPr>
              <w:jc w:val="center"/>
              <w:ind w:left="110"/>
              <w:spacing w:after="0"/>
              <w:rPr>
                <w:sz w:val="20"/>
                <w:szCs w:val="20"/>
                <w:color w:val="auto"/>
              </w:rPr>
            </w:pPr>
            <w:r>
              <w:rPr>
                <w:rFonts w:ascii="Arial" w:cs="Arial" w:eastAsia="Arial" w:hAnsi="Arial"/>
                <w:sz w:val="18"/>
                <w:szCs w:val="18"/>
                <w:color w:val="auto"/>
                <w:w w:val="88"/>
              </w:rPr>
              <w:t>3,964</w:t>
            </w:r>
          </w:p>
        </w:tc>
        <w:tc>
          <w:tcPr>
            <w:tcW w:w="1780" w:type="dxa"/>
            <w:vAlign w:val="bottom"/>
            <w:tcBorders>
              <w:bottom w:val="single" w:sz="8" w:color="CEFFE7"/>
            </w:tcBorders>
            <w:shd w:val="clear" w:color="auto" w:fill="CEFFE7"/>
          </w:tcPr>
          <w:p>
            <w:pPr>
              <w:jc w:val="center"/>
              <w:ind w:left="90"/>
              <w:spacing w:after="0"/>
              <w:rPr>
                <w:sz w:val="20"/>
                <w:szCs w:val="20"/>
                <w:color w:val="auto"/>
              </w:rPr>
            </w:pPr>
            <w:r>
              <w:rPr>
                <w:rFonts w:ascii="Arial" w:cs="Arial" w:eastAsia="Arial" w:hAnsi="Arial"/>
                <w:sz w:val="18"/>
                <w:szCs w:val="18"/>
                <w:color w:val="auto"/>
                <w:w w:val="94"/>
              </w:rPr>
              <w:t>(2)%</w:t>
            </w:r>
          </w:p>
        </w:tc>
        <w:tc>
          <w:tcPr>
            <w:tcW w:w="10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4,568</w:t>
            </w:r>
          </w:p>
        </w:tc>
        <w:tc>
          <w:tcPr>
            <w:tcW w:w="160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94"/>
              </w:rPr>
              <w:t>13%</w:t>
            </w:r>
          </w:p>
        </w:tc>
      </w:tr>
      <w:tr>
        <w:trPr>
          <w:trHeight w:val="270"/>
        </w:trPr>
        <w:tc>
          <w:tcPr>
            <w:tcW w:w="5780" w:type="dxa"/>
            <w:vAlign w:val="bottom"/>
          </w:tcPr>
          <w:p>
            <w:pPr>
              <w:ind w:left="140"/>
              <w:spacing w:after="0"/>
              <w:rPr>
                <w:sz w:val="20"/>
                <w:szCs w:val="20"/>
                <w:color w:val="auto"/>
              </w:rPr>
            </w:pPr>
            <w:r>
              <w:rPr>
                <w:rFonts w:ascii="Arial" w:cs="Arial" w:eastAsia="Arial" w:hAnsi="Arial"/>
                <w:sz w:val="18"/>
                <w:szCs w:val="18"/>
                <w:color w:val="auto"/>
              </w:rPr>
              <w:t xml:space="preserve">Kansas Gas </w:t>
            </w:r>
            <w:r>
              <w:rPr>
                <w:rFonts w:ascii="Arial" w:cs="Arial" w:eastAsia="Arial" w:hAnsi="Arial"/>
                <w:sz w:val="23"/>
                <w:szCs w:val="23"/>
                <w:color w:val="auto"/>
                <w:vertAlign w:val="superscript"/>
              </w:rPr>
              <w:t>(a)</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8"/>
              </w:rPr>
              <w:t>2,781</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4"/>
              </w:rPr>
              <w:t>(4)%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3,204</w:t>
            </w: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4"/>
              </w:rPr>
              <w:t>10%</w:t>
            </w:r>
          </w:p>
        </w:tc>
      </w:tr>
      <w:tr>
        <w:trPr>
          <w:trHeight w:val="250"/>
        </w:trPr>
        <w:tc>
          <w:tcPr>
            <w:tcW w:w="5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Nebraska Gas</w:t>
            </w:r>
          </w:p>
        </w:tc>
        <w:tc>
          <w:tcPr>
            <w:tcW w:w="1000" w:type="dxa"/>
            <w:vAlign w:val="bottom"/>
            <w:tcBorders>
              <w:bottom w:val="single" w:sz="8" w:color="CEFFE7"/>
            </w:tcBorders>
            <w:shd w:val="clear" w:color="auto" w:fill="CEFFE7"/>
          </w:tcPr>
          <w:p>
            <w:pPr>
              <w:jc w:val="center"/>
              <w:ind w:left="110"/>
              <w:spacing w:after="0"/>
              <w:rPr>
                <w:sz w:val="20"/>
                <w:szCs w:val="20"/>
                <w:color w:val="auto"/>
              </w:rPr>
            </w:pPr>
            <w:r>
              <w:rPr>
                <w:rFonts w:ascii="Arial" w:cs="Arial" w:eastAsia="Arial" w:hAnsi="Arial"/>
                <w:sz w:val="18"/>
                <w:szCs w:val="18"/>
                <w:color w:val="auto"/>
                <w:w w:val="88"/>
              </w:rPr>
              <w:t>3,527</w:t>
            </w:r>
          </w:p>
        </w:tc>
        <w:tc>
          <w:tcPr>
            <w:tcW w:w="1780" w:type="dxa"/>
            <w:vAlign w:val="bottom"/>
            <w:tcBorders>
              <w:bottom w:val="single" w:sz="8" w:color="CEFFE7"/>
            </w:tcBorders>
            <w:shd w:val="clear" w:color="auto" w:fill="CEFFE7"/>
          </w:tcPr>
          <w:p>
            <w:pPr>
              <w:jc w:val="center"/>
              <w:ind w:left="90"/>
              <w:spacing w:after="0"/>
              <w:rPr>
                <w:sz w:val="20"/>
                <w:szCs w:val="20"/>
                <w:color w:val="auto"/>
              </w:rPr>
            </w:pPr>
            <w:r>
              <w:rPr>
                <w:rFonts w:ascii="Arial" w:cs="Arial" w:eastAsia="Arial" w:hAnsi="Arial"/>
                <w:sz w:val="18"/>
                <w:szCs w:val="18"/>
                <w:color w:val="auto"/>
                <w:w w:val="94"/>
              </w:rPr>
              <w:t>(4)%</w:t>
            </w:r>
          </w:p>
        </w:tc>
        <w:tc>
          <w:tcPr>
            <w:tcW w:w="10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4,147</w:t>
            </w:r>
          </w:p>
        </w:tc>
        <w:tc>
          <w:tcPr>
            <w:tcW w:w="160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94"/>
              </w:rPr>
              <w:t>13%</w:t>
            </w:r>
          </w:p>
        </w:tc>
      </w:tr>
      <w:tr>
        <w:trPr>
          <w:trHeight w:val="243"/>
        </w:trPr>
        <w:tc>
          <w:tcPr>
            <w:tcW w:w="5780" w:type="dxa"/>
            <w:vAlign w:val="bottom"/>
          </w:tcPr>
          <w:p>
            <w:pPr>
              <w:ind w:left="120"/>
              <w:spacing w:after="0"/>
              <w:rPr>
                <w:sz w:val="20"/>
                <w:szCs w:val="20"/>
                <w:color w:val="auto"/>
              </w:rPr>
            </w:pPr>
            <w:r>
              <w:rPr>
                <w:rFonts w:ascii="Arial" w:cs="Arial" w:eastAsia="Arial" w:hAnsi="Arial"/>
                <w:sz w:val="18"/>
                <w:szCs w:val="18"/>
                <w:color w:val="auto"/>
              </w:rPr>
              <w:t>Wyoming Gas</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88"/>
              </w:rPr>
              <w:t>4,433</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2"/>
              </w:rPr>
              <w:t>1%</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4,910</w:t>
            </w: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88"/>
              </w:rPr>
              <w:t>11%</w:t>
            </w:r>
          </w:p>
        </w:tc>
      </w:tr>
      <w:tr>
        <w:trPr>
          <w:trHeight w:val="27"/>
        </w:trPr>
        <w:tc>
          <w:tcPr>
            <w:tcW w:w="5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80" w:type="dxa"/>
            <w:vAlign w:val="bottom"/>
            <w:shd w:val="clear" w:color="auto" w:fill="CEFFE7"/>
          </w:tcPr>
          <w:p>
            <w:pPr>
              <w:ind w:left="140"/>
              <w:spacing w:after="0"/>
              <w:rPr>
                <w:sz w:val="20"/>
                <w:szCs w:val="20"/>
                <w:color w:val="auto"/>
              </w:rPr>
            </w:pPr>
            <w:r>
              <w:rPr>
                <w:rFonts w:ascii="Arial" w:cs="Arial" w:eastAsia="Arial" w:hAnsi="Arial"/>
                <w:sz w:val="18"/>
                <w:szCs w:val="18"/>
                <w:color w:val="auto"/>
              </w:rPr>
              <w:t xml:space="preserve">Combined Gas </w:t>
            </w:r>
            <w:r>
              <w:rPr>
                <w:rFonts w:ascii="Arial" w:cs="Arial" w:eastAsia="Arial" w:hAnsi="Arial"/>
                <w:sz w:val="23"/>
                <w:szCs w:val="23"/>
                <w:color w:val="auto"/>
                <w:vertAlign w:val="superscript"/>
              </w:rPr>
              <w:t>(b)</w:t>
            </w:r>
          </w:p>
        </w:tc>
        <w:tc>
          <w:tcPr>
            <w:tcW w:w="1000" w:type="dxa"/>
            <w:vAlign w:val="bottom"/>
            <w:shd w:val="clear" w:color="auto" w:fill="CEFFE7"/>
          </w:tcPr>
          <w:p>
            <w:pPr>
              <w:jc w:val="center"/>
              <w:ind w:left="110"/>
              <w:spacing w:after="0"/>
              <w:rPr>
                <w:sz w:val="20"/>
                <w:szCs w:val="20"/>
                <w:color w:val="auto"/>
              </w:rPr>
            </w:pPr>
            <w:r>
              <w:rPr>
                <w:rFonts w:ascii="Arial" w:cs="Arial" w:eastAsia="Arial" w:hAnsi="Arial"/>
                <w:sz w:val="18"/>
                <w:szCs w:val="18"/>
                <w:color w:val="auto"/>
                <w:w w:val="88"/>
              </w:rPr>
              <w:t>3,606</w:t>
            </w:r>
          </w:p>
        </w:tc>
        <w:tc>
          <w:tcPr>
            <w:tcW w:w="1780" w:type="dxa"/>
            <w:vAlign w:val="bottom"/>
            <w:shd w:val="clear" w:color="auto" w:fill="CEFFE7"/>
          </w:tcPr>
          <w:p>
            <w:pPr>
              <w:jc w:val="center"/>
              <w:ind w:left="90"/>
              <w:spacing w:after="0"/>
              <w:rPr>
                <w:sz w:val="20"/>
                <w:szCs w:val="20"/>
                <w:color w:val="auto"/>
              </w:rPr>
            </w:pPr>
            <w:r>
              <w:rPr>
                <w:rFonts w:ascii="Arial" w:cs="Arial" w:eastAsia="Arial" w:hAnsi="Arial"/>
                <w:sz w:val="18"/>
                <w:szCs w:val="18"/>
                <w:color w:val="auto"/>
                <w:w w:val="94"/>
              </w:rPr>
              <w:t>(4)%</w:t>
            </w:r>
          </w:p>
        </w:tc>
        <w:tc>
          <w:tcPr>
            <w:tcW w:w="10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4,244</w:t>
            </w:r>
          </w:p>
        </w:tc>
        <w:tc>
          <w:tcPr>
            <w:tcW w:w="160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4"/>
              </w:rPr>
              <w:t>10%</w:t>
            </w:r>
          </w:p>
        </w:tc>
      </w:tr>
      <w:tr>
        <w:trPr>
          <w:trHeight w:val="311"/>
        </w:trPr>
        <w:tc>
          <w:tcPr>
            <w:tcW w:w="5780" w:type="dxa"/>
            <w:vAlign w:val="bottom"/>
          </w:tcPr>
          <w:p>
            <w:pPr>
              <w:spacing w:after="0"/>
              <w:rPr>
                <w:sz w:val="20"/>
                <w:szCs w:val="20"/>
                <w:color w:val="auto"/>
              </w:rPr>
            </w:pPr>
            <w:r>
              <w:rPr>
                <w:rFonts w:ascii="Arial" w:cs="Arial" w:eastAsia="Arial" w:hAnsi="Arial"/>
                <w:sz w:val="18"/>
                <w:szCs w:val="18"/>
                <w:color w:val="auto"/>
              </w:rPr>
              <w:t>___________</w:t>
            </w:r>
          </w:p>
        </w:tc>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ind w:left="220" w:hanging="212"/>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Arkansas and Kansas have weather normalization mechanisms that mitigate the weather impact on gross margins.</w:t>
      </w:r>
    </w:p>
    <w:p>
      <w:pPr>
        <w:spacing w:after="0" w:line="9" w:lineRule="exact"/>
        <w:rPr>
          <w:rFonts w:ascii="Arial" w:cs="Arial" w:eastAsia="Arial" w:hAnsi="Arial"/>
          <w:sz w:val="16"/>
          <w:szCs w:val="16"/>
          <w:color w:val="auto"/>
        </w:rPr>
      </w:pPr>
    </w:p>
    <w:p>
      <w:pPr>
        <w:ind w:left="340" w:right="40" w:hanging="332"/>
        <w:spacing w:after="0" w:line="257" w:lineRule="auto"/>
        <w:tabs>
          <w:tab w:leader="none" w:pos="24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combined heating degree days are calculated based on a weighted average of total customers by state excluding Kansas due to its weather normalization mechanism. Arkansas is excluded based on the weather normalization mechanism in effect from November through April.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252" w:lineRule="exact"/>
        <w:rPr>
          <w:sz w:val="20"/>
          <w:szCs w:val="20"/>
          <w:color w:val="auto"/>
        </w:rPr>
      </w:pPr>
    </w:p>
    <w:p>
      <w:pPr>
        <w:ind w:right="1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For more information on recent regulatory activity and enacted regulatory provisions with respect to the states in which our Utilities operate, see </w:t>
      </w:r>
      <w:hyperlink w:anchor="page20">
        <w:r>
          <w:rPr>
            <w:rFonts w:ascii="Arial" w:cs="Arial" w:eastAsia="Arial" w:hAnsi="Arial"/>
            <w:sz w:val="18"/>
            <w:szCs w:val="18"/>
            <w:u w:val="single" w:color="auto"/>
            <w:color w:val="0000FF"/>
          </w:rPr>
          <w:t>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and Part I, Items 1 and 2 and Part II, Item 8 of our 2019 Annual Report on Form 10-K filed with the SEC.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Power Generation</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85"/>
        </w:trPr>
        <w:tc>
          <w:tcPr>
            <w:tcW w:w="136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5"/>
          </w:tcPr>
          <w:p>
            <w:pPr>
              <w:jc w:val="right"/>
              <w:ind w:right="250"/>
              <w:spacing w:after="0"/>
              <w:rPr>
                <w:sz w:val="20"/>
                <w:szCs w:val="20"/>
                <w:color w:val="auto"/>
              </w:rPr>
            </w:pPr>
            <w:r>
              <w:rPr>
                <w:rFonts w:ascii="Arial" w:cs="Arial" w:eastAsia="Arial" w:hAnsi="Arial"/>
                <w:sz w:val="18"/>
                <w:szCs w:val="18"/>
                <w:color w:val="auto"/>
                <w:w w:val="94"/>
              </w:rPr>
              <w:t>Three Months Ended June 30,</w:t>
            </w:r>
          </w:p>
        </w:tc>
        <w:tc>
          <w:tcPr>
            <w:tcW w:w="260" w:type="dxa"/>
            <w:vAlign w:val="bottom"/>
          </w:tcPr>
          <w:p>
            <w:pPr>
              <w:spacing w:after="0"/>
              <w:rPr>
                <w:sz w:val="24"/>
                <w:szCs w:val="24"/>
                <w:color w:val="auto"/>
              </w:rPr>
            </w:pPr>
          </w:p>
        </w:tc>
        <w:tc>
          <w:tcPr>
            <w:tcW w:w="2700" w:type="dxa"/>
            <w:vAlign w:val="bottom"/>
            <w:gridSpan w:val="5"/>
          </w:tcPr>
          <w:p>
            <w:pPr>
              <w:jc w:val="right"/>
              <w:ind w:right="370"/>
              <w:spacing w:after="0"/>
              <w:rPr>
                <w:sz w:val="20"/>
                <w:szCs w:val="20"/>
                <w:color w:val="auto"/>
              </w:rPr>
            </w:pPr>
            <w:r>
              <w:rPr>
                <w:rFonts w:ascii="Arial" w:cs="Arial" w:eastAsia="Arial" w:hAnsi="Arial"/>
                <w:sz w:val="18"/>
                <w:szCs w:val="18"/>
                <w:color w:val="auto"/>
              </w:rPr>
              <w:t>Six Months Ended June 30,</w:t>
            </w:r>
          </w:p>
        </w:tc>
      </w:tr>
      <w:tr>
        <w:trPr>
          <w:trHeight w:val="270"/>
        </w:trPr>
        <w:tc>
          <w:tcPr>
            <w:tcW w:w="136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3"/>
                <w:szCs w:val="23"/>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0"/>
              </w:rPr>
              <w:t>Variance</w:t>
            </w:r>
          </w:p>
        </w:tc>
        <w:tc>
          <w:tcPr>
            <w:tcW w:w="260" w:type="dxa"/>
            <w:vAlign w:val="bottom"/>
          </w:tcPr>
          <w:p>
            <w:pPr>
              <w:spacing w:after="0"/>
              <w:rPr>
                <w:sz w:val="23"/>
                <w:szCs w:val="23"/>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3"/>
                <w:szCs w:val="23"/>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3"/>
                <w:szCs w:val="23"/>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0"/>
              </w:rPr>
              <w:t>Variance</w:t>
            </w:r>
          </w:p>
        </w:tc>
      </w:tr>
      <w:tr>
        <w:trPr>
          <w:trHeight w:val="27"/>
        </w:trPr>
        <w:tc>
          <w:tcPr>
            <w:tcW w:w="1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right"/>
              <w:ind w:right="29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4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26,122</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24,708</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1,414</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52,088</w:t>
            </w: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49,953</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2,135</w:t>
            </w:r>
          </w:p>
        </w:tc>
      </w:tr>
      <w:tr>
        <w:trPr>
          <w:trHeight w:val="250"/>
        </w:trPr>
        <w:tc>
          <w:tcPr>
            <w:tcW w:w="136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50"/>
        </w:trPr>
        <w:tc>
          <w:tcPr>
            <w:tcW w:w="54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Fuel expense</w:t>
            </w:r>
          </w:p>
        </w:tc>
        <w:tc>
          <w:tcPr>
            <w:tcW w:w="22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2,087</w:t>
            </w:r>
          </w:p>
        </w:tc>
        <w:tc>
          <w:tcPr>
            <w:tcW w:w="26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4,372</w:t>
            </w:r>
          </w:p>
        </w:tc>
        <w:tc>
          <w:tcPr>
            <w:tcW w:w="2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4,650</w:t>
            </w:r>
          </w:p>
        </w:tc>
        <w:tc>
          <w:tcPr>
            <w:tcW w:w="2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w:t>
            </w: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7,350</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7,809</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14,347</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13,871</w:t>
            </w:r>
          </w:p>
        </w:tc>
        <w:tc>
          <w:tcPr>
            <w:tcW w:w="2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476</w:t>
            </w:r>
          </w:p>
        </w:tc>
      </w:tr>
      <w:tr>
        <w:trPr>
          <w:trHeight w:val="27"/>
        </w:trPr>
        <w:tc>
          <w:tcPr>
            <w:tcW w:w="5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4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EFFE7"/>
            </w:tcBorders>
            <w:shd w:val="clear" w:color="auto" w:fill="CEFFE7"/>
          </w:tcPr>
          <w:p>
            <w:pPr>
              <w:spacing w:after="0"/>
              <w:rPr>
                <w:sz w:val="23"/>
                <w:szCs w:val="23"/>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5,283</w:t>
            </w:r>
          </w:p>
        </w:tc>
        <w:tc>
          <w:tcPr>
            <w:tcW w:w="260" w:type="dxa"/>
            <w:vAlign w:val="bottom"/>
            <w:tcBorders>
              <w:bottom w:val="single" w:sz="8" w:color="CEFFE7"/>
            </w:tcBorders>
            <w:shd w:val="clear" w:color="auto" w:fill="CEFFE7"/>
          </w:tcPr>
          <w:p>
            <w:pPr>
              <w:spacing w:after="0"/>
              <w:rPr>
                <w:sz w:val="23"/>
                <w:szCs w:val="23"/>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4,719</w:t>
            </w:r>
          </w:p>
        </w:tc>
        <w:tc>
          <w:tcPr>
            <w:tcW w:w="22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564</w:t>
            </w:r>
          </w:p>
        </w:tc>
        <w:tc>
          <w:tcPr>
            <w:tcW w:w="26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10,618</w:t>
            </w:r>
          </w:p>
        </w:tc>
        <w:tc>
          <w:tcPr>
            <w:tcW w:w="280" w:type="dxa"/>
            <w:vAlign w:val="bottom"/>
            <w:tcBorders>
              <w:bottom w:val="single" w:sz="8" w:color="CEFFE7"/>
            </w:tcBorders>
            <w:shd w:val="clear" w:color="auto" w:fill="CEFFE7"/>
          </w:tcPr>
          <w:p>
            <w:pPr>
              <w:spacing w:after="0"/>
              <w:rPr>
                <w:sz w:val="23"/>
                <w:szCs w:val="23"/>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9,309</w:t>
            </w:r>
          </w:p>
        </w:tc>
        <w:tc>
          <w:tcPr>
            <w:tcW w:w="2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1,309</w:t>
            </w:r>
          </w:p>
        </w:tc>
      </w:tr>
      <w:tr>
        <w:trPr>
          <w:trHeight w:val="237"/>
        </w:trPr>
        <w:tc>
          <w:tcPr>
            <w:tcW w:w="5400" w:type="dxa"/>
            <w:vAlign w:val="bottom"/>
            <w:gridSpan w:val="2"/>
          </w:tcPr>
          <w:p>
            <w:pPr>
              <w:ind w:left="540"/>
              <w:spacing w:after="0"/>
              <w:rPr>
                <w:sz w:val="20"/>
                <w:szCs w:val="20"/>
                <w:color w:val="auto"/>
              </w:rPr>
            </w:pPr>
            <w:r>
              <w:rPr>
                <w:rFonts w:ascii="Arial" w:cs="Arial" w:eastAsia="Arial" w:hAnsi="Arial"/>
                <w:sz w:val="18"/>
                <w:szCs w:val="18"/>
                <w:color w:val="auto"/>
              </w:rPr>
              <w:t>Total operating expense</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14,720</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14,552</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29,337</w:t>
            </w: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27,830</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1,507</w:t>
            </w:r>
          </w:p>
        </w:tc>
      </w:tr>
      <w:tr>
        <w:trPr>
          <w:trHeight w:val="27"/>
        </w:trPr>
        <w:tc>
          <w:tcPr>
            <w:tcW w:w="5400" w:type="dxa"/>
            <w:vAlign w:val="bottom"/>
            <w:tcBorders>
              <w:bottom w:val="single" w:sz="8" w:color="CEFFE7"/>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1360" w:type="dxa"/>
            <w:vAlign w:val="bottom"/>
            <w:shd w:val="clear" w:color="auto" w:fill="CEFFE7"/>
          </w:tcPr>
          <w:p>
            <w:pPr>
              <w:spacing w:after="0"/>
              <w:rPr>
                <w:sz w:val="21"/>
                <w:szCs w:val="21"/>
                <w:color w:val="auto"/>
              </w:rPr>
            </w:pPr>
          </w:p>
        </w:tc>
        <w:tc>
          <w:tcPr>
            <w:tcW w:w="4040" w:type="dxa"/>
            <w:vAlign w:val="bottom"/>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spacing w:after="0"/>
              <w:rPr>
                <w:sz w:val="21"/>
                <w:szCs w:val="21"/>
                <w:color w:val="auto"/>
              </w:rPr>
            </w:pPr>
          </w:p>
        </w:tc>
        <w:tc>
          <w:tcPr>
            <w:tcW w:w="700" w:type="dxa"/>
            <w:vAlign w:val="bottom"/>
            <w:tcBorders>
              <w:bottom w:val="single" w:sz="8" w:color="auto"/>
            </w:tcBorders>
            <w:shd w:val="clear" w:color="auto" w:fill="CEFFE7"/>
          </w:tcPr>
          <w:p>
            <w:pPr>
              <w:spacing w:after="0"/>
              <w:rPr>
                <w:sz w:val="21"/>
                <w:szCs w:val="21"/>
                <w:color w:val="auto"/>
              </w:rPr>
            </w:pPr>
          </w:p>
        </w:tc>
        <w:tc>
          <w:tcPr>
            <w:tcW w:w="260" w:type="dxa"/>
            <w:vAlign w:val="bottom"/>
            <w:tcBorders>
              <w:bottom w:val="single" w:sz="8" w:color="auto"/>
            </w:tcBorders>
            <w:shd w:val="clear" w:color="auto" w:fill="CEFFE7"/>
          </w:tcPr>
          <w:p>
            <w:pPr>
              <w:spacing w:after="0"/>
              <w:rPr>
                <w:sz w:val="21"/>
                <w:szCs w:val="21"/>
                <w:color w:val="auto"/>
              </w:rPr>
            </w:pPr>
          </w:p>
        </w:tc>
        <w:tc>
          <w:tcPr>
            <w:tcW w:w="700" w:type="dxa"/>
            <w:vAlign w:val="bottom"/>
            <w:tcBorders>
              <w:bottom w:val="single" w:sz="8" w:color="auto"/>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spacing w:after="0"/>
              <w:rPr>
                <w:sz w:val="21"/>
                <w:szCs w:val="21"/>
                <w:color w:val="auto"/>
              </w:rPr>
            </w:pPr>
          </w:p>
        </w:tc>
        <w:tc>
          <w:tcPr>
            <w:tcW w:w="780" w:type="dxa"/>
            <w:vAlign w:val="bottom"/>
            <w:tcBorders>
              <w:bottom w:val="single" w:sz="8" w:color="auto"/>
            </w:tcBorders>
            <w:shd w:val="clear" w:color="auto" w:fill="CEFFE7"/>
          </w:tcPr>
          <w:p>
            <w:pPr>
              <w:spacing w:after="0"/>
              <w:rPr>
                <w:sz w:val="21"/>
                <w:szCs w:val="21"/>
                <w:color w:val="auto"/>
              </w:rPr>
            </w:pPr>
          </w:p>
        </w:tc>
        <w:tc>
          <w:tcPr>
            <w:tcW w:w="260" w:type="dxa"/>
            <w:vAlign w:val="bottom"/>
            <w:tcBorders>
              <w:bottom w:val="single" w:sz="8" w:color="auto"/>
            </w:tcBorders>
            <w:shd w:val="clear" w:color="auto" w:fill="CEFFE7"/>
          </w:tcPr>
          <w:p>
            <w:pPr>
              <w:spacing w:after="0"/>
              <w:rPr>
                <w:sz w:val="21"/>
                <w:szCs w:val="21"/>
                <w:color w:val="auto"/>
              </w:rPr>
            </w:pPr>
          </w:p>
        </w:tc>
        <w:tc>
          <w:tcPr>
            <w:tcW w:w="680" w:type="dxa"/>
            <w:vAlign w:val="bottom"/>
            <w:tcBorders>
              <w:bottom w:val="single" w:sz="8" w:color="auto"/>
            </w:tcBorders>
            <w:shd w:val="clear" w:color="auto" w:fill="CEFFE7"/>
          </w:tcPr>
          <w:p>
            <w:pPr>
              <w:spacing w:after="0"/>
              <w:rPr>
                <w:sz w:val="21"/>
                <w:szCs w:val="21"/>
                <w:color w:val="auto"/>
              </w:rPr>
            </w:pPr>
          </w:p>
        </w:tc>
        <w:tc>
          <w:tcPr>
            <w:tcW w:w="280" w:type="dxa"/>
            <w:vAlign w:val="bottom"/>
            <w:tcBorders>
              <w:bottom w:val="single" w:sz="8" w:color="auto"/>
            </w:tcBorders>
            <w:shd w:val="clear" w:color="auto" w:fill="CEFFE7"/>
          </w:tcPr>
          <w:p>
            <w:pPr>
              <w:spacing w:after="0"/>
              <w:rPr>
                <w:sz w:val="21"/>
                <w:szCs w:val="21"/>
                <w:color w:val="auto"/>
              </w:rPr>
            </w:pPr>
          </w:p>
        </w:tc>
        <w:tc>
          <w:tcPr>
            <w:tcW w:w="700" w:type="dxa"/>
            <w:vAlign w:val="bottom"/>
            <w:tcBorders>
              <w:bottom w:val="single" w:sz="8" w:color="auto"/>
            </w:tcBorders>
            <w:shd w:val="clear" w:color="auto" w:fill="CEFFE7"/>
          </w:tcPr>
          <w:p>
            <w:pPr>
              <w:spacing w:after="0"/>
              <w:rPr>
                <w:sz w:val="21"/>
                <w:szCs w:val="21"/>
                <w:color w:val="auto"/>
              </w:rPr>
            </w:pPr>
          </w:p>
        </w:tc>
        <w:tc>
          <w:tcPr>
            <w:tcW w:w="200" w:type="dxa"/>
            <w:vAlign w:val="bottom"/>
            <w:tcBorders>
              <w:bottom w:val="single" w:sz="8" w:color="auto"/>
            </w:tcBorders>
            <w:shd w:val="clear" w:color="auto" w:fill="CEFFE7"/>
          </w:tcPr>
          <w:p>
            <w:pPr>
              <w:spacing w:after="0"/>
              <w:rPr>
                <w:sz w:val="21"/>
                <w:szCs w:val="21"/>
                <w:color w:val="auto"/>
              </w:rPr>
            </w:pPr>
          </w:p>
        </w:tc>
        <w:tc>
          <w:tcPr>
            <w:tcW w:w="840" w:type="dxa"/>
            <w:vAlign w:val="bottom"/>
            <w:tcBorders>
              <w:bottom w:val="single" w:sz="8" w:color="auto"/>
            </w:tcBorders>
            <w:shd w:val="clear" w:color="auto" w:fill="CEFFE7"/>
          </w:tcPr>
          <w:p>
            <w:pPr>
              <w:spacing w:after="0"/>
              <w:rPr>
                <w:sz w:val="21"/>
                <w:szCs w:val="21"/>
                <w:color w:val="auto"/>
              </w:rPr>
            </w:pPr>
          </w:p>
        </w:tc>
      </w:tr>
      <w:tr>
        <w:trPr>
          <w:trHeight w:val="26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11,402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1,246</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628</w:t>
            </w:r>
          </w:p>
        </w:tc>
      </w:tr>
      <w:tr>
        <w:trPr>
          <w:trHeight w:val="21"/>
        </w:trPr>
        <w:tc>
          <w:tcPr>
            <w:tcW w:w="1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the Three Months Ended June 30, 2019:</w:t>
      </w:r>
    </w:p>
    <w:p>
      <w:pPr>
        <w:spacing w:after="0" w:line="256"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Revenue increased in the current year driven primarily by increased MWh sold from new wind assets and additional Black Hills Colorado IPP fired-engine hours. Operating expenses increased primarily due to higher depreciation from new wind assets and COVID-19 impacts of $0.4 million of expenses related to the sequestration of essential employees partially offset by lower maintenance costs due to a prior year planned outage at Pueblo Airport Generation.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the Six Months Ended June 30, 2019:</w:t>
      </w:r>
    </w:p>
    <w:p>
      <w:pPr>
        <w:spacing w:after="0" w:line="25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Revenue increased in the current year driven by an increase in MWh sold from new wind assets and additional Black Hills Colorado IPP fired-engine hours. Operating expenses increased primarily due to higher depreciation from new wind assets. COVID-19 impacts to operations and maintenance expense included $0.4 million of expenses related to the sequestration of essential employees.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w w:val="96"/>
              </w:rPr>
              <w:t>The following table summarizes MWh for our Power Generation segment:</w:t>
            </w: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900" w:type="dxa"/>
            <w:vAlign w:val="bottom"/>
            <w:gridSpan w:val="2"/>
          </w:tcPr>
          <w:p>
            <w:pPr>
              <w:jc w:val="right"/>
              <w:ind w:right="350"/>
              <w:spacing w:after="0"/>
              <w:rPr>
                <w:sz w:val="20"/>
                <w:szCs w:val="20"/>
                <w:color w:val="auto"/>
              </w:rPr>
            </w:pPr>
            <w:r>
              <w:rPr>
                <w:rFonts w:ascii="Arial" w:cs="Arial" w:eastAsia="Arial" w:hAnsi="Arial"/>
                <w:sz w:val="18"/>
                <w:szCs w:val="18"/>
                <w:color w:val="auto"/>
              </w:rPr>
              <w:t>Three Months Ended June 30,</w:t>
            </w:r>
          </w:p>
        </w:tc>
        <w:tc>
          <w:tcPr>
            <w:tcW w:w="2640" w:type="dxa"/>
            <w:vAlign w:val="bottom"/>
            <w:gridSpan w:val="2"/>
          </w:tcPr>
          <w:p>
            <w:pPr>
              <w:jc w:val="right"/>
              <w:ind w:right="3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Quantities Sold, Generated and Purchased</w:t>
            </w: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6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(MWh) </w:t>
            </w:r>
            <w:r>
              <w:rPr>
                <w:rFonts w:ascii="Arial" w:cs="Arial" w:eastAsia="Arial" w:hAnsi="Arial"/>
                <w:sz w:val="23"/>
                <w:szCs w:val="23"/>
                <w:color w:val="auto"/>
                <w:vertAlign w:val="superscript"/>
              </w:rPr>
              <w:t>(a)</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Sold</w:t>
            </w:r>
          </w:p>
        </w:tc>
        <w:tc>
          <w:tcPr>
            <w:tcW w:w="15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Black Hills Colorado IPP</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263,701</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210,316</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528,926</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416,289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600" w:type="dxa"/>
            <w:vAlign w:val="bottom"/>
            <w:shd w:val="clear" w:color="auto" w:fill="CEFFE7"/>
          </w:tcPr>
          <w:p>
            <w:pPr>
              <w:ind w:left="340"/>
              <w:spacing w:after="0"/>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3"/>
                <w:szCs w:val="23"/>
                <w:color w:val="auto"/>
                <w:vertAlign w:val="superscript"/>
              </w:rPr>
              <w:t>(b)</w:t>
            </w:r>
          </w:p>
        </w:tc>
        <w:tc>
          <w:tcPr>
            <w:tcW w:w="158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156,866</w:t>
            </w:r>
          </w:p>
        </w:tc>
        <w:tc>
          <w:tcPr>
            <w:tcW w:w="132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149,713</w:t>
            </w:r>
          </w:p>
        </w:tc>
        <w:tc>
          <w:tcPr>
            <w:tcW w:w="144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313,218</w:t>
            </w:r>
          </w:p>
        </w:tc>
        <w:tc>
          <w:tcPr>
            <w:tcW w:w="120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313,762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Black Hills Electric Generation</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92,629</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47,796</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189,908</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81,549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0" w:type="dxa"/>
            <w:vAlign w:val="bottom"/>
            <w:tcBorders>
              <w:bottom w:val="single" w:sz="8" w:color="CEFFE7"/>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5600" w:type="dxa"/>
            <w:vAlign w:val="bottom"/>
            <w:tcBorders>
              <w:bottom w:val="single" w:sz="8" w:color="CEFFE7"/>
            </w:tcBorders>
            <w:shd w:val="clear" w:color="auto" w:fill="CEFFE7"/>
          </w:tcPr>
          <w:p>
            <w:pPr>
              <w:ind w:left="760"/>
              <w:spacing w:after="0"/>
              <w:rPr>
                <w:sz w:val="20"/>
                <w:szCs w:val="20"/>
                <w:color w:val="auto"/>
              </w:rPr>
            </w:pPr>
            <w:r>
              <w:rPr>
                <w:rFonts w:ascii="Arial" w:cs="Arial" w:eastAsia="Arial" w:hAnsi="Arial"/>
                <w:sz w:val="18"/>
                <w:szCs w:val="18"/>
                <w:color w:val="auto"/>
              </w:rPr>
              <w:t>Total Sold</w:t>
            </w:r>
          </w:p>
        </w:tc>
        <w:tc>
          <w:tcPr>
            <w:tcW w:w="158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513,196</w:t>
            </w:r>
          </w:p>
        </w:tc>
        <w:tc>
          <w:tcPr>
            <w:tcW w:w="132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407,825</w:t>
            </w:r>
          </w:p>
        </w:tc>
        <w:tc>
          <w:tcPr>
            <w:tcW w:w="144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1,032,052</w:t>
            </w:r>
          </w:p>
        </w:tc>
        <w:tc>
          <w:tcPr>
            <w:tcW w:w="12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811,600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0" w:type="dxa"/>
            <w:vAlign w:val="bottom"/>
            <w:tcBorders>
              <w:top w:val="single" w:sz="8" w:color="CEFFE7"/>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Generated</w:t>
            </w:r>
          </w:p>
        </w:tc>
        <w:tc>
          <w:tcPr>
            <w:tcW w:w="15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Black Hills Colorado IPP</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263,701</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210,316</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528,926</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416,289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600" w:type="dxa"/>
            <w:vAlign w:val="bottom"/>
            <w:shd w:val="clear" w:color="auto" w:fill="CEFFE7"/>
          </w:tcPr>
          <w:p>
            <w:pPr>
              <w:ind w:left="340"/>
              <w:spacing w:after="0"/>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3"/>
                <w:szCs w:val="23"/>
                <w:color w:val="auto"/>
                <w:vertAlign w:val="superscript"/>
              </w:rPr>
              <w:t>(b)</w:t>
            </w:r>
          </w:p>
        </w:tc>
        <w:tc>
          <w:tcPr>
            <w:tcW w:w="158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142,747</w:t>
            </w:r>
          </w:p>
        </w:tc>
        <w:tc>
          <w:tcPr>
            <w:tcW w:w="132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132,189</w:t>
            </w:r>
          </w:p>
        </w:tc>
        <w:tc>
          <w:tcPr>
            <w:tcW w:w="144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269,232</w:t>
            </w:r>
          </w:p>
        </w:tc>
        <w:tc>
          <w:tcPr>
            <w:tcW w:w="120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264,782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Black Hills Electric Generation</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92,629</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47,796</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189,908</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81,549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0" w:type="dxa"/>
            <w:vAlign w:val="bottom"/>
            <w:tcBorders>
              <w:bottom w:val="single" w:sz="8" w:color="CEFFE7"/>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5600" w:type="dxa"/>
            <w:vAlign w:val="bottom"/>
            <w:tcBorders>
              <w:bottom w:val="single" w:sz="8" w:color="CEFFE7"/>
            </w:tcBorders>
            <w:shd w:val="clear" w:color="auto" w:fill="CEFFE7"/>
          </w:tcPr>
          <w:p>
            <w:pPr>
              <w:ind w:left="760"/>
              <w:spacing w:after="0"/>
              <w:rPr>
                <w:sz w:val="20"/>
                <w:szCs w:val="20"/>
                <w:color w:val="auto"/>
              </w:rPr>
            </w:pPr>
            <w:r>
              <w:rPr>
                <w:rFonts w:ascii="Arial" w:cs="Arial" w:eastAsia="Arial" w:hAnsi="Arial"/>
                <w:sz w:val="18"/>
                <w:szCs w:val="18"/>
                <w:color w:val="auto"/>
              </w:rPr>
              <w:t>Total Generated</w:t>
            </w:r>
          </w:p>
        </w:tc>
        <w:tc>
          <w:tcPr>
            <w:tcW w:w="158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499,077</w:t>
            </w:r>
          </w:p>
        </w:tc>
        <w:tc>
          <w:tcPr>
            <w:tcW w:w="132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390,301</w:t>
            </w:r>
          </w:p>
        </w:tc>
        <w:tc>
          <w:tcPr>
            <w:tcW w:w="144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988,066</w:t>
            </w:r>
          </w:p>
        </w:tc>
        <w:tc>
          <w:tcPr>
            <w:tcW w:w="12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762,620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0" w:type="dxa"/>
            <w:vAlign w:val="bottom"/>
            <w:tcBorders>
              <w:top w:val="single" w:sz="8" w:color="CEFFE7"/>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Purchased</w:t>
            </w:r>
          </w:p>
        </w:tc>
        <w:tc>
          <w:tcPr>
            <w:tcW w:w="15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600" w:type="dxa"/>
            <w:vAlign w:val="bottom"/>
            <w:tcBorders>
              <w:bottom w:val="single" w:sz="8" w:color="CEFFE7"/>
            </w:tcBorders>
          </w:tcPr>
          <w:p>
            <w:pPr>
              <w:ind w:left="340"/>
              <w:spacing w:after="0"/>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3"/>
                <w:szCs w:val="23"/>
                <w:color w:val="auto"/>
                <w:vertAlign w:val="superscript"/>
              </w:rPr>
              <w:t>(b)</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14,160</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13,761</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44,093</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39,340</w:t>
            </w: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5600" w:type="dxa"/>
            <w:vAlign w:val="bottom"/>
            <w:tcBorders>
              <w:bottom w:val="single" w:sz="8" w:color="CEFFE7"/>
            </w:tcBorders>
            <w:shd w:val="clear" w:color="auto" w:fill="CEFFE7"/>
          </w:tcPr>
          <w:p>
            <w:pPr>
              <w:ind w:left="760"/>
              <w:spacing w:after="0"/>
              <w:rPr>
                <w:sz w:val="20"/>
                <w:szCs w:val="20"/>
                <w:color w:val="auto"/>
              </w:rPr>
            </w:pPr>
            <w:r>
              <w:rPr>
                <w:rFonts w:ascii="Arial" w:cs="Arial" w:eastAsia="Arial" w:hAnsi="Arial"/>
                <w:sz w:val="18"/>
                <w:szCs w:val="18"/>
                <w:color w:val="auto"/>
              </w:rPr>
              <w:t>Total Purchased</w:t>
            </w:r>
          </w:p>
        </w:tc>
        <w:tc>
          <w:tcPr>
            <w:tcW w:w="158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14,160</w:t>
            </w:r>
          </w:p>
        </w:tc>
        <w:tc>
          <w:tcPr>
            <w:tcW w:w="132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13,761</w:t>
            </w:r>
          </w:p>
        </w:tc>
        <w:tc>
          <w:tcPr>
            <w:tcW w:w="144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44,093</w:t>
            </w:r>
          </w:p>
        </w:tc>
        <w:tc>
          <w:tcPr>
            <w:tcW w:w="12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39,340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0" w:type="dxa"/>
            <w:vAlign w:val="bottom"/>
            <w:tcBorders>
              <w:top w:val="single" w:sz="8" w:color="CEFFE7"/>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Company uses and losses are not included in the quantities sold, generated, and purchased.</w:t>
      </w:r>
    </w:p>
    <w:p>
      <w:pPr>
        <w:spacing w:after="0" w:line="5" w:lineRule="exact"/>
        <w:rPr>
          <w:rFonts w:ascii="Arial" w:cs="Arial" w:eastAsia="Arial" w:hAnsi="Arial"/>
          <w:sz w:val="16"/>
          <w:szCs w:val="16"/>
          <w:color w:val="auto"/>
        </w:rPr>
      </w:pPr>
    </w:p>
    <w:p>
      <w:pPr>
        <w:ind w:left="340" w:right="100" w:hanging="332"/>
        <w:spacing w:after="0" w:line="251" w:lineRule="auto"/>
        <w:tabs>
          <w:tab w:leader="none" w:pos="2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3740" w:type="dxa"/>
            <w:vAlign w:val="bottom"/>
            <w:gridSpan w:val="3"/>
          </w:tcPr>
          <w:p>
            <w:pPr>
              <w:jc w:val="right"/>
              <w:ind w:right="70"/>
              <w:spacing w:after="0"/>
              <w:rPr>
                <w:sz w:val="20"/>
                <w:szCs w:val="20"/>
                <w:color w:val="auto"/>
              </w:rPr>
            </w:pPr>
            <w:r>
              <w:rPr>
                <w:rFonts w:ascii="Arial" w:cs="Arial" w:eastAsia="Arial" w:hAnsi="Arial"/>
                <w:sz w:val="18"/>
                <w:szCs w:val="18"/>
                <w:color w:val="auto"/>
              </w:rPr>
              <w:t>Three Months Ended June 30,</w:t>
            </w:r>
          </w:p>
        </w:tc>
        <w:tc>
          <w:tcPr>
            <w:tcW w:w="460" w:type="dxa"/>
            <w:vAlign w:val="bottom"/>
          </w:tcPr>
          <w:p>
            <w:pPr>
              <w:spacing w:after="0"/>
              <w:rPr>
                <w:sz w:val="20"/>
                <w:szCs w:val="20"/>
                <w:color w:val="auto"/>
              </w:rPr>
            </w:pPr>
          </w:p>
        </w:tc>
        <w:tc>
          <w:tcPr>
            <w:tcW w:w="2520" w:type="dxa"/>
            <w:vAlign w:val="bottom"/>
            <w:gridSpan w:val="3"/>
          </w:tcPr>
          <w:p>
            <w:pPr>
              <w:jc w:val="right"/>
              <w:ind w:right="150"/>
              <w:spacing w:after="0"/>
              <w:rPr>
                <w:sz w:val="20"/>
                <w:szCs w:val="20"/>
                <w:color w:val="auto"/>
              </w:rPr>
            </w:pPr>
            <w:r>
              <w:rPr>
                <w:rFonts w:ascii="Arial" w:cs="Arial" w:eastAsia="Arial" w:hAnsi="Arial"/>
                <w:sz w:val="18"/>
                <w:szCs w:val="18"/>
                <w:color w:val="auto"/>
              </w:rPr>
              <w:t>Six Months Ended June 30,</w:t>
            </w:r>
          </w:p>
        </w:tc>
        <w:tc>
          <w:tcPr>
            <w:tcW w:w="200" w:type="dxa"/>
            <w:vAlign w:val="bottom"/>
          </w:tcPr>
          <w:p>
            <w:pPr>
              <w:spacing w:after="0"/>
              <w:rPr>
                <w:sz w:val="20"/>
                <w:szCs w:val="20"/>
                <w:color w:val="auto"/>
              </w:rPr>
            </w:pPr>
          </w:p>
        </w:tc>
      </w:tr>
      <w:tr>
        <w:trPr>
          <w:trHeight w:val="29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Contracted Power Plant Fleet Availability </w:t>
            </w:r>
            <w:r>
              <w:rPr>
                <w:rFonts w:ascii="Arial" w:cs="Arial" w:eastAsia="Arial" w:hAnsi="Arial"/>
                <w:sz w:val="21"/>
                <w:szCs w:val="21"/>
                <w:color w:val="auto"/>
                <w:vertAlign w:val="superscript"/>
              </w:rPr>
              <w:t>(a)</w:t>
            </w:r>
          </w:p>
        </w:tc>
        <w:tc>
          <w:tcPr>
            <w:tcW w:w="2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4"/>
                <w:szCs w:val="24"/>
                <w:color w:val="auto"/>
              </w:rPr>
            </w:pPr>
          </w:p>
        </w:tc>
      </w:tr>
      <w:tr>
        <w:trPr>
          <w:trHeight w:val="250"/>
        </w:trPr>
        <w:tc>
          <w:tcPr>
            <w:tcW w:w="43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43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Coal-fired plant</w:t>
            </w:r>
          </w:p>
        </w:tc>
        <w:tc>
          <w:tcPr>
            <w:tcW w:w="2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98.2</w:t>
            </w:r>
          </w:p>
        </w:tc>
        <w:tc>
          <w:tcPr>
            <w:tcW w:w="46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95.8</w:t>
            </w:r>
          </w:p>
        </w:tc>
        <w:tc>
          <w:tcPr>
            <w:tcW w:w="46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93.7</w:t>
            </w:r>
          </w:p>
        </w:tc>
        <w:tc>
          <w:tcPr>
            <w:tcW w:w="46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95.3</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320" w:type="dxa"/>
            <w:vAlign w:val="bottom"/>
          </w:tcPr>
          <w:p>
            <w:pPr>
              <w:ind w:left="180"/>
              <w:spacing w:after="0"/>
              <w:rPr>
                <w:sz w:val="20"/>
                <w:szCs w:val="20"/>
                <w:color w:val="auto"/>
              </w:rPr>
            </w:pPr>
            <w:r>
              <w:rPr>
                <w:rFonts w:ascii="Arial" w:cs="Arial" w:eastAsia="Arial" w:hAnsi="Arial"/>
                <w:sz w:val="18"/>
                <w:szCs w:val="18"/>
                <w:color w:val="auto"/>
              </w:rPr>
              <w:t xml:space="preserve">Natural gas-fired plants </w:t>
            </w:r>
            <w:r>
              <w:rPr>
                <w:rFonts w:ascii="Arial" w:cs="Arial" w:eastAsia="Arial" w:hAnsi="Arial"/>
                <w:sz w:val="23"/>
                <w:szCs w:val="23"/>
                <w:color w:val="auto"/>
                <w:vertAlign w:val="superscript"/>
              </w:rPr>
              <w:t>(b)</w:t>
            </w:r>
          </w:p>
        </w:tc>
        <w:tc>
          <w:tcPr>
            <w:tcW w:w="2300" w:type="dxa"/>
            <w:vAlign w:val="bottom"/>
          </w:tcPr>
          <w:p>
            <w:pPr>
              <w:jc w:val="right"/>
              <w:spacing w:after="0"/>
              <w:rPr>
                <w:sz w:val="20"/>
                <w:szCs w:val="20"/>
                <w:color w:val="auto"/>
              </w:rPr>
            </w:pPr>
            <w:r>
              <w:rPr>
                <w:rFonts w:ascii="Arial" w:cs="Arial" w:eastAsia="Arial" w:hAnsi="Arial"/>
                <w:sz w:val="18"/>
                <w:szCs w:val="18"/>
                <w:color w:val="auto"/>
              </w:rPr>
              <w:t>99.7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0"/>
        </w:trPr>
        <w:tc>
          <w:tcPr>
            <w:tcW w:w="43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Wind</w:t>
            </w:r>
          </w:p>
        </w:tc>
        <w:tc>
          <w:tcPr>
            <w:tcW w:w="2760" w:type="dxa"/>
            <w:vAlign w:val="bottom"/>
            <w:tcBorders>
              <w:bottom w:val="single" w:sz="8" w:color="CEFFE7"/>
            </w:tcBorders>
            <w:gridSpan w:val="2"/>
            <w:shd w:val="clear" w:color="auto" w:fill="CEFFE7"/>
          </w:tcPr>
          <w:p>
            <w:pPr>
              <w:jc w:val="right"/>
              <w:ind w:right="190"/>
              <w:spacing w:after="0"/>
              <w:rPr>
                <w:sz w:val="20"/>
                <w:szCs w:val="20"/>
                <w:color w:val="auto"/>
              </w:rPr>
            </w:pPr>
            <w:r>
              <w:rPr>
                <w:rFonts w:ascii="Arial" w:cs="Arial" w:eastAsia="Arial" w:hAnsi="Arial"/>
                <w:sz w:val="18"/>
                <w:szCs w:val="18"/>
                <w:color w:val="auto"/>
              </w:rPr>
              <w:t>93.1 %</w:t>
            </w:r>
          </w:p>
        </w:tc>
        <w:tc>
          <w:tcPr>
            <w:tcW w:w="1440" w:type="dxa"/>
            <w:vAlign w:val="bottom"/>
            <w:tcBorders>
              <w:bottom w:val="single" w:sz="8" w:color="CEFFE7"/>
            </w:tcBorders>
            <w:gridSpan w:val="2"/>
            <w:shd w:val="clear" w:color="auto" w:fill="CEFFE7"/>
          </w:tcPr>
          <w:p>
            <w:pPr>
              <w:jc w:val="right"/>
              <w:ind w:right="190"/>
              <w:spacing w:after="0"/>
              <w:rPr>
                <w:sz w:val="20"/>
                <w:szCs w:val="20"/>
                <w:color w:val="auto"/>
              </w:rPr>
            </w:pPr>
            <w:r>
              <w:rPr>
                <w:rFonts w:ascii="Arial" w:cs="Arial" w:eastAsia="Arial" w:hAnsi="Arial"/>
                <w:sz w:val="18"/>
                <w:szCs w:val="18"/>
                <w:color w:val="auto"/>
              </w:rPr>
              <w:t>94.1 %</w:t>
            </w:r>
          </w:p>
        </w:tc>
        <w:tc>
          <w:tcPr>
            <w:tcW w:w="1540" w:type="dxa"/>
            <w:vAlign w:val="bottom"/>
            <w:tcBorders>
              <w:bottom w:val="single" w:sz="8" w:color="CEFFE7"/>
            </w:tcBorders>
            <w:gridSpan w:val="2"/>
            <w:shd w:val="clear" w:color="auto" w:fill="CEFFE7"/>
          </w:tcPr>
          <w:p>
            <w:pPr>
              <w:jc w:val="right"/>
              <w:ind w:right="190"/>
              <w:spacing w:after="0"/>
              <w:rPr>
                <w:sz w:val="20"/>
                <w:szCs w:val="20"/>
                <w:color w:val="auto"/>
              </w:rPr>
            </w:pPr>
            <w:r>
              <w:rPr>
                <w:rFonts w:ascii="Arial" w:cs="Arial" w:eastAsia="Arial" w:hAnsi="Arial"/>
                <w:sz w:val="18"/>
                <w:szCs w:val="18"/>
                <w:color w:val="auto"/>
              </w:rPr>
              <w:t>94.0 %</w:t>
            </w:r>
          </w:p>
        </w:tc>
        <w:tc>
          <w:tcPr>
            <w:tcW w:w="11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92.3 %</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Total Availability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97.0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3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62"/>
        </w:trPr>
        <w:tc>
          <w:tcPr>
            <w:tcW w:w="4320" w:type="dxa"/>
            <w:vAlign w:val="bottom"/>
            <w:shd w:val="clear" w:color="auto" w:fill="CEFFE7"/>
          </w:tcPr>
          <w:p>
            <w:pPr>
              <w:spacing w:after="0"/>
              <w:rPr>
                <w:sz w:val="14"/>
                <w:szCs w:val="14"/>
                <w:color w:val="auto"/>
              </w:rPr>
            </w:pPr>
          </w:p>
        </w:tc>
        <w:tc>
          <w:tcPr>
            <w:tcW w:w="2300" w:type="dxa"/>
            <w:vAlign w:val="bottom"/>
            <w:shd w:val="clear" w:color="auto" w:fill="CEFFE7"/>
          </w:tcPr>
          <w:p>
            <w:pPr>
              <w:spacing w:after="0"/>
              <w:rPr>
                <w:sz w:val="14"/>
                <w:szCs w:val="14"/>
                <w:color w:val="auto"/>
              </w:rPr>
            </w:pPr>
          </w:p>
        </w:tc>
        <w:tc>
          <w:tcPr>
            <w:tcW w:w="460" w:type="dxa"/>
            <w:vAlign w:val="bottom"/>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460" w:type="dxa"/>
            <w:vAlign w:val="bottom"/>
            <w:shd w:val="clear" w:color="auto" w:fill="CEFFE7"/>
          </w:tcPr>
          <w:p>
            <w:pPr>
              <w:spacing w:after="0"/>
              <w:rPr>
                <w:sz w:val="14"/>
                <w:szCs w:val="14"/>
                <w:color w:val="auto"/>
              </w:rPr>
            </w:pPr>
          </w:p>
        </w:tc>
        <w:tc>
          <w:tcPr>
            <w:tcW w:w="1080" w:type="dxa"/>
            <w:vAlign w:val="bottom"/>
            <w:shd w:val="clear" w:color="auto" w:fill="CEFFE7"/>
          </w:tcPr>
          <w:p>
            <w:pPr>
              <w:spacing w:after="0"/>
              <w:rPr>
                <w:sz w:val="14"/>
                <w:szCs w:val="14"/>
                <w:color w:val="auto"/>
              </w:rPr>
            </w:pPr>
          </w:p>
        </w:tc>
        <w:tc>
          <w:tcPr>
            <w:tcW w:w="460" w:type="dxa"/>
            <w:vAlign w:val="bottom"/>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Wind Capacity Factor</w:t>
            </w:r>
          </w:p>
        </w:tc>
        <w:tc>
          <w:tcPr>
            <w:tcW w:w="2300" w:type="dxa"/>
            <w:vAlign w:val="bottom"/>
          </w:tcPr>
          <w:p>
            <w:pPr>
              <w:jc w:val="right"/>
              <w:spacing w:after="0"/>
              <w:rPr>
                <w:sz w:val="20"/>
                <w:szCs w:val="20"/>
                <w:color w:val="auto"/>
              </w:rPr>
            </w:pPr>
            <w:r>
              <w:rPr>
                <w:rFonts w:ascii="Arial" w:cs="Arial" w:eastAsia="Arial" w:hAnsi="Arial"/>
                <w:sz w:val="18"/>
                <w:szCs w:val="18"/>
                <w:color w:val="auto"/>
              </w:rPr>
              <w:t>27.5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338"/>
        </w:trPr>
        <w:tc>
          <w:tcPr>
            <w:tcW w:w="4320" w:type="dxa"/>
            <w:vAlign w:val="bottom"/>
          </w:tcPr>
          <w:p>
            <w:pPr>
              <w:spacing w:after="0"/>
              <w:rPr>
                <w:sz w:val="20"/>
                <w:szCs w:val="20"/>
                <w:color w:val="auto"/>
              </w:rPr>
            </w:pPr>
            <w:r>
              <w:rPr>
                <w:rFonts w:ascii="Arial" w:cs="Arial" w:eastAsia="Arial" w:hAnsi="Arial"/>
                <w:sz w:val="18"/>
                <w:szCs w:val="18"/>
                <w:color w:val="auto"/>
              </w:rPr>
              <w:t>___________</w:t>
            </w:r>
          </w:p>
        </w:tc>
        <w:tc>
          <w:tcPr>
            <w:tcW w:w="2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ind w:left="220" w:hanging="212"/>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Availability and Wind Capacity Factor are calculated using a weighted average based on capacity of our generating fleet.</w:t>
      </w:r>
    </w:p>
    <w:p>
      <w:pPr>
        <w:spacing w:after="0" w:line="9" w:lineRule="exact"/>
        <w:rPr>
          <w:rFonts w:ascii="Arial" w:cs="Arial" w:eastAsia="Arial" w:hAnsi="Arial"/>
          <w:sz w:val="16"/>
          <w:szCs w:val="16"/>
          <w:color w:val="auto"/>
        </w:rPr>
      </w:pPr>
    </w:p>
    <w:p>
      <w:pPr>
        <w:ind w:left="280" w:hanging="272"/>
        <w:spacing w:after="0"/>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2019 included a planned outage at Pueblo Airport Generation.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Mining</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85"/>
        </w:trPr>
        <w:tc>
          <w:tcPr>
            <w:tcW w:w="56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jc w:val="right"/>
              <w:ind w:right="45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4"/>
                <w:szCs w:val="24"/>
                <w:color w:val="auto"/>
              </w:rPr>
            </w:pPr>
          </w:p>
        </w:tc>
        <w:tc>
          <w:tcPr>
            <w:tcW w:w="3120" w:type="dxa"/>
            <w:vAlign w:val="bottom"/>
            <w:gridSpan w:val="5"/>
          </w:tcPr>
          <w:p>
            <w:pPr>
              <w:jc w:val="right"/>
              <w:ind w:right="590"/>
              <w:spacing w:after="0"/>
              <w:rPr>
                <w:sz w:val="20"/>
                <w:szCs w:val="20"/>
                <w:color w:val="auto"/>
              </w:rPr>
            </w:pPr>
            <w:r>
              <w:rPr>
                <w:rFonts w:ascii="Arial" w:cs="Arial" w:eastAsia="Arial" w:hAnsi="Arial"/>
                <w:sz w:val="18"/>
                <w:szCs w:val="18"/>
                <w:color w:val="auto"/>
              </w:rPr>
              <w:t>Six Months Ended June 30,</w:t>
            </w:r>
          </w:p>
        </w:tc>
      </w:tr>
      <w:tr>
        <w:trPr>
          <w:trHeight w:val="270"/>
        </w:trPr>
        <w:tc>
          <w:tcPr>
            <w:tcW w:w="5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3"/>
                <w:szCs w:val="23"/>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95"/>
              </w:rPr>
              <w:t>Variance</w:t>
            </w:r>
          </w:p>
        </w:tc>
        <w:tc>
          <w:tcPr>
            <w:tcW w:w="300" w:type="dxa"/>
            <w:vAlign w:val="bottom"/>
          </w:tcPr>
          <w:p>
            <w:pPr>
              <w:spacing w:after="0"/>
              <w:rPr>
                <w:sz w:val="23"/>
                <w:szCs w:val="23"/>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3"/>
                <w:szCs w:val="23"/>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r>
      <w:tr>
        <w:trPr>
          <w:trHeight w:val="27"/>
        </w:trPr>
        <w:tc>
          <w:tcPr>
            <w:tcW w:w="5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right"/>
              <w:ind w:right="45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15,416</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13,045</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2,371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30,621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29,474</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1,147</w:t>
            </w:r>
          </w:p>
        </w:tc>
      </w:tr>
      <w:tr>
        <w:trPr>
          <w:trHeight w:val="250"/>
        </w:trPr>
        <w:tc>
          <w:tcPr>
            <w:tcW w:w="5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50"/>
        </w:trPr>
        <w:tc>
          <w:tcPr>
            <w:tcW w:w="45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9,732</w:t>
            </w:r>
          </w:p>
        </w:tc>
        <w:tc>
          <w:tcPr>
            <w:tcW w:w="3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9,175</w:t>
            </w:r>
          </w:p>
        </w:tc>
        <w:tc>
          <w:tcPr>
            <w:tcW w:w="2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557</w:t>
            </w:r>
          </w:p>
        </w:tc>
        <w:tc>
          <w:tcPr>
            <w:tcW w:w="3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19,558</w:t>
            </w:r>
          </w:p>
        </w:tc>
        <w:tc>
          <w:tcPr>
            <w:tcW w:w="3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19,088</w:t>
            </w:r>
          </w:p>
        </w:tc>
        <w:tc>
          <w:tcPr>
            <w:tcW w:w="2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470</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2,326</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2,230</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4,576</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4,409</w:t>
            </w:r>
          </w:p>
        </w:tc>
        <w:tc>
          <w:tcPr>
            <w:tcW w:w="2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167</w:t>
            </w:r>
          </w:p>
        </w:tc>
      </w:tr>
      <w:tr>
        <w:trPr>
          <w:trHeight w:val="27"/>
        </w:trPr>
        <w:tc>
          <w:tcPr>
            <w:tcW w:w="4520" w:type="dxa"/>
            <w:vAlign w:val="bottom"/>
            <w:tcBorders>
              <w:bottom w:val="single" w:sz="8" w:color="CEFFE7"/>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4520" w:type="dxa"/>
            <w:vAlign w:val="bottom"/>
            <w:tcBorders>
              <w:bottom w:val="single" w:sz="8" w:color="CEFFE7"/>
            </w:tcBorders>
            <w:gridSpan w:val="2"/>
            <w:shd w:val="clear" w:color="auto" w:fill="CEFFE7"/>
          </w:tcPr>
          <w:p>
            <w:pPr>
              <w:ind w:left="5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12,058</w:t>
            </w:r>
          </w:p>
        </w:tc>
        <w:tc>
          <w:tcPr>
            <w:tcW w:w="30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11,405</w:t>
            </w:r>
          </w:p>
        </w:tc>
        <w:tc>
          <w:tcPr>
            <w:tcW w:w="2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653</w:t>
            </w:r>
          </w:p>
        </w:tc>
        <w:tc>
          <w:tcPr>
            <w:tcW w:w="30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24,134</w:t>
            </w:r>
          </w:p>
        </w:tc>
        <w:tc>
          <w:tcPr>
            <w:tcW w:w="30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23,497</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637</w:t>
            </w:r>
          </w:p>
        </w:tc>
      </w:tr>
      <w:tr>
        <w:trPr>
          <w:trHeight w:val="250"/>
        </w:trPr>
        <w:tc>
          <w:tcPr>
            <w:tcW w:w="560" w:type="dxa"/>
            <w:vAlign w:val="bottom"/>
            <w:tcBorders>
              <w:bottom w:val="single" w:sz="8" w:color="CEFFE7"/>
            </w:tcBorders>
          </w:tcPr>
          <w:p>
            <w:pPr>
              <w:spacing w:after="0"/>
              <w:rPr>
                <w:sz w:val="21"/>
                <w:szCs w:val="21"/>
                <w:color w:val="auto"/>
              </w:rPr>
            </w:pPr>
          </w:p>
        </w:tc>
        <w:tc>
          <w:tcPr>
            <w:tcW w:w="3960" w:type="dxa"/>
            <w:vAlign w:val="bottom"/>
            <w:tcBorders>
              <w:bottom w:val="single" w:sz="8" w:color="CEFFE7"/>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r>
      <w:tr>
        <w:trPr>
          <w:trHeight w:val="288"/>
        </w:trPr>
        <w:tc>
          <w:tcPr>
            <w:tcW w:w="45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3,358</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1,640</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1,718</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6,487</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5,977</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510</w:t>
            </w:r>
          </w:p>
        </w:tc>
      </w:tr>
      <w:tr>
        <w:trPr>
          <w:trHeight w:val="20"/>
        </w:trPr>
        <w:tc>
          <w:tcPr>
            <w:tcW w:w="560" w:type="dxa"/>
            <w:vAlign w:val="bottom"/>
            <w:tcBorders>
              <w:top w:val="single" w:sz="8" w:color="CEFFE7"/>
            </w:tcBorders>
          </w:tcPr>
          <w:p>
            <w:pPr>
              <w:spacing w:after="0" w:line="20" w:lineRule="exact"/>
              <w:rPr>
                <w:sz w:val="1"/>
                <w:szCs w:val="1"/>
                <w:color w:val="auto"/>
              </w:rPr>
            </w:pPr>
          </w:p>
        </w:tc>
        <w:tc>
          <w:tcPr>
            <w:tcW w:w="396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the Three Months Ended June 30, 2019:</w:t>
      </w:r>
    </w:p>
    <w:p>
      <w:pPr>
        <w:spacing w:after="0" w:line="229"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Current year revenue increased due to 29% higher tons sold driven primarily by prior year planned and unplanned facility outages partially offset by a 7% decrease in price per ton sold driven by contract price adjustments based on actual mining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the Six Months Ended June 30, 2019:</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Current year revenue increased due to 7% higher tons sold driven primarily by prior year planned and unplanned facility outages partially offset by a 3% decrease in price per ton sold driven by contract price adjustments based on actual mining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Mining segment (in thousands, except for Revenue per ton):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4"/>
          </w:tcPr>
          <w:p>
            <w:pPr>
              <w:jc w:val="right"/>
              <w:ind w:right="630"/>
              <w:spacing w:after="0"/>
              <w:rPr>
                <w:sz w:val="20"/>
                <w:szCs w:val="20"/>
                <w:color w:val="auto"/>
              </w:rPr>
            </w:pPr>
            <w:r>
              <w:rPr>
                <w:rFonts w:ascii="Arial" w:cs="Arial" w:eastAsia="Arial" w:hAnsi="Arial"/>
                <w:sz w:val="18"/>
                <w:szCs w:val="18"/>
                <w:color w:val="auto"/>
                <w:w w:val="93"/>
              </w:rPr>
              <w:t>Three Months Ended June 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gridSpan w:val="4"/>
          </w:tcPr>
          <w:p>
            <w:pPr>
              <w:jc w:val="right"/>
              <w:ind w:right="10"/>
              <w:spacing w:after="0"/>
              <w:rPr>
                <w:sz w:val="20"/>
                <w:szCs w:val="20"/>
                <w:color w:val="auto"/>
              </w:rPr>
            </w:pPr>
            <w:r>
              <w:rPr>
                <w:rFonts w:ascii="Arial" w:cs="Arial" w:eastAsia="Arial" w:hAnsi="Arial"/>
                <w:sz w:val="18"/>
                <w:szCs w:val="18"/>
                <w:color w:val="auto"/>
                <w:w w:val="99"/>
              </w:rPr>
              <w:t>Six Months Ended June 30,</w:t>
            </w:r>
          </w:p>
        </w:tc>
        <w:tc>
          <w:tcPr>
            <w:tcW w:w="660" w:type="dxa"/>
            <w:vAlign w:val="bottom"/>
          </w:tcPr>
          <w:p>
            <w:pPr>
              <w:spacing w:after="0"/>
              <w:rPr>
                <w:sz w:val="20"/>
                <w:szCs w:val="20"/>
                <w:color w:val="auto"/>
              </w:rPr>
            </w:pPr>
          </w:p>
        </w:tc>
      </w:tr>
      <w:tr>
        <w:trPr>
          <w:trHeight w:val="270"/>
        </w:trPr>
        <w:tc>
          <w:tcPr>
            <w:tcW w:w="15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3"/>
                <w:szCs w:val="23"/>
                <w:color w:val="auto"/>
              </w:rPr>
            </w:pPr>
          </w:p>
        </w:tc>
      </w:tr>
      <w:tr>
        <w:trPr>
          <w:trHeight w:val="27"/>
        </w:trPr>
        <w:tc>
          <w:tcPr>
            <w:tcW w:w="1560" w:type="dxa"/>
            <w:vAlign w:val="bottom"/>
            <w:tcBorders>
              <w:bottom w:val="single" w:sz="8" w:color="CEFFE7"/>
            </w:tcBorders>
          </w:tcPr>
          <w:p>
            <w:pPr>
              <w:spacing w:after="0"/>
              <w:rPr>
                <w:sz w:val="2"/>
                <w:szCs w:val="2"/>
                <w:color w:val="auto"/>
              </w:rPr>
            </w:pPr>
          </w:p>
        </w:tc>
        <w:tc>
          <w:tcPr>
            <w:tcW w:w="26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Tons of coal sold</w:t>
            </w:r>
          </w:p>
        </w:tc>
        <w:tc>
          <w:tcPr>
            <w:tcW w:w="2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972</w:t>
            </w:r>
          </w:p>
        </w:tc>
        <w:tc>
          <w:tcPr>
            <w:tcW w:w="88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3"/>
              </w:rPr>
              <w:t>1,868</w:t>
            </w:r>
          </w:p>
        </w:tc>
        <w:tc>
          <w:tcPr>
            <w:tcW w:w="74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1,751</w:t>
            </w:r>
          </w:p>
        </w:tc>
      </w:tr>
      <w:tr>
        <w:trPr>
          <w:trHeight w:val="24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Cubic yards of overburden moved</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2,211</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4,478</w:t>
            </w: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4,039</w:t>
            </w:r>
          </w:p>
        </w:tc>
      </w:tr>
      <w:tr>
        <w:trPr>
          <w:trHeight w:val="27"/>
        </w:trPr>
        <w:tc>
          <w:tcPr>
            <w:tcW w:w="15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1560" w:type="dxa"/>
            <w:vAlign w:val="bottom"/>
            <w:shd w:val="clear" w:color="auto" w:fill="CEFFE7"/>
          </w:tcPr>
          <w:p>
            <w:pPr>
              <w:spacing w:after="0"/>
              <w:rPr>
                <w:sz w:val="23"/>
                <w:szCs w:val="23"/>
                <w:color w:val="auto"/>
              </w:rPr>
            </w:pPr>
          </w:p>
        </w:tc>
        <w:tc>
          <w:tcPr>
            <w:tcW w:w="268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88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7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64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7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r>
      <w:tr>
        <w:trPr>
          <w:trHeight w:val="24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Revenue per ton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15.27</w:t>
            </w:r>
          </w:p>
        </w:tc>
        <w:tc>
          <w:tcPr>
            <w:tcW w:w="8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16.48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15.66</w:t>
            </w:r>
          </w:p>
        </w:tc>
        <w:tc>
          <w:tcPr>
            <w:tcW w:w="74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16.14</w:t>
            </w:r>
          </w:p>
        </w:tc>
      </w:tr>
      <w:tr>
        <w:trPr>
          <w:trHeight w:val="783"/>
        </w:trPr>
        <w:tc>
          <w:tcPr>
            <w:tcW w:w="4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2"/>
        </w:trPr>
        <w:tc>
          <w:tcPr>
            <w:tcW w:w="156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4"/>
          </w:tcPr>
          <w:p>
            <w:pPr>
              <w:jc w:val="center"/>
              <w:spacing w:after="0"/>
              <w:rPr>
                <w:sz w:val="20"/>
                <w:szCs w:val="20"/>
                <w:color w:val="auto"/>
              </w:rPr>
            </w:pPr>
            <w:r>
              <w:rPr>
                <w:rFonts w:ascii="Arial" w:cs="Arial" w:eastAsia="Arial" w:hAnsi="Arial"/>
                <w:sz w:val="18"/>
                <w:szCs w:val="18"/>
                <w:color w:val="auto"/>
                <w:w w:val="89"/>
              </w:rPr>
              <w:t>Three Months Ended June 30,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gridSpan w:val="4"/>
          </w:tcPr>
          <w:p>
            <w:pPr>
              <w:jc w:val="center"/>
              <w:ind w:left="190"/>
              <w:spacing w:after="0"/>
              <w:rPr>
                <w:sz w:val="20"/>
                <w:szCs w:val="20"/>
                <w:color w:val="auto"/>
              </w:rPr>
            </w:pPr>
            <w:r>
              <w:rPr>
                <w:rFonts w:ascii="Arial" w:cs="Arial" w:eastAsia="Arial" w:hAnsi="Arial"/>
                <w:sz w:val="18"/>
                <w:szCs w:val="18"/>
                <w:color w:val="auto"/>
                <w:w w:val="90"/>
              </w:rPr>
              <w:t>Six Months Ended June 30,</w:t>
            </w:r>
          </w:p>
        </w:tc>
        <w:tc>
          <w:tcPr>
            <w:tcW w:w="660" w:type="dxa"/>
            <w:vAlign w:val="bottom"/>
          </w:tcPr>
          <w:p>
            <w:pPr>
              <w:spacing w:after="0"/>
              <w:rPr>
                <w:sz w:val="24"/>
                <w:szCs w:val="24"/>
                <w:color w:val="auto"/>
              </w:rPr>
            </w:pPr>
          </w:p>
        </w:tc>
      </w:tr>
      <w:tr>
        <w:trPr>
          <w:trHeight w:val="270"/>
        </w:trPr>
        <w:tc>
          <w:tcPr>
            <w:tcW w:w="15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88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c>
          <w:tcPr>
            <w:tcW w:w="2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0"/>
              </w:rPr>
              <w:t>Variance</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2020</w:t>
            </w:r>
          </w:p>
        </w:tc>
        <w:tc>
          <w:tcPr>
            <w:tcW w:w="460" w:type="dxa"/>
            <w:vAlign w:val="bottom"/>
          </w:tcPr>
          <w:p>
            <w:pPr>
              <w:spacing w:after="0"/>
              <w:rPr>
                <w:sz w:val="23"/>
                <w:szCs w:val="23"/>
                <w:color w:val="auto"/>
              </w:rPr>
            </w:pPr>
          </w:p>
        </w:tc>
        <w:tc>
          <w:tcPr>
            <w:tcW w:w="740" w:type="dxa"/>
            <w:vAlign w:val="bottom"/>
          </w:tcPr>
          <w:p>
            <w:pPr>
              <w:jc w:val="center"/>
              <w:ind w:right="250"/>
              <w:spacing w:after="0"/>
              <w:rPr>
                <w:sz w:val="20"/>
                <w:szCs w:val="20"/>
                <w:color w:val="auto"/>
              </w:rPr>
            </w:pPr>
            <w:r>
              <w:rPr>
                <w:rFonts w:ascii="Arial" w:cs="Arial" w:eastAsia="Arial" w:hAnsi="Arial"/>
                <w:sz w:val="18"/>
                <w:szCs w:val="18"/>
                <w:color w:val="auto"/>
                <w:w w:val="89"/>
              </w:rPr>
              <w:t>2019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Variance</w:t>
            </w:r>
          </w:p>
        </w:tc>
      </w:tr>
      <w:tr>
        <w:trPr>
          <w:trHeight w:val="27"/>
        </w:trPr>
        <w:tc>
          <w:tcPr>
            <w:tcW w:w="15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1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4"/>
          </w:tcPr>
          <w:p>
            <w:pPr>
              <w:jc w:val="right"/>
              <w:ind w:right="410"/>
              <w:spacing w:after="0"/>
              <w:rPr>
                <w:sz w:val="20"/>
                <w:szCs w:val="20"/>
                <w:color w:val="auto"/>
              </w:rPr>
            </w:pPr>
            <w:r>
              <w:rPr>
                <w:rFonts w:ascii="Arial" w:cs="Arial" w:eastAsia="Arial" w:hAnsi="Arial"/>
                <w:sz w:val="18"/>
                <w:szCs w:val="18"/>
                <w:color w:val="auto"/>
              </w:rPr>
              <w:t>(in thousands)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0"/>
        </w:trPr>
        <w:tc>
          <w:tcPr>
            <w:tcW w:w="42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Adjusted operating income (loss)</w:t>
            </w:r>
          </w:p>
        </w:tc>
        <w:tc>
          <w:tcPr>
            <w:tcW w:w="280" w:type="dxa"/>
            <w:vAlign w:val="bottom"/>
            <w:tcBorders>
              <w:bottom w:val="single" w:sz="8" w:color="CEFFE7"/>
            </w:tcBorders>
            <w:shd w:val="clear" w:color="auto" w:fill="CEFFE7"/>
          </w:tcPr>
          <w:p>
            <w:pPr>
              <w:spacing w:after="0"/>
              <w:rPr>
                <w:sz w:val="24"/>
                <w:szCs w:val="24"/>
                <w:color w:val="auto"/>
              </w:rPr>
            </w:pPr>
          </w:p>
        </w:tc>
        <w:tc>
          <w:tcPr>
            <w:tcW w:w="2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(29)  $</w:t>
            </w:r>
          </w:p>
        </w:tc>
        <w:tc>
          <w:tcPr>
            <w:tcW w:w="8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(131)</w:t>
            </w: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(405)</w:t>
            </w:r>
          </w:p>
        </w:tc>
        <w:tc>
          <w:tcPr>
            <w:tcW w:w="480" w:type="dxa"/>
            <w:vAlign w:val="bottom"/>
            <w:tcBorders>
              <w:bottom w:val="single" w:sz="8" w:color="auto"/>
            </w:tcBorders>
            <w:shd w:val="clear" w:color="auto" w:fill="CEFFE7"/>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536</w:t>
            </w:r>
          </w:p>
        </w:tc>
      </w:tr>
      <w:tr>
        <w:trPr>
          <w:trHeight w:val="20"/>
        </w:trPr>
        <w:tc>
          <w:tcPr>
            <w:tcW w:w="4520" w:type="dxa"/>
            <w:vAlign w:val="bottom"/>
            <w:gridSpan w:val="3"/>
          </w:tcPr>
          <w:p>
            <w:pPr>
              <w:spacing w:after="0" w:line="20" w:lineRule="exact"/>
              <w:rPr>
                <w:sz w:val="1"/>
                <w:szCs w:val="1"/>
                <w:color w:val="auto"/>
              </w:rPr>
            </w:pPr>
          </w:p>
        </w:tc>
        <w:tc>
          <w:tcPr>
            <w:tcW w:w="3740" w:type="dxa"/>
            <w:vAlign w:val="bottom"/>
            <w:tcBorders>
              <w:bottom w:val="single" w:sz="8" w:color="auto"/>
            </w:tcBorders>
            <w:gridSpan w:val="7"/>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73"/>
        </w:trPr>
        <w:tc>
          <w:tcPr>
            <w:tcW w:w="82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i w:val="1"/>
                <w:iCs w:val="1"/>
                <w:color w:val="auto"/>
                <w:w w:val="87"/>
              </w:rPr>
              <w:t>Consolidated Interest Expense, Impairment of Investment, Other Income (Expense) and Income Tax (Expense)</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5"/>
        </w:trPr>
        <w:tc>
          <w:tcPr>
            <w:tcW w:w="15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4"/>
          </w:tcPr>
          <w:p>
            <w:pPr>
              <w:jc w:val="center"/>
              <w:spacing w:after="0"/>
              <w:rPr>
                <w:sz w:val="20"/>
                <w:szCs w:val="20"/>
                <w:color w:val="auto"/>
              </w:rPr>
            </w:pPr>
            <w:r>
              <w:rPr>
                <w:rFonts w:ascii="Arial" w:cs="Arial" w:eastAsia="Arial" w:hAnsi="Arial"/>
                <w:sz w:val="18"/>
                <w:szCs w:val="18"/>
                <w:color w:val="auto"/>
                <w:w w:val="89"/>
              </w:rPr>
              <w:t>Three Months Ended June 30,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gridSpan w:val="4"/>
          </w:tcPr>
          <w:p>
            <w:pPr>
              <w:jc w:val="center"/>
              <w:ind w:left="190"/>
              <w:spacing w:after="0"/>
              <w:rPr>
                <w:sz w:val="20"/>
                <w:szCs w:val="20"/>
                <w:color w:val="auto"/>
              </w:rPr>
            </w:pPr>
            <w:r>
              <w:rPr>
                <w:rFonts w:ascii="Arial" w:cs="Arial" w:eastAsia="Arial" w:hAnsi="Arial"/>
                <w:sz w:val="18"/>
                <w:szCs w:val="18"/>
                <w:color w:val="auto"/>
                <w:w w:val="90"/>
              </w:rPr>
              <w:t>Six Months Ended June 30,</w:t>
            </w:r>
          </w:p>
        </w:tc>
        <w:tc>
          <w:tcPr>
            <w:tcW w:w="660" w:type="dxa"/>
            <w:vAlign w:val="bottom"/>
          </w:tcPr>
          <w:p>
            <w:pPr>
              <w:spacing w:after="0"/>
              <w:rPr>
                <w:sz w:val="24"/>
                <w:szCs w:val="24"/>
                <w:color w:val="auto"/>
              </w:rPr>
            </w:pPr>
          </w:p>
        </w:tc>
      </w:tr>
      <w:tr>
        <w:trPr>
          <w:trHeight w:val="270"/>
        </w:trPr>
        <w:tc>
          <w:tcPr>
            <w:tcW w:w="15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88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c>
          <w:tcPr>
            <w:tcW w:w="2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0"/>
              </w:rPr>
              <w:t>Variance</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2020</w:t>
            </w:r>
          </w:p>
        </w:tc>
        <w:tc>
          <w:tcPr>
            <w:tcW w:w="460" w:type="dxa"/>
            <w:vAlign w:val="bottom"/>
          </w:tcPr>
          <w:p>
            <w:pPr>
              <w:spacing w:after="0"/>
              <w:rPr>
                <w:sz w:val="23"/>
                <w:szCs w:val="23"/>
                <w:color w:val="auto"/>
              </w:rPr>
            </w:pPr>
          </w:p>
        </w:tc>
        <w:tc>
          <w:tcPr>
            <w:tcW w:w="740" w:type="dxa"/>
            <w:vAlign w:val="bottom"/>
          </w:tcPr>
          <w:p>
            <w:pPr>
              <w:jc w:val="center"/>
              <w:ind w:right="250"/>
              <w:spacing w:after="0"/>
              <w:rPr>
                <w:sz w:val="20"/>
                <w:szCs w:val="20"/>
                <w:color w:val="auto"/>
              </w:rPr>
            </w:pPr>
            <w:r>
              <w:rPr>
                <w:rFonts w:ascii="Arial" w:cs="Arial" w:eastAsia="Arial" w:hAnsi="Arial"/>
                <w:sz w:val="18"/>
                <w:szCs w:val="18"/>
                <w:color w:val="auto"/>
                <w:w w:val="89"/>
              </w:rPr>
              <w:t>2019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Variance</w:t>
            </w:r>
          </w:p>
        </w:tc>
      </w:tr>
      <w:tr>
        <w:trPr>
          <w:trHeight w:val="27"/>
        </w:trPr>
        <w:tc>
          <w:tcPr>
            <w:tcW w:w="15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6"/>
        </w:trPr>
        <w:tc>
          <w:tcPr>
            <w:tcW w:w="1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(in thousands)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(in thousands)</w:t>
            </w: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424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2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500" w:type="dxa"/>
            <w:vAlign w:val="bottom"/>
            <w:tcBorders>
              <w:bottom w:val="single" w:sz="8" w:color="CEFFE7"/>
            </w:tcBorders>
            <w:gridSpan w:val="2"/>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(35,545)  $</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(34,264)</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(1,281)</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2"/>
              </w:rPr>
              <w:t>(70,998)</w:t>
            </w:r>
          </w:p>
        </w:tc>
        <w:tc>
          <w:tcPr>
            <w:tcW w:w="4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5"/>
              </w:rPr>
              <w:t>(68,981)</w:t>
            </w:r>
          </w:p>
        </w:tc>
        <w:tc>
          <w:tcPr>
            <w:tcW w:w="48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4"/>
              </w:rPr>
              <w:t>(2,017)</w:t>
            </w:r>
          </w:p>
        </w:tc>
      </w:tr>
      <w:tr>
        <w:trPr>
          <w:trHeight w:val="24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Impairment of investment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(6,859)</w:t>
            </w:r>
          </w:p>
        </w:tc>
        <w:tc>
          <w:tcPr>
            <w:tcW w:w="4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4"/>
              </w:rPr>
              <w:t>(6,859)</w:t>
            </w: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2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(1,863)</w:t>
            </w:r>
          </w:p>
        </w:tc>
        <w:tc>
          <w:tcPr>
            <w:tcW w:w="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263</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(2,126)</w:t>
            </w:r>
          </w:p>
        </w:tc>
        <w:tc>
          <w:tcPr>
            <w:tcW w:w="40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490</w:t>
            </w:r>
          </w:p>
        </w:tc>
        <w:tc>
          <w:tcPr>
            <w:tcW w:w="4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(526)</w:t>
            </w:r>
          </w:p>
        </w:tc>
        <w:tc>
          <w:tcPr>
            <w:tcW w:w="48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1,016</w:t>
            </w:r>
          </w:p>
        </w:tc>
      </w:tr>
      <w:tr>
        <w:trPr>
          <w:trHeight w:val="24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(4,831)</w:t>
            </w:r>
          </w:p>
        </w:tc>
        <w:tc>
          <w:tcPr>
            <w:tcW w:w="880" w:type="dxa"/>
            <w:vAlign w:val="bottom"/>
          </w:tcPr>
          <w:p>
            <w:pPr>
              <w:jc w:val="right"/>
              <w:spacing w:after="0"/>
              <w:rPr>
                <w:sz w:val="20"/>
                <w:szCs w:val="20"/>
                <w:color w:val="auto"/>
              </w:rPr>
            </w:pPr>
            <w:r>
              <w:rPr>
                <w:rFonts w:ascii="Arial" w:cs="Arial" w:eastAsia="Arial" w:hAnsi="Arial"/>
                <w:sz w:val="18"/>
                <w:szCs w:val="18"/>
                <w:color w:val="auto"/>
              </w:rPr>
              <w:t>(2,307)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(2,524)</w:t>
            </w: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(20,833)</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(19,570)</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4"/>
              </w:rPr>
              <w:t>(1,263)</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the Three Months Ended June 30,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increase in Interest expense, net for the three months ended June 30, 2020, compared to the same period in the prior year, was driven by higher debt balances partially offset by lower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variance in Other income (expense), net for the three months ended June 30, 2020, compared to the same period in the prior year, was primarily due to increased costs for our non-qualified benefit plans which were driven by market performance and increased non-service pension costs resulting from a change in accounting principle for our defined benefit pension plan effective January 1, 2020.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June 30, 2020, the effective tax rate was 16.4% compared to 11.5% for the same period in 2019. The higher effective tax rate is primarily due to a prior year discrete tax benefit related to repair costs and certain indirect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the Six Months Ended June 30,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increase in Interest expense, net for the six months ended June 30, 2020, compared to the same period in the prior year was driven by higher debt balances partially offset by lower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Investment</w:t>
      </w:r>
    </w:p>
    <w:p>
      <w:pPr>
        <w:spacing w:after="0" w:line="252" w:lineRule="exact"/>
        <w:rPr>
          <w:sz w:val="20"/>
          <w:szCs w:val="20"/>
          <w:color w:val="auto"/>
        </w:rPr>
      </w:pPr>
    </w:p>
    <w:p>
      <w:pPr>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For the six months ended June 30, 2020, we recorded a pre-tax non-cash write-down of $6.9 million in our investment in equity securities of a privately held oil and gas company. The impairment was triggered by continued adverse changes in future natural gas prices and liquidity concerns at the privately held oil and gas company. The remaining book value of our investment is $1.5 million, and this is our only remaining investment in oil and gas exploration and production activities. See </w:t>
      </w:r>
      <w:hyperlink w:anchor="page34">
        <w:r>
          <w:rPr>
            <w:rFonts w:ascii="Arial" w:cs="Arial" w:eastAsia="Arial" w:hAnsi="Arial"/>
            <w:sz w:val="17"/>
            <w:szCs w:val="17"/>
            <w:u w:val="single" w:color="auto"/>
            <w:color w:val="0000FF"/>
          </w:rPr>
          <w:t>Note 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Condensed Consolidated Financial Statements for additional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w:t>
      </w:r>
    </w:p>
    <w:p>
      <w:pPr>
        <w:spacing w:after="0" w:line="25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variance in Other income (expense), net for the six months ended June 30, 2020, compared to the same period in the prior year, was primarily due to reduced costs for our non-qualified benefit plans which are driven by market performance partially offset by increased non-service pension costs resulting from a change in accounting principle for our defined benefit pension plan effective January 1, 2020.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six months ended June 30, 2020, the effective tax rate was 14.6% compared to 13.5% for the same period in 2019. The higher effective tax rate is primarily due to a prior year discrete tax benefit related to repair costs and certain indirect costs and a current year discrete tax adjustment related to the impairment of our investment in equity securities of a privately held oil and gas company partially offset by increased tax benefits from forecasted federal production tax credits associated with new wind assets.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Involving Significant Accounting Estimates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have been no material changes in our critical accounting estimates from those reported in our 2019 Annual Report on Form 10-K filed with the SEC except for Pension and Other Postretirement Benefits provided below. We continue to closely monitor the rapidly evolving and uncertain impact of COVID-19 on our critical accounting estimates including, but not limited to, collectibility of customer receivables, recoverability of regulatory assets, impairment risk of goodwill and long-lived assets, valuation of pension assets and liabilities, and contingent liabilities. For more information on our critical accounting estimates, see Part II, Item 7 of our 2019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described in Note 18 of the Notes to the Consolidated Financial Statements in our 2019 Annual Report on Form 10-K filed with the SEC, we have one defined benefit pension plan, one defined post-retirement healthcare plan and several non-qualified retirement plans. A Master Trust holds the assets for the pension plan. A trust for the funded portion of the post-retirement healthcare plan has also been established.</w:t>
      </w:r>
    </w:p>
    <w:p>
      <w:pPr>
        <w:spacing w:after="0" w:line="2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Accounting for pension and other postretirement benefit obligations involves numerous assumptions, the most significant of which relate to the discount rates, healthcare cost trend rates, expected return on plan assets, compensation increases, retirement rates and mortality rates. The determination of our obligation and expenses for pension and other postretirement benefits is dependent on the assumptions determined by management and used by actuaries in calculating the amounts. Although we believe our assumptions are appropriate, significant differences in our actual experience or significant changes in our assumptions may materially affect our pension and other postretirement obligations and our future expense.</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Effective January 1, 2020, the Company changed its method of accounting for net periodic benefit cost. Prior to the change, the Company used a calculated value for determining market-related value of plan assets which amortized the effects of gains and losses over a five-year period. Effective with the accounting change, the Company will use a calculated value for the return-seeking assets (equities) in the portfolio and fair value for the liability-hedging assets (fixed income). The Company considers the fair value method for determining market-related value of liability-hedging assets to be a preferable method of accounting because asset-related gains and losses are subject to amortization into pension cost immediately. Additionally, the fair value for liability-hedging assets allows for the impact of gains and losses on this portion of the asset portfolio to be reflected in tandem with changes in the liability which is linked to changes in the discount rate assumption for re-measurement.</w:t>
      </w:r>
    </w:p>
    <w:p>
      <w:pPr>
        <w:spacing w:after="0" w:line="20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32">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for additional information.</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There have been no material changes in Liquidity and Capital Resources from those reported in Item 7 of our 2019 Annual Report on Form 10-K filed with the SEC except as described below and within the “COVID-19 Pandemic” discussion in the </w:t>
      </w:r>
      <w:hyperlink w:anchor="page36">
        <w:r>
          <w:rPr>
            <w:rFonts w:ascii="Arial" w:cs="Arial" w:eastAsia="Arial" w:hAnsi="Arial"/>
            <w:sz w:val="17"/>
            <w:szCs w:val="17"/>
            <w:u w:val="single" w:color="auto"/>
            <w:color w:val="0000FF"/>
          </w:rPr>
          <w:t>Executive Summary</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section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Requirements</w:t>
      </w: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June 30, 2020, we had sufficient liquidity to cover collateral that could be required to be posted under these contracts. For the six months ended June 30, 2020, we did not experience any requests to post additional collateral, including for concerns over a potential deterioration of our financial condition due to COVID-19.</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Cash Flow Activities</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10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our cash flows for the six months ended June 30, (in millions):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480" w:type="dxa"/>
            <w:vAlign w:val="bottom"/>
          </w:tcPr>
          <w:p>
            <w:pPr>
              <w:spacing w:after="0"/>
              <w:rPr>
                <w:sz w:val="24"/>
                <w:szCs w:val="24"/>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Variance</w:t>
            </w:r>
          </w:p>
        </w:tc>
      </w:tr>
      <w:tr>
        <w:trPr>
          <w:trHeight w:val="27"/>
        </w:trPr>
        <w:tc>
          <w:tcPr>
            <w:tcW w:w="2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0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Operating activities</w:t>
            </w:r>
          </w:p>
        </w:tc>
        <w:tc>
          <w:tcPr>
            <w:tcW w:w="4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309.0</w:t>
            </w:r>
          </w:p>
        </w:tc>
        <w:tc>
          <w:tcPr>
            <w:tcW w:w="3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289.8</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center"/>
              <w:ind w:left="350"/>
              <w:spacing w:after="0"/>
              <w:rPr>
                <w:sz w:val="20"/>
                <w:szCs w:val="20"/>
                <w:color w:val="auto"/>
              </w:rPr>
            </w:pPr>
            <w:r>
              <w:rPr>
                <w:rFonts w:ascii="Arial" w:cs="Arial" w:eastAsia="Arial" w:hAnsi="Arial"/>
                <w:sz w:val="18"/>
                <w:szCs w:val="18"/>
                <w:color w:val="auto"/>
                <w:w w:val="91"/>
              </w:rPr>
              <w:t>19.2</w:t>
            </w:r>
          </w:p>
        </w:tc>
      </w:tr>
      <w:tr>
        <w:trPr>
          <w:trHeight w:val="243"/>
        </w:trPr>
        <w:tc>
          <w:tcPr>
            <w:tcW w:w="20" w:type="dxa"/>
            <w:vAlign w:val="bottom"/>
          </w:tcPr>
          <w:p>
            <w:pPr>
              <w:spacing w:after="0"/>
              <w:rPr>
                <w:sz w:val="21"/>
                <w:szCs w:val="21"/>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(317.3)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330"/>
              <w:spacing w:after="0"/>
              <w:rPr>
                <w:sz w:val="20"/>
                <w:szCs w:val="20"/>
                <w:color w:val="auto"/>
              </w:rPr>
            </w:pPr>
            <w:r>
              <w:rPr>
                <w:rFonts w:ascii="Arial" w:cs="Arial" w:eastAsia="Arial" w:hAnsi="Arial"/>
                <w:sz w:val="18"/>
                <w:szCs w:val="18"/>
                <w:color w:val="auto"/>
                <w:w w:val="89"/>
              </w:rPr>
              <w:t>(32.4)</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EFFE7"/>
          </w:tcPr>
          <w:p>
            <w:pPr>
              <w:ind w:left="120"/>
              <w:spacing w:after="0"/>
              <w:rPr>
                <w:sz w:val="20"/>
                <w:szCs w:val="20"/>
                <w:color w:val="auto"/>
              </w:rPr>
            </w:pPr>
            <w:r>
              <w:rPr>
                <w:rFonts w:ascii="Arial" w:cs="Arial" w:eastAsia="Arial" w:hAnsi="Arial"/>
                <w:sz w:val="18"/>
                <w:szCs w:val="18"/>
                <w:color w:val="auto"/>
              </w:rPr>
              <w:t>Financing activities</w:t>
            </w:r>
          </w:p>
        </w:tc>
        <w:tc>
          <w:tcPr>
            <w:tcW w:w="4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62.8</w:t>
            </w:r>
          </w:p>
        </w:tc>
        <w:tc>
          <w:tcPr>
            <w:tcW w:w="34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EFFE7"/>
          </w:tcPr>
          <w:p>
            <w:pPr>
              <w:jc w:val="center"/>
              <w:ind w:left="350"/>
              <w:spacing w:after="0"/>
              <w:rPr>
                <w:sz w:val="20"/>
                <w:szCs w:val="20"/>
                <w:color w:val="auto"/>
              </w:rPr>
            </w:pPr>
            <w:r>
              <w:rPr>
                <w:rFonts w:ascii="Arial" w:cs="Arial" w:eastAsia="Arial" w:hAnsi="Arial"/>
                <w:sz w:val="18"/>
                <w:szCs w:val="18"/>
                <w:color w:val="auto"/>
                <w:w w:val="91"/>
              </w:rPr>
              <w:t>49.2</w:t>
            </w:r>
          </w:p>
        </w:tc>
      </w:tr>
      <w:tr>
        <w:trPr>
          <w:trHeight w:val="27"/>
        </w:trPr>
        <w:tc>
          <w:tcPr>
            <w:tcW w:w="20" w:type="dxa"/>
            <w:vAlign w:val="bottom"/>
          </w:tcPr>
          <w:p>
            <w:pPr>
              <w:spacing w:after="0"/>
              <w:rPr>
                <w:sz w:val="2"/>
                <w:szCs w:val="2"/>
                <w:color w:val="auto"/>
              </w:rPr>
            </w:pPr>
          </w:p>
        </w:tc>
        <w:tc>
          <w:tcPr>
            <w:tcW w:w="7080" w:type="dxa"/>
            <w:vAlign w:val="bottom"/>
            <w:shd w:val="clear" w:color="auto" w:fill="CEFFE7"/>
          </w:tcPr>
          <w:p>
            <w:pPr>
              <w:spacing w:after="0"/>
              <w:rPr>
                <w:sz w:val="2"/>
                <w:szCs w:val="2"/>
                <w:color w:val="auto"/>
              </w:rPr>
            </w:pPr>
          </w:p>
        </w:tc>
        <w:tc>
          <w:tcPr>
            <w:tcW w:w="480" w:type="dxa"/>
            <w:vAlign w:val="bottom"/>
            <w:shd w:val="clear" w:color="auto" w:fill="CEFFE7"/>
          </w:tcPr>
          <w:p>
            <w:pPr>
              <w:spacing w:after="0"/>
              <w:rPr>
                <w:sz w:val="2"/>
                <w:szCs w:val="2"/>
                <w:color w:val="auto"/>
              </w:rPr>
            </w:pPr>
          </w:p>
        </w:tc>
        <w:tc>
          <w:tcPr>
            <w:tcW w:w="960" w:type="dxa"/>
            <w:vAlign w:val="bottom"/>
            <w:shd w:val="clear" w:color="auto" w:fill="CEFFE7"/>
          </w:tcPr>
          <w:p>
            <w:pPr>
              <w:spacing w:after="0"/>
              <w:rPr>
                <w:sz w:val="2"/>
                <w:szCs w:val="2"/>
                <w:color w:val="auto"/>
              </w:rPr>
            </w:pPr>
          </w:p>
        </w:tc>
        <w:tc>
          <w:tcPr>
            <w:tcW w:w="340" w:type="dxa"/>
            <w:vAlign w:val="bottom"/>
            <w:shd w:val="clear" w:color="auto" w:fill="CEFFE7"/>
          </w:tcPr>
          <w:p>
            <w:pPr>
              <w:spacing w:after="0"/>
              <w:rPr>
                <w:sz w:val="2"/>
                <w:szCs w:val="2"/>
                <w:color w:val="auto"/>
              </w:rPr>
            </w:pPr>
          </w:p>
        </w:tc>
        <w:tc>
          <w:tcPr>
            <w:tcW w:w="980" w:type="dxa"/>
            <w:vAlign w:val="bottom"/>
            <w:shd w:val="clear" w:color="auto" w:fill="CEFFE7"/>
          </w:tcPr>
          <w:p>
            <w:pPr>
              <w:spacing w:after="0"/>
              <w:rPr>
                <w:sz w:val="2"/>
                <w:szCs w:val="2"/>
                <w:color w:val="auto"/>
              </w:rPr>
            </w:pPr>
          </w:p>
        </w:tc>
        <w:tc>
          <w:tcPr>
            <w:tcW w:w="280" w:type="dxa"/>
            <w:vAlign w:val="bottom"/>
            <w:shd w:val="clear" w:color="auto" w:fill="CEFFE7"/>
          </w:tcPr>
          <w:p>
            <w:pPr>
              <w:spacing w:after="0"/>
              <w:rPr>
                <w:sz w:val="2"/>
                <w:szCs w:val="2"/>
                <w:color w:val="auto"/>
              </w:rPr>
            </w:pPr>
          </w:p>
        </w:tc>
        <w:tc>
          <w:tcPr>
            <w:tcW w:w="1080" w:type="dxa"/>
            <w:vAlign w:val="bottom"/>
            <w:shd w:val="clear" w:color="auto" w:fill="CEFFE7"/>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2020 Compared to Year-to-Date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provided by operating activities was $309 million for the six months ended June 30, 2020, compared to net cash provided by operating activities of $290 million for the same period in 2019, for an increase of $19 million. The variance was primarily attributable to:</w:t>
      </w:r>
    </w:p>
    <w:p>
      <w:pPr>
        <w:spacing w:after="0" w:line="197" w:lineRule="exact"/>
        <w:rPr>
          <w:sz w:val="20"/>
          <w:szCs w:val="20"/>
          <w:color w:val="auto"/>
        </w:rPr>
      </w:pPr>
    </w:p>
    <w:p>
      <w:pPr>
        <w:ind w:left="660" w:right="3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earnings (net income plus non-cash adjustments) were $7.3 million higher for the six months ended June 30, 2020 compared to the same period in the prior year primarily driven by higher operating income at the Gas Utilities segment;</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cash inflows from changes in operating assets and liabilities were $26 million for the six months ended June 30, 2020, compared to net cash inflows of $14 million in the same period in the prior year. This $12 million increase was primarily due to:</w:t>
      </w:r>
    </w:p>
    <w:p>
      <w:pPr>
        <w:spacing w:after="0" w:line="197" w:lineRule="exact"/>
        <w:rPr>
          <w:rFonts w:ascii="Arial" w:cs="Arial" w:eastAsia="Arial" w:hAnsi="Arial"/>
          <w:sz w:val="18"/>
          <w:szCs w:val="18"/>
          <w:color w:val="auto"/>
        </w:rPr>
      </w:pPr>
    </w:p>
    <w:p>
      <w:pPr>
        <w:ind w:left="1140" w:right="500" w:hanging="322"/>
        <w:spacing w:after="0" w:line="277" w:lineRule="auto"/>
        <w:tabs>
          <w:tab w:leader="none" w:pos="1136"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Cash inflows decreased by $34 million primarily as a result of changes in accounts receivable driven by lower commodity prices and increased materials and supplies purchases;</w:t>
      </w:r>
    </w:p>
    <w:p>
      <w:pPr>
        <w:spacing w:after="0" w:line="197" w:lineRule="exact"/>
        <w:rPr>
          <w:rFonts w:ascii="Arial" w:cs="Arial" w:eastAsia="Arial" w:hAnsi="Arial"/>
          <w:sz w:val="18"/>
          <w:szCs w:val="18"/>
          <w:color w:val="auto"/>
        </w:rPr>
      </w:pPr>
    </w:p>
    <w:p>
      <w:pPr>
        <w:ind w:left="1140" w:right="340" w:hanging="322"/>
        <w:spacing w:after="0" w:line="308" w:lineRule="auto"/>
        <w:tabs>
          <w:tab w:leader="none" w:pos="1136" w:val="left"/>
        </w:tabs>
        <w:numPr>
          <w:ilvl w:val="1"/>
          <w:numId w:val="27"/>
        </w:numPr>
        <w:rPr>
          <w:rFonts w:ascii="Arial" w:cs="Arial" w:eastAsia="Arial" w:hAnsi="Arial"/>
          <w:sz w:val="17"/>
          <w:szCs w:val="17"/>
          <w:color w:val="auto"/>
        </w:rPr>
      </w:pPr>
      <w:r>
        <w:rPr>
          <w:rFonts w:ascii="Arial" w:cs="Arial" w:eastAsia="Arial" w:hAnsi="Arial"/>
          <w:sz w:val="17"/>
          <w:szCs w:val="17"/>
          <w:color w:val="auto"/>
        </w:rPr>
        <w:t>Cash outflows decreased by $44 million as a result of changes in accounts payable and accrued liabilities driven by the impact of lower commodity prices, lower employee costs, lower outside services expenses and other working capital requirements;</w:t>
      </w:r>
    </w:p>
    <w:p>
      <w:pPr>
        <w:spacing w:after="0" w:line="173" w:lineRule="exact"/>
        <w:rPr>
          <w:rFonts w:ascii="Arial" w:cs="Arial" w:eastAsia="Arial" w:hAnsi="Arial"/>
          <w:sz w:val="17"/>
          <w:szCs w:val="17"/>
          <w:color w:val="auto"/>
        </w:rPr>
      </w:pPr>
    </w:p>
    <w:p>
      <w:pPr>
        <w:ind w:left="1140" w:right="160" w:hanging="322"/>
        <w:spacing w:after="0" w:line="277" w:lineRule="auto"/>
        <w:tabs>
          <w:tab w:leader="none" w:pos="1136"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Cash inflows increased by $12 million primarily as a result of changes in our regulatory assets and liabilities driven by timing of recovery from fuel costs adjustments and the TCJA tax rate change that was returned to customers in the prior year; and</w:t>
      </w:r>
    </w:p>
    <w:p>
      <w:pPr>
        <w:spacing w:after="0" w:line="197" w:lineRule="exact"/>
        <w:rPr>
          <w:rFonts w:ascii="Arial" w:cs="Arial" w:eastAsia="Arial" w:hAnsi="Arial"/>
          <w:sz w:val="18"/>
          <w:szCs w:val="18"/>
          <w:color w:val="auto"/>
        </w:rPr>
      </w:pPr>
    </w:p>
    <w:p>
      <w:pPr>
        <w:ind w:left="1140" w:hanging="322"/>
        <w:spacing w:after="0"/>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Cash outflows increased by $13 million due to the timing of pension contributions made in the current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cash used in investing activities was $350 million for the six months ended June 30, 2020, compared to net cash used in investing activities of $317 million for the same period in 2019, for a variance of $32 million. The variance was primarily attributable to:</w:t>
      </w:r>
    </w:p>
    <w:p>
      <w:pPr>
        <w:spacing w:after="0" w:line="197" w:lineRule="exact"/>
        <w:rPr>
          <w:sz w:val="20"/>
          <w:szCs w:val="20"/>
          <w:color w:val="auto"/>
        </w:rPr>
      </w:pPr>
    </w:p>
    <w:p>
      <w:pPr>
        <w:ind w:left="660" w:right="28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expenditures of $348 million for the six months ended June 30, 2020 compared to $318 million for the same period in the prior year. Higher current year expenditures were driven by higher programmatic safety, reliability and integrity spending at our Gas Utilities and Electric Utilities segments and the Corriedale wind project at our Electric Utilities segment.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2020 was $63 million, compared to $14 million of net cash provided by financing activities for the same period in 2019, an increase of $49 million primarily due to the following:</w:t>
      </w:r>
    </w:p>
    <w:p>
      <w:pPr>
        <w:spacing w:after="0" w:line="19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dividends on common stock of $66 million were paid in the current year compared to $61 million paid in the prior year;</w:t>
      </w:r>
    </w:p>
    <w:p>
      <w:pPr>
        <w:spacing w:after="0" w:line="25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of $28 million in common stock issued due primarily to current year net proceeds of $99 million through an underwritten registered transaction partially offset by prior year net proceeds of $69 million through our ATM;</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$266 million of higher repayments of short-term debt;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of $297 million in net proceeds due to issuances of long-term debt in excess of maturities; and</w:t>
      </w:r>
    </w:p>
    <w:p>
      <w:pPr>
        <w:spacing w:after="0" w:line="252"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outflows for other financing activities increased $4.5 million driven primarily by current year financing costs in the June 17, 2020 debt offering.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Dividends paid on our common stock totaled $66 million for the six months ended June 30, 2020, or $0.535 per share per quarter. On July 27, 2020, our board of directors declared a quarterly dividend of $0.535 per share payable September 1, 2020, equivalent to an annual dividend of $2.14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 and Short-Term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CP Program had the following borrowings, outstanding letters of credit, and available capacity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center"/>
              <w:ind w:right="310"/>
              <w:spacing w:after="0"/>
              <w:rPr>
                <w:sz w:val="20"/>
                <w:szCs w:val="20"/>
                <w:color w:val="auto"/>
              </w:rPr>
            </w:pPr>
            <w:r>
              <w:rPr>
                <w:rFonts w:ascii="Arial" w:cs="Arial" w:eastAsia="Arial" w:hAnsi="Arial"/>
                <w:sz w:val="18"/>
                <w:szCs w:val="18"/>
                <w:color w:val="auto"/>
                <w:w w:val="92"/>
              </w:rPr>
              <w:t>Revolver</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0"/>
              </w:rPr>
              <w:t>CP Program</w:t>
            </w:r>
          </w:p>
        </w:tc>
        <w:tc>
          <w:tcPr>
            <w:tcW w:w="16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3"/>
              </w:rPr>
              <w:t>Available Capacity</w:t>
            </w:r>
          </w:p>
        </w:tc>
      </w:tr>
      <w:tr>
        <w:trPr>
          <w:trHeight w:val="270"/>
        </w:trPr>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9"/>
              </w:rPr>
              <w:t>Current</w:t>
            </w:r>
          </w:p>
        </w:tc>
        <w:tc>
          <w:tcPr>
            <w:tcW w:w="260" w:type="dxa"/>
            <w:vAlign w:val="bottom"/>
          </w:tcPr>
          <w:p>
            <w:pPr>
              <w:spacing w:after="0"/>
              <w:rPr>
                <w:sz w:val="23"/>
                <w:szCs w:val="23"/>
                <w:color w:val="auto"/>
              </w:rPr>
            </w:pPr>
          </w:p>
        </w:tc>
        <w:tc>
          <w:tcPr>
            <w:tcW w:w="1580" w:type="dxa"/>
            <w:vAlign w:val="bottom"/>
          </w:tcPr>
          <w:p>
            <w:pPr>
              <w:jc w:val="center"/>
              <w:ind w:right="310"/>
              <w:spacing w:after="0"/>
              <w:rPr>
                <w:sz w:val="20"/>
                <w:szCs w:val="20"/>
                <w:color w:val="auto"/>
              </w:rPr>
            </w:pPr>
            <w:r>
              <w:rPr>
                <w:rFonts w:ascii="Arial" w:cs="Arial" w:eastAsia="Arial" w:hAnsi="Arial"/>
                <w:sz w:val="18"/>
                <w:szCs w:val="18"/>
                <w:color w:val="auto"/>
                <w:w w:val="92"/>
              </w:rPr>
              <w:t>Borrowings at</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2"/>
              </w:rPr>
              <w:t>Borrowings at</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 xml:space="preserve">Letters of Credit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at</w:t>
            </w:r>
          </w:p>
        </w:tc>
        <w:tc>
          <w:tcPr>
            <w:tcW w:w="260" w:type="dxa"/>
            <w:vAlign w:val="bottom"/>
          </w:tcPr>
          <w:p>
            <w:pPr>
              <w:spacing w:after="0"/>
              <w:rPr>
                <w:sz w:val="23"/>
                <w:szCs w:val="23"/>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92"/>
              </w:rPr>
              <w:t>at</w:t>
            </w: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2"/>
              </w:rPr>
              <w:t>Expiration</w:t>
            </w:r>
          </w:p>
        </w:tc>
        <w:tc>
          <w:tcPr>
            <w:tcW w:w="3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1"/>
              </w:rPr>
              <w:t>Capacity</w:t>
            </w:r>
          </w:p>
        </w:tc>
        <w:tc>
          <w:tcPr>
            <w:tcW w:w="260" w:type="dxa"/>
            <w:vAlign w:val="bottom"/>
          </w:tcPr>
          <w:p>
            <w:pPr>
              <w:spacing w:after="0"/>
              <w:rPr>
                <w:sz w:val="20"/>
                <w:szCs w:val="20"/>
                <w:color w:val="auto"/>
              </w:rPr>
            </w:pPr>
          </w:p>
        </w:tc>
        <w:tc>
          <w:tcPr>
            <w:tcW w:w="1580" w:type="dxa"/>
            <w:vAlign w:val="bottom"/>
          </w:tcPr>
          <w:p>
            <w:pPr>
              <w:jc w:val="center"/>
              <w:ind w:right="310"/>
              <w:spacing w:after="0"/>
              <w:rPr>
                <w:sz w:val="20"/>
                <w:szCs w:val="20"/>
                <w:color w:val="auto"/>
              </w:rPr>
            </w:pPr>
            <w:r>
              <w:rPr>
                <w:rFonts w:ascii="Arial" w:cs="Arial" w:eastAsia="Arial" w:hAnsi="Arial"/>
                <w:sz w:val="18"/>
                <w:szCs w:val="18"/>
                <w:color w:val="auto"/>
                <w:w w:val="89"/>
              </w:rPr>
              <w:t>June 30, 2020</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89"/>
              </w:rPr>
              <w:t>June 30, 2020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June 30, 2020</w:t>
            </w:r>
          </w:p>
        </w:tc>
        <w:tc>
          <w:tcPr>
            <w:tcW w:w="26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89"/>
              </w:rPr>
              <w:t>June 30, 2020</w:t>
            </w:r>
          </w:p>
        </w:tc>
      </w:tr>
      <w:tr>
        <w:trPr>
          <w:trHeight w:val="27"/>
        </w:trPr>
        <w:tc>
          <w:tcPr>
            <w:tcW w:w="2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2120" w:type="dxa"/>
            <w:vAlign w:val="bottom"/>
            <w:shd w:val="clear" w:color="auto" w:fill="CEFFE7"/>
          </w:tcPr>
          <w:p>
            <w:pPr>
              <w:ind w:left="20"/>
              <w:spacing w:after="0"/>
              <w:rPr>
                <w:sz w:val="20"/>
                <w:szCs w:val="20"/>
                <w:color w:val="auto"/>
              </w:rPr>
            </w:pPr>
            <w:r>
              <w:rPr>
                <w:rFonts w:ascii="Arial" w:cs="Arial" w:eastAsia="Arial" w:hAnsi="Arial"/>
                <w:sz w:val="18"/>
                <w:szCs w:val="18"/>
                <w:color w:val="auto"/>
              </w:rPr>
              <w:t>Revolving Credit Facility</w:t>
            </w:r>
          </w:p>
        </w:tc>
        <w:tc>
          <w:tcPr>
            <w:tcW w:w="138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500" w:type="dxa"/>
            <w:vAlign w:val="bottom"/>
            <w:shd w:val="clear" w:color="auto" w:fill="CEFFE7"/>
          </w:tcPr>
          <w:p>
            <w:pPr>
              <w:spacing w:after="0"/>
              <w:rPr>
                <w:sz w:val="19"/>
                <w:szCs w:val="19"/>
                <w:color w:val="auto"/>
              </w:rPr>
            </w:pPr>
          </w:p>
        </w:tc>
        <w:tc>
          <w:tcPr>
            <w:tcW w:w="16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r>
      <w:tr>
        <w:trPr>
          <w:trHeight w:val="230"/>
        </w:trPr>
        <w:tc>
          <w:tcPr>
            <w:tcW w:w="2120" w:type="dxa"/>
            <w:vAlign w:val="bottom"/>
            <w:shd w:val="clear" w:color="auto" w:fill="CEFFE7"/>
          </w:tcPr>
          <w:p>
            <w:pPr>
              <w:ind w:left="20"/>
              <w:spacing w:after="0"/>
              <w:rPr>
                <w:sz w:val="20"/>
                <w:szCs w:val="20"/>
                <w:color w:val="auto"/>
              </w:rPr>
            </w:pPr>
            <w:r>
              <w:rPr>
                <w:rFonts w:ascii="Arial" w:cs="Arial" w:eastAsia="Arial" w:hAnsi="Arial"/>
                <w:sz w:val="18"/>
                <w:szCs w:val="18"/>
                <w:color w:val="auto"/>
              </w:rPr>
              <w:t>and CP Program</w:t>
            </w:r>
          </w:p>
        </w:tc>
        <w:tc>
          <w:tcPr>
            <w:tcW w:w="1380" w:type="dxa"/>
            <w:vAlign w:val="bottom"/>
            <w:shd w:val="clear" w:color="auto" w:fill="CEFFE7"/>
          </w:tcPr>
          <w:p>
            <w:pPr>
              <w:jc w:val="center"/>
              <w:ind w:left="30"/>
              <w:spacing w:after="0"/>
              <w:rPr>
                <w:sz w:val="20"/>
                <w:szCs w:val="20"/>
                <w:color w:val="auto"/>
              </w:rPr>
            </w:pPr>
            <w:r>
              <w:rPr>
                <w:rFonts w:ascii="Arial" w:cs="Arial" w:eastAsia="Arial" w:hAnsi="Arial"/>
                <w:sz w:val="18"/>
                <w:szCs w:val="18"/>
                <w:color w:val="auto"/>
                <w:w w:val="91"/>
              </w:rPr>
              <w:t>July 30, 2023</w:t>
            </w:r>
          </w:p>
        </w:tc>
        <w:tc>
          <w:tcPr>
            <w:tcW w:w="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EFFE7"/>
          </w:tcPr>
          <w:p>
            <w:pPr>
              <w:ind w:left="1040"/>
              <w:spacing w:after="0"/>
              <w:rPr>
                <w:sz w:val="20"/>
                <w:szCs w:val="20"/>
                <w:color w:val="auto"/>
              </w:rPr>
            </w:pPr>
            <w:r>
              <w:rPr>
                <w:rFonts w:ascii="Arial" w:cs="Arial" w:eastAsia="Arial" w:hAnsi="Arial"/>
                <w:sz w:val="18"/>
                <w:szCs w:val="18"/>
                <w:color w:val="auto"/>
              </w:rPr>
              <w:t>—  $</w:t>
            </w:r>
          </w:p>
        </w:tc>
        <w:tc>
          <w:tcPr>
            <w:tcW w:w="1500" w:type="dxa"/>
            <w:vAlign w:val="bottom"/>
            <w:shd w:val="clear" w:color="auto" w:fill="CEFFE7"/>
          </w:tcPr>
          <w:p>
            <w:pPr>
              <w:ind w:left="1040"/>
              <w:spacing w:after="0"/>
              <w:rPr>
                <w:sz w:val="20"/>
                <w:szCs w:val="20"/>
                <w:color w:val="auto"/>
              </w:rPr>
            </w:pPr>
            <w:r>
              <w:rPr>
                <w:rFonts w:ascii="Arial" w:cs="Arial" w:eastAsia="Arial" w:hAnsi="Arial"/>
                <w:sz w:val="18"/>
                <w:szCs w:val="18"/>
                <w:color w:val="auto"/>
              </w:rPr>
              <w:t>—  $</w:t>
            </w:r>
          </w:p>
        </w:tc>
        <w:tc>
          <w:tcPr>
            <w:tcW w:w="16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738</w:t>
            </w:r>
          </w:p>
        </w:tc>
      </w:tr>
      <w:tr>
        <w:trPr>
          <w:trHeight w:val="27"/>
        </w:trPr>
        <w:tc>
          <w:tcPr>
            <w:tcW w:w="212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c>
          <w:tcPr>
            <w:tcW w:w="300" w:type="dxa"/>
            <w:vAlign w:val="bottom"/>
            <w:shd w:val="clear" w:color="auto" w:fill="CEFFE7"/>
          </w:tcPr>
          <w:p>
            <w:pPr>
              <w:spacing w:after="0"/>
              <w:rPr>
                <w:sz w:val="2"/>
                <w:szCs w:val="2"/>
                <w:color w:val="auto"/>
              </w:rPr>
            </w:pPr>
          </w:p>
        </w:tc>
        <w:tc>
          <w:tcPr>
            <w:tcW w:w="86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c>
          <w:tcPr>
            <w:tcW w:w="1500" w:type="dxa"/>
            <w:vAlign w:val="bottom"/>
            <w:shd w:val="clear" w:color="auto" w:fill="CEFFE7"/>
          </w:tcPr>
          <w:p>
            <w:pPr>
              <w:spacing w:after="0"/>
              <w:rPr>
                <w:sz w:val="2"/>
                <w:szCs w:val="2"/>
                <w:color w:val="auto"/>
              </w:rPr>
            </w:pPr>
          </w:p>
        </w:tc>
        <w:tc>
          <w:tcPr>
            <w:tcW w:w="160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right="2480" w:firstLine="8"/>
        <w:spacing w:after="0" w:line="257" w:lineRule="auto"/>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Letters of credit are off-balance sheet commitments that reduce the borrowing capacity available on our corporate Revolving Credit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and CP Program borrowing activity for the six months ended June 30, 2020 was (dollars in millions):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w w:val="92"/>
              </w:rPr>
              <w:t>For the Six Months Ended</w:t>
            </w:r>
          </w:p>
        </w:tc>
        <w:tc>
          <w:tcPr>
            <w:tcW w:w="180" w:type="dxa"/>
            <w:vAlign w:val="bottom"/>
          </w:tcPr>
          <w:p>
            <w:pPr>
              <w:spacing w:after="0"/>
              <w:rPr>
                <w:sz w:val="18"/>
                <w:szCs w:val="18"/>
                <w:color w:val="auto"/>
              </w:rPr>
            </w:pPr>
          </w:p>
        </w:tc>
      </w:tr>
      <w:tr>
        <w:trPr>
          <w:trHeight w:val="230"/>
        </w:trPr>
        <w:tc>
          <w:tcPr>
            <w:tcW w:w="7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40" w:type="dxa"/>
            <w:vAlign w:val="bottom"/>
          </w:tcPr>
          <w:p>
            <w:pPr>
              <w:jc w:val="right"/>
              <w:ind w:right="370"/>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9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Maximum amount outstanding - Revolving Credit Facility (based on daily outstanding balances)</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bottom w:val="single" w:sz="8" w:color="CEFFE7"/>
            </w:tcBorders>
            <w:shd w:val="clear" w:color="auto" w:fill="CEFFE7"/>
          </w:tcPr>
          <w:p>
            <w:pPr>
              <w:spacing w:after="0"/>
              <w:rPr>
                <w:sz w:val="21"/>
                <w:szCs w:val="21"/>
                <w:color w:val="auto"/>
              </w:rPr>
            </w:pPr>
          </w:p>
        </w:tc>
      </w:tr>
      <w:tr>
        <w:trPr>
          <w:trHeight w:val="243"/>
        </w:trPr>
        <w:tc>
          <w:tcPr>
            <w:tcW w:w="7980" w:type="dxa"/>
            <w:vAlign w:val="bottom"/>
          </w:tcPr>
          <w:p>
            <w:pPr>
              <w:ind w:left="60"/>
              <w:spacing w:after="0"/>
              <w:rPr>
                <w:sz w:val="20"/>
                <w:szCs w:val="20"/>
                <w:color w:val="auto"/>
              </w:rPr>
            </w:pPr>
            <w:r>
              <w:rPr>
                <w:rFonts w:ascii="Arial" w:cs="Arial" w:eastAsia="Arial" w:hAnsi="Arial"/>
                <w:sz w:val="18"/>
                <w:szCs w:val="18"/>
                <w:color w:val="auto"/>
              </w:rPr>
              <w:t>Maximum amount outstanding - CP Program (based on daily outstanding balances)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9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Average amount outstanding - Revolving Credit Facility (based on daily outstanding balances)</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CEFFE7"/>
            </w:tcBorders>
            <w:shd w:val="clear" w:color="auto" w:fill="CEFFE7"/>
          </w:tcPr>
          <w:p>
            <w:pPr>
              <w:spacing w:after="0"/>
              <w:rPr>
                <w:sz w:val="21"/>
                <w:szCs w:val="21"/>
                <w:color w:val="auto"/>
              </w:rPr>
            </w:pPr>
          </w:p>
        </w:tc>
      </w:tr>
      <w:tr>
        <w:trPr>
          <w:trHeight w:val="243"/>
        </w:trPr>
        <w:tc>
          <w:tcPr>
            <w:tcW w:w="7980" w:type="dxa"/>
            <w:vAlign w:val="bottom"/>
          </w:tcPr>
          <w:p>
            <w:pPr>
              <w:ind w:left="60"/>
              <w:spacing w:after="0"/>
              <w:rPr>
                <w:sz w:val="20"/>
                <w:szCs w:val="20"/>
                <w:color w:val="auto"/>
              </w:rPr>
            </w:pPr>
            <w:r>
              <w:rPr>
                <w:rFonts w:ascii="Arial" w:cs="Arial" w:eastAsia="Arial" w:hAnsi="Arial"/>
                <w:sz w:val="18"/>
                <w:szCs w:val="18"/>
                <w:color w:val="auto"/>
              </w:rPr>
              <w:t>Average amount outstanding - CP Program (based on daily outstanding balances)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9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Weighted average interest rates - Revolving Credit Facility</w:t>
            </w:r>
          </w:p>
        </w:tc>
        <w:tc>
          <w:tcPr>
            <w:tcW w:w="108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7980" w:type="dxa"/>
            <w:vAlign w:val="bottom"/>
          </w:tcPr>
          <w:p>
            <w:pPr>
              <w:ind w:left="60"/>
              <w:spacing w:after="0"/>
              <w:rPr>
                <w:sz w:val="20"/>
                <w:szCs w:val="20"/>
                <w:color w:val="auto"/>
              </w:rPr>
            </w:pPr>
            <w:r>
              <w:rPr>
                <w:rFonts w:ascii="Arial" w:cs="Arial" w:eastAsia="Arial" w:hAnsi="Arial"/>
                <w:sz w:val="18"/>
                <w:szCs w:val="18"/>
                <w:color w:val="auto"/>
              </w:rPr>
              <w:t>Weighted average interest rates - CP Program</w:t>
            </w:r>
          </w:p>
        </w:tc>
        <w:tc>
          <w:tcPr>
            <w:tcW w:w="10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6" w:name="page57"/>
    <w:bookmarkEnd w:id="5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Covenant Requirements</w:t>
      </w:r>
    </w:p>
    <w:p>
      <w:pPr>
        <w:spacing w:after="0" w:line="252" w:lineRule="exact"/>
        <w:rPr>
          <w:sz w:val="20"/>
          <w:szCs w:val="20"/>
          <w:color w:val="auto"/>
        </w:rPr>
      </w:pPr>
    </w:p>
    <w:p>
      <w:pPr>
        <w:ind w:right="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Revolving Credit Facility contains customary affirmative and negative covenants, such as limitations on certain liens, restrictions on certain transactions, and maintenance of a certain Consolidated Indebtedness to Capitalization Ratio.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June 30, 2020. See </w:t>
      </w:r>
      <w:hyperlink w:anchor="page23">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for more information.</w:t>
      </w:r>
    </w:p>
    <w:p>
      <w:pPr>
        <w:spacing w:after="0" w:line="21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Covenants within Wyoming Electric’s financing agreements require Wyoming Electric to maintain a debt to capitalization ratio of no more than 0.60 to 1.00. As of June 30, 2020, we were in compliance with these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52" w:lineRule="exact"/>
        <w:rPr>
          <w:sz w:val="20"/>
          <w:szCs w:val="20"/>
          <w:color w:val="auto"/>
        </w:rPr>
      </w:pPr>
    </w:p>
    <w:p>
      <w:pPr>
        <w:ind w:right="4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Notes </w:t>
      </w:r>
      <w:hyperlink w:anchor="page23">
        <w:r>
          <w:rPr>
            <w:rFonts w:ascii="Arial" w:cs="Arial" w:eastAsia="Arial" w:hAnsi="Arial"/>
            <w:sz w:val="18"/>
            <w:szCs w:val="18"/>
            <w:u w:val="single" w:color="auto"/>
            <w:color w:val="0000FF"/>
          </w:rPr>
          <w:t>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4">
        <w:r>
          <w:rPr>
            <w:rFonts w:ascii="Arial" w:cs="Arial" w:eastAsia="Arial" w:hAnsi="Arial"/>
            <w:sz w:val="18"/>
            <w:szCs w:val="18"/>
            <w:u w:val="single" w:color="auto"/>
            <w:color w:val="0000FF"/>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for information concerning significant financing activities for the six months ended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Financing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assess debt and equity needs to support our capital expenditure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assessing the current operating performance, liquidity and the credit ratings of the Company, management believes that the Company will have access to the capital markets at prevailing market rates for companies with comparable credit ratings.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w w:val="97"/>
              </w:rPr>
              <w:t>The following table represents the credit ratings and outlook and risk profile of BHC at June 30, 2020:</w:t>
            </w:r>
          </w:p>
        </w:tc>
        <w:tc>
          <w:tcPr>
            <w:tcW w:w="2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46"/>
        </w:trPr>
        <w:tc>
          <w:tcPr>
            <w:tcW w:w="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1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Senior Unsecured</w:t>
            </w:r>
          </w:p>
        </w:tc>
        <w:tc>
          <w:tcPr>
            <w:tcW w:w="12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Rating Agency</w:t>
            </w:r>
          </w:p>
        </w:tc>
        <w:tc>
          <w:tcPr>
            <w:tcW w:w="214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Rating</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Outlook</w:t>
            </w:r>
          </w:p>
        </w:tc>
      </w:tr>
      <w:tr>
        <w:trPr>
          <w:trHeight w:val="27"/>
        </w:trPr>
        <w:tc>
          <w:tcPr>
            <w:tcW w:w="40" w:type="dxa"/>
            <w:vAlign w:val="bottom"/>
          </w:tcPr>
          <w:p>
            <w:pPr>
              <w:spacing w:after="0"/>
              <w:rPr>
                <w:sz w:val="2"/>
                <w:szCs w:val="2"/>
                <w:color w:val="auto"/>
              </w:rPr>
            </w:pPr>
          </w:p>
        </w:tc>
        <w:tc>
          <w:tcPr>
            <w:tcW w:w="78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7800" w:type="dxa"/>
            <w:vAlign w:val="bottom"/>
            <w:shd w:val="clear" w:color="auto" w:fill="CEFFE7"/>
          </w:tcPr>
          <w:p>
            <w:pPr>
              <w:spacing w:after="0"/>
              <w:rPr>
                <w:sz w:val="20"/>
                <w:szCs w:val="20"/>
                <w:color w:val="auto"/>
              </w:rPr>
            </w:pPr>
            <w:r>
              <w:rPr>
                <w:rFonts w:ascii="Arial" w:cs="Arial" w:eastAsia="Arial" w:hAnsi="Arial"/>
                <w:sz w:val="18"/>
                <w:szCs w:val="18"/>
                <w:color w:val="auto"/>
              </w:rPr>
              <w:t xml:space="preserve">S&amp;P </w:t>
            </w:r>
            <w:r>
              <w:rPr>
                <w:rFonts w:ascii="Arial" w:cs="Arial" w:eastAsia="Arial" w:hAnsi="Arial"/>
                <w:sz w:val="23"/>
                <w:szCs w:val="23"/>
                <w:color w:val="auto"/>
                <w:vertAlign w:val="superscript"/>
              </w:rPr>
              <w:t>(a)</w:t>
            </w:r>
          </w:p>
        </w:tc>
        <w:tc>
          <w:tcPr>
            <w:tcW w:w="2140" w:type="dxa"/>
            <w:vAlign w:val="bottom"/>
            <w:shd w:val="clear" w:color="auto" w:fill="CEFFE7"/>
          </w:tcPr>
          <w:p>
            <w:pPr>
              <w:jc w:val="center"/>
              <w:ind w:left="70"/>
              <w:spacing w:after="0"/>
              <w:rPr>
                <w:sz w:val="20"/>
                <w:szCs w:val="20"/>
                <w:color w:val="auto"/>
              </w:rPr>
            </w:pPr>
            <w:r>
              <w:rPr>
                <w:rFonts w:ascii="Arial" w:cs="Arial" w:eastAsia="Arial" w:hAnsi="Arial"/>
                <w:sz w:val="18"/>
                <w:szCs w:val="18"/>
                <w:color w:val="auto"/>
                <w:w w:val="98"/>
              </w:rPr>
              <w:t>BBB+</w:t>
            </w:r>
          </w:p>
        </w:tc>
        <w:tc>
          <w:tcPr>
            <w:tcW w:w="1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Stable</w:t>
            </w:r>
          </w:p>
        </w:tc>
      </w:tr>
      <w:tr>
        <w:trPr>
          <w:trHeight w:val="270"/>
        </w:trPr>
        <w:tc>
          <w:tcPr>
            <w:tcW w:w="40" w:type="dxa"/>
            <w:vAlign w:val="bottom"/>
          </w:tcPr>
          <w:p>
            <w:pPr>
              <w:spacing w:after="0"/>
              <w:rPr>
                <w:sz w:val="23"/>
                <w:szCs w:val="23"/>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 xml:space="preserve">Moody’s </w:t>
            </w:r>
            <w:r>
              <w:rPr>
                <w:rFonts w:ascii="Arial" w:cs="Arial" w:eastAsia="Arial" w:hAnsi="Arial"/>
                <w:sz w:val="23"/>
                <w:szCs w:val="23"/>
                <w:color w:val="auto"/>
                <w:vertAlign w:val="superscript"/>
              </w:rPr>
              <w:t>(b)</w:t>
            </w:r>
          </w:p>
        </w:tc>
        <w:tc>
          <w:tcPr>
            <w:tcW w:w="2140" w:type="dxa"/>
            <w:vAlign w:val="bottom"/>
          </w:tcPr>
          <w:p>
            <w:pPr>
              <w:jc w:val="center"/>
              <w:ind w:left="70"/>
              <w:spacing w:after="0"/>
              <w:rPr>
                <w:sz w:val="20"/>
                <w:szCs w:val="20"/>
                <w:color w:val="auto"/>
              </w:rPr>
            </w:pPr>
            <w:r>
              <w:rPr>
                <w:rFonts w:ascii="Arial" w:cs="Arial" w:eastAsia="Arial" w:hAnsi="Arial"/>
                <w:sz w:val="18"/>
                <w:szCs w:val="18"/>
                <w:color w:val="auto"/>
                <w:w w:val="90"/>
              </w:rPr>
              <w:t>Baa2</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270"/>
        </w:trPr>
        <w:tc>
          <w:tcPr>
            <w:tcW w:w="40" w:type="dxa"/>
            <w:vAlign w:val="bottom"/>
          </w:tcPr>
          <w:p>
            <w:pPr>
              <w:spacing w:after="0"/>
              <w:rPr>
                <w:sz w:val="23"/>
                <w:szCs w:val="23"/>
                <w:color w:val="auto"/>
              </w:rPr>
            </w:pPr>
          </w:p>
        </w:tc>
        <w:tc>
          <w:tcPr>
            <w:tcW w:w="7800" w:type="dxa"/>
            <w:vAlign w:val="bottom"/>
            <w:shd w:val="clear" w:color="auto" w:fill="CEFFE7"/>
          </w:tcPr>
          <w:p>
            <w:pPr>
              <w:spacing w:after="0"/>
              <w:rPr>
                <w:sz w:val="20"/>
                <w:szCs w:val="20"/>
                <w:color w:val="auto"/>
              </w:rPr>
            </w:pPr>
            <w:r>
              <w:rPr>
                <w:rFonts w:ascii="Arial" w:cs="Arial" w:eastAsia="Arial" w:hAnsi="Arial"/>
                <w:sz w:val="18"/>
                <w:szCs w:val="18"/>
                <w:color w:val="auto"/>
              </w:rPr>
              <w:t xml:space="preserve">Fitch </w:t>
            </w:r>
            <w:r>
              <w:rPr>
                <w:rFonts w:ascii="Arial" w:cs="Arial" w:eastAsia="Arial" w:hAnsi="Arial"/>
                <w:sz w:val="23"/>
                <w:szCs w:val="23"/>
                <w:color w:val="auto"/>
                <w:vertAlign w:val="superscript"/>
              </w:rPr>
              <w:t>(c)</w:t>
            </w:r>
          </w:p>
        </w:tc>
        <w:tc>
          <w:tcPr>
            <w:tcW w:w="2140" w:type="dxa"/>
            <w:vAlign w:val="bottom"/>
            <w:shd w:val="clear" w:color="auto" w:fill="CEFFE7"/>
          </w:tcPr>
          <w:p>
            <w:pPr>
              <w:ind w:left="960"/>
              <w:spacing w:after="0"/>
              <w:rPr>
                <w:sz w:val="20"/>
                <w:szCs w:val="20"/>
                <w:color w:val="auto"/>
              </w:rPr>
            </w:pPr>
            <w:r>
              <w:rPr>
                <w:rFonts w:ascii="Arial" w:cs="Arial" w:eastAsia="Arial" w:hAnsi="Arial"/>
                <w:sz w:val="18"/>
                <w:szCs w:val="18"/>
                <w:color w:val="auto"/>
              </w:rPr>
              <w:t>BBB+</w:t>
            </w:r>
          </w:p>
        </w:tc>
        <w:tc>
          <w:tcPr>
            <w:tcW w:w="1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Stable</w:t>
            </w:r>
          </w:p>
        </w:tc>
      </w:tr>
      <w:tr>
        <w:trPr>
          <w:trHeight w:val="274"/>
        </w:trPr>
        <w:tc>
          <w:tcPr>
            <w:tcW w:w="7840" w:type="dxa"/>
            <w:vAlign w:val="bottom"/>
            <w:gridSpan w:val="2"/>
          </w:tcPr>
          <w:p>
            <w:pPr>
              <w:spacing w:after="0"/>
              <w:rPr>
                <w:sz w:val="20"/>
                <w:szCs w:val="20"/>
                <w:color w:val="auto"/>
              </w:rPr>
            </w:pPr>
            <w:r>
              <w:rPr>
                <w:rFonts w:ascii="Arial" w:cs="Arial" w:eastAsia="Arial" w:hAnsi="Arial"/>
                <w:sz w:val="16"/>
                <w:szCs w:val="16"/>
                <w:color w:val="auto"/>
              </w:rPr>
              <w:t>__________</w:t>
            </w:r>
          </w:p>
        </w:tc>
        <w:tc>
          <w:tcPr>
            <w:tcW w:w="21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89"/>
        </w:trPr>
        <w:tc>
          <w:tcPr>
            <w:tcW w:w="7840" w:type="dxa"/>
            <w:vAlign w:val="bottom"/>
            <w:gridSpan w:val="2"/>
          </w:tcPr>
          <w:p>
            <w:pPr>
              <w:spacing w:after="0"/>
              <w:rPr>
                <w:sz w:val="20"/>
                <w:szCs w:val="20"/>
                <w:color w:val="auto"/>
              </w:rPr>
            </w:pPr>
            <w:r>
              <w:rPr>
                <w:rFonts w:ascii="Arial" w:cs="Arial" w:eastAsia="Arial" w:hAnsi="Arial"/>
                <w:sz w:val="16"/>
                <w:szCs w:val="16"/>
                <w:color w:val="auto"/>
              </w:rPr>
              <w:t>(a) On April 10, 2020, S&amp;P affirmed our BBB+ rating and maintained a Stable outlook.</w:t>
            </w:r>
          </w:p>
        </w:tc>
        <w:tc>
          <w:tcPr>
            <w:tcW w:w="2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7840" w:type="dxa"/>
            <w:vAlign w:val="bottom"/>
            <w:gridSpan w:val="2"/>
          </w:tcPr>
          <w:p>
            <w:pPr>
              <w:spacing w:after="0"/>
              <w:rPr>
                <w:sz w:val="20"/>
                <w:szCs w:val="20"/>
                <w:color w:val="auto"/>
              </w:rPr>
            </w:pPr>
            <w:r>
              <w:rPr>
                <w:rFonts w:ascii="Arial" w:cs="Arial" w:eastAsia="Arial" w:hAnsi="Arial"/>
                <w:sz w:val="16"/>
                <w:szCs w:val="16"/>
                <w:color w:val="auto"/>
              </w:rPr>
              <w:t>(b) On December 20, 2019, Moody’s affirmed our Baa2 rating and maintained a Stable outlook.</w:t>
            </w:r>
          </w:p>
        </w:tc>
        <w:tc>
          <w:tcPr>
            <w:tcW w:w="2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7840" w:type="dxa"/>
            <w:vAlign w:val="bottom"/>
            <w:gridSpan w:val="2"/>
          </w:tcPr>
          <w:p>
            <w:pPr>
              <w:spacing w:after="0"/>
              <w:rPr>
                <w:sz w:val="20"/>
                <w:szCs w:val="20"/>
                <w:color w:val="auto"/>
              </w:rPr>
            </w:pPr>
            <w:r>
              <w:rPr>
                <w:rFonts w:ascii="Arial" w:cs="Arial" w:eastAsia="Arial" w:hAnsi="Arial"/>
                <w:sz w:val="16"/>
                <w:szCs w:val="16"/>
                <w:color w:val="auto"/>
              </w:rPr>
              <w:t>(c) On August 29, 2019, Fitch affirmed our BBB+ rating and maintained a Stable outlook.</w:t>
            </w: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2"/>
        </w:trPr>
        <w:tc>
          <w:tcPr>
            <w:tcW w:w="7840" w:type="dxa"/>
            <w:vAlign w:val="bottom"/>
            <w:gridSpan w:val="2"/>
          </w:tcPr>
          <w:p>
            <w:pPr>
              <w:spacing w:after="0"/>
              <w:rPr>
                <w:sz w:val="20"/>
                <w:szCs w:val="20"/>
                <w:color w:val="auto"/>
              </w:rPr>
            </w:pPr>
            <w:r>
              <w:rPr>
                <w:rFonts w:ascii="Arial" w:cs="Arial" w:eastAsia="Arial" w:hAnsi="Arial"/>
                <w:sz w:val="18"/>
                <w:szCs w:val="18"/>
                <w:color w:val="auto"/>
              </w:rPr>
              <w:t>The following table represents the credit ratings of South Dakota Electric at June 30, 2020:</w:t>
            </w:r>
          </w:p>
        </w:tc>
        <w:tc>
          <w:tcPr>
            <w:tcW w:w="2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17" w:lineRule="exact"/>
        <w:rPr>
          <w:sz w:val="20"/>
          <w:szCs w:val="20"/>
          <w:color w:val="auto"/>
        </w:rPr>
      </w:pPr>
    </w:p>
    <w:p>
      <w:pPr>
        <w:sectPr>
          <w:pgSz w:w="11900" w:h="16838" w:orient="portrait"/>
          <w:cols w:equalWidth="0" w:num="1">
            <w:col w:w="11240"/>
          </w:cols>
          <w:pgMar w:left="320" w:top="126" w:right="33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Rating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S&amp;P </w:t>
      </w:r>
      <w:r>
        <w:rPr>
          <w:rFonts w:ascii="Arial" w:cs="Arial" w:eastAsia="Arial" w:hAnsi="Arial"/>
          <w:sz w:val="23"/>
          <w:szCs w:val="23"/>
          <w:color w:val="auto"/>
          <w:vertAlign w:val="superscript"/>
        </w:rPr>
        <w:t>(a)</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Moody’s </w:t>
      </w:r>
      <w:r>
        <w:rPr>
          <w:rFonts w:ascii="Arial" w:cs="Arial" w:eastAsia="Arial" w:hAnsi="Arial"/>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-31115</wp:posOffset>
            </wp:positionV>
            <wp:extent cx="71151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 xml:space="preserve">Fitch </w:t>
      </w:r>
      <w:r>
        <w:rPr>
          <w:rFonts w:ascii="Arial" w:cs="Arial" w:eastAsia="Arial" w:hAnsi="Arial"/>
          <w:sz w:val="23"/>
          <w:szCs w:val="23"/>
          <w:color w:val="auto"/>
          <w:vertAlign w:val="superscript"/>
        </w:rPr>
        <w:t>(c)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April 16, 2020, S&amp;P affirmed A rating.</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 December 20, 2019, Moody’s affirmed A1 rating.</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August 29, 2019, Fitch affirmed A rating.</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6"/>
          <w:szCs w:val="16"/>
          <w:b w:val="1"/>
          <w:bCs w:val="1"/>
          <w:color w:val="auto"/>
        </w:rPr>
        <w:t>Senior Secured Rating</w:t>
      </w:r>
    </w:p>
    <w:p>
      <w:pPr>
        <w:spacing w:after="0" w:line="10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w:t>
      </w:r>
    </w:p>
    <w:p>
      <w:pPr>
        <w:spacing w:after="0" w:line="6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A1</w:t>
      </w:r>
    </w:p>
    <w:p>
      <w:pPr>
        <w:spacing w:after="0" w:line="6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w:t>
      </w:r>
    </w:p>
    <w:p>
      <w:pPr>
        <w:spacing w:after="0" w:line="1099" w:lineRule="exact"/>
        <w:rPr>
          <w:sz w:val="20"/>
          <w:szCs w:val="20"/>
          <w:color w:val="auto"/>
        </w:rPr>
      </w:pPr>
    </w:p>
    <w:p>
      <w:pPr>
        <w:sectPr>
          <w:pgSz w:w="11900" w:h="16838" w:orient="portrait"/>
          <w:cols w:equalWidth="0" w:num="2">
            <w:col w:w="8660" w:space="720"/>
            <w:col w:w="1860"/>
          </w:cols>
          <w:pgMar w:left="320" w:top="126"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Capital Requirements</w:t>
            </w: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5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jc w:val="center"/>
              <w:ind w:right="330"/>
              <w:spacing w:after="0"/>
              <w:rPr>
                <w:sz w:val="20"/>
                <w:szCs w:val="20"/>
                <w:color w:val="auto"/>
              </w:rPr>
            </w:pPr>
            <w:r>
              <w:rPr>
                <w:rFonts w:ascii="Arial" w:cs="Arial" w:eastAsia="Arial" w:hAnsi="Arial"/>
                <w:sz w:val="18"/>
                <w:szCs w:val="18"/>
                <w:color w:val="auto"/>
                <w:w w:val="95"/>
              </w:rPr>
              <w:t>Actual</w:t>
            </w:r>
          </w:p>
        </w:tc>
        <w:tc>
          <w:tcPr>
            <w:tcW w:w="280" w:type="dxa"/>
            <w:vAlign w:val="bottom"/>
          </w:tcPr>
          <w:p>
            <w:pPr>
              <w:spacing w:after="0"/>
              <w:rPr>
                <w:sz w:val="24"/>
                <w:szCs w:val="24"/>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Planned</w:t>
            </w:r>
          </w:p>
        </w:tc>
        <w:tc>
          <w:tcPr>
            <w:tcW w:w="300" w:type="dxa"/>
            <w:vAlign w:val="bottom"/>
          </w:tcPr>
          <w:p>
            <w:pPr>
              <w:spacing w:after="0"/>
              <w:rPr>
                <w:sz w:val="24"/>
                <w:szCs w:val="24"/>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Planned</w:t>
            </w:r>
          </w:p>
        </w:tc>
        <w:tc>
          <w:tcPr>
            <w:tcW w:w="300" w:type="dxa"/>
            <w:vAlign w:val="bottom"/>
          </w:tcPr>
          <w:p>
            <w:pPr>
              <w:spacing w:after="0"/>
              <w:rPr>
                <w:sz w:val="24"/>
                <w:szCs w:val="24"/>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Planned</w:t>
            </w:r>
          </w:p>
        </w:tc>
        <w:tc>
          <w:tcPr>
            <w:tcW w:w="30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Planned</w:t>
            </w:r>
          </w:p>
        </w:tc>
        <w:tc>
          <w:tcPr>
            <w:tcW w:w="3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Planned</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00" w:type="dxa"/>
            <w:vAlign w:val="bottom"/>
            <w:gridSpan w:val="2"/>
            <w:vMerge w:val="restart"/>
          </w:tcPr>
          <w:p>
            <w:pPr>
              <w:ind w:left="20"/>
              <w:spacing w:after="0"/>
              <w:rPr>
                <w:sz w:val="20"/>
                <w:szCs w:val="20"/>
                <w:color w:val="auto"/>
              </w:rPr>
            </w:pPr>
            <w:r>
              <w:rPr>
                <w:rFonts w:ascii="Arial" w:cs="Arial" w:eastAsia="Arial" w:hAnsi="Arial"/>
                <w:sz w:val="18"/>
                <w:szCs w:val="18"/>
                <w:color w:val="auto"/>
                <w:w w:val="92"/>
              </w:rPr>
              <w:t>Capital Expenditures by Segment</w:t>
            </w:r>
          </w:p>
        </w:tc>
        <w:tc>
          <w:tcPr>
            <w:tcW w:w="210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9"/>
              </w:rPr>
              <w:t>Six Months Ended June 30,</w:t>
            </w:r>
          </w:p>
        </w:tc>
        <w:tc>
          <w:tcPr>
            <w:tcW w:w="280" w:type="dxa"/>
            <w:vAlign w:val="bottom"/>
          </w:tcPr>
          <w:p>
            <w:pPr>
              <w:spacing w:after="0"/>
              <w:rPr>
                <w:sz w:val="14"/>
                <w:szCs w:val="14"/>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23"/>
                <w:szCs w:val="23"/>
                <w:color w:val="auto"/>
                <w:vertAlign w:val="superscript"/>
              </w:rPr>
              <w:t>(b)</w:t>
            </w:r>
          </w:p>
        </w:tc>
        <w:tc>
          <w:tcPr>
            <w:tcW w:w="300" w:type="dxa"/>
            <w:vAlign w:val="bottom"/>
          </w:tcPr>
          <w:p>
            <w:pPr>
              <w:spacing w:after="0"/>
              <w:rPr>
                <w:sz w:val="14"/>
                <w:szCs w:val="14"/>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4"/>
                <w:szCs w:val="14"/>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4"/>
                <w:szCs w:val="14"/>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4"/>
                <w:szCs w:val="14"/>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EFFE7"/>
            </w:tcBorders>
            <w:gridSpan w:val="2"/>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310"/>
              <w:spacing w:after="0" w:line="230" w:lineRule="exact"/>
              <w:rPr>
                <w:sz w:val="20"/>
                <w:szCs w:val="20"/>
                <w:color w:val="auto"/>
              </w:rPr>
            </w:pPr>
            <w:r>
              <w:rPr>
                <w:rFonts w:ascii="Arial" w:cs="Arial" w:eastAsia="Arial" w:hAnsi="Arial"/>
                <w:sz w:val="18"/>
                <w:szCs w:val="18"/>
                <w:color w:val="auto"/>
                <w:w w:val="84"/>
              </w:rPr>
              <w:t xml:space="preserve">2020 </w:t>
            </w:r>
            <w:r>
              <w:rPr>
                <w:rFonts w:ascii="Arial" w:cs="Arial" w:eastAsia="Arial" w:hAnsi="Arial"/>
                <w:sz w:val="23"/>
                <w:szCs w:val="23"/>
                <w:color w:val="auto"/>
                <w:w w:val="84"/>
                <w:vertAlign w:val="superscript"/>
              </w:rPr>
              <w:t>(a)</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i w:val="1"/>
                <w:iCs w:val="1"/>
                <w:color w:val="auto"/>
              </w:rPr>
              <w:t>(in millions)</w:t>
            </w:r>
          </w:p>
        </w:tc>
        <w:tc>
          <w:tcPr>
            <w:tcW w:w="440" w:type="dxa"/>
            <w:vAlign w:val="bottom"/>
            <w:tcBorders>
              <w:bottom w:val="single" w:sz="8" w:color="CEFFE7"/>
            </w:tcBorders>
            <w:shd w:val="clear" w:color="auto" w:fill="CEFFE7"/>
          </w:tcPr>
          <w:p>
            <w:pPr>
              <w:spacing w:after="0"/>
              <w:rPr>
                <w:sz w:val="20"/>
                <w:szCs w:val="20"/>
                <w:color w:val="auto"/>
              </w:rPr>
            </w:pPr>
          </w:p>
        </w:tc>
        <w:tc>
          <w:tcPr>
            <w:tcW w:w="1660" w:type="dxa"/>
            <w:vAlign w:val="bottom"/>
            <w:tcBorders>
              <w:bottom w:val="single" w:sz="8" w:color="CEFFE7"/>
            </w:tcBorders>
            <w:shd w:val="clear" w:color="auto" w:fill="CEFFE7"/>
          </w:tcPr>
          <w:p>
            <w:pPr>
              <w:spacing w:after="0"/>
              <w:rPr>
                <w:sz w:val="20"/>
                <w:szCs w:val="20"/>
                <w:color w:val="auto"/>
              </w:rPr>
            </w:pPr>
          </w:p>
        </w:tc>
        <w:tc>
          <w:tcPr>
            <w:tcW w:w="280" w:type="dxa"/>
            <w:vAlign w:val="bottom"/>
            <w:tcBorders>
              <w:bottom w:val="single" w:sz="8" w:color="CEFFE7"/>
            </w:tcBorders>
            <w:shd w:val="clear" w:color="auto" w:fill="CEFFE7"/>
          </w:tcPr>
          <w:p>
            <w:pPr>
              <w:spacing w:after="0"/>
              <w:rPr>
                <w:sz w:val="20"/>
                <w:szCs w:val="20"/>
                <w:color w:val="auto"/>
              </w:rPr>
            </w:pPr>
          </w:p>
        </w:tc>
        <w:tc>
          <w:tcPr>
            <w:tcW w:w="1000" w:type="dxa"/>
            <w:vAlign w:val="bottom"/>
            <w:tcBorders>
              <w:bottom w:val="single" w:sz="8" w:color="CEFFE7"/>
            </w:tcBorders>
            <w:shd w:val="clear" w:color="auto" w:fill="CEFFE7"/>
          </w:tcPr>
          <w:p>
            <w:pPr>
              <w:spacing w:after="0"/>
              <w:rPr>
                <w:sz w:val="20"/>
                <w:szCs w:val="20"/>
                <w:color w:val="auto"/>
              </w:rPr>
            </w:pPr>
          </w:p>
        </w:tc>
        <w:tc>
          <w:tcPr>
            <w:tcW w:w="30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spacing w:after="0"/>
              <w:rPr>
                <w:sz w:val="20"/>
                <w:szCs w:val="20"/>
                <w:color w:val="auto"/>
              </w:rPr>
            </w:pPr>
          </w:p>
        </w:tc>
        <w:tc>
          <w:tcPr>
            <w:tcW w:w="300" w:type="dxa"/>
            <w:vAlign w:val="bottom"/>
            <w:tcBorders>
              <w:bottom w:val="single" w:sz="8" w:color="CEFFE7"/>
            </w:tcBorders>
            <w:shd w:val="clear" w:color="auto" w:fill="CEFFE7"/>
          </w:tcPr>
          <w:p>
            <w:pPr>
              <w:spacing w:after="0"/>
              <w:rPr>
                <w:sz w:val="20"/>
                <w:szCs w:val="20"/>
                <w:color w:val="auto"/>
              </w:rPr>
            </w:pPr>
          </w:p>
        </w:tc>
        <w:tc>
          <w:tcPr>
            <w:tcW w:w="1000" w:type="dxa"/>
            <w:vAlign w:val="bottom"/>
            <w:tcBorders>
              <w:bottom w:val="single" w:sz="8" w:color="CEFFE7"/>
            </w:tcBorders>
            <w:shd w:val="clear" w:color="auto" w:fill="CEFFE7"/>
          </w:tcPr>
          <w:p>
            <w:pPr>
              <w:spacing w:after="0"/>
              <w:rPr>
                <w:sz w:val="20"/>
                <w:szCs w:val="20"/>
                <w:color w:val="auto"/>
              </w:rPr>
            </w:pPr>
          </w:p>
        </w:tc>
        <w:tc>
          <w:tcPr>
            <w:tcW w:w="300" w:type="dxa"/>
            <w:vAlign w:val="bottom"/>
            <w:tcBorders>
              <w:bottom w:val="single" w:sz="8" w:color="CEFFE7"/>
            </w:tcBorders>
            <w:shd w:val="clear" w:color="auto" w:fill="CEFFE7"/>
          </w:tcPr>
          <w:p>
            <w:pPr>
              <w:spacing w:after="0"/>
              <w:rPr>
                <w:sz w:val="20"/>
                <w:szCs w:val="20"/>
                <w:color w:val="auto"/>
              </w:rPr>
            </w:pPr>
          </w:p>
        </w:tc>
        <w:tc>
          <w:tcPr>
            <w:tcW w:w="1000" w:type="dxa"/>
            <w:vAlign w:val="bottom"/>
            <w:tcBorders>
              <w:bottom w:val="single" w:sz="8" w:color="CEFFE7"/>
            </w:tcBorders>
            <w:shd w:val="clear" w:color="auto" w:fill="CEFFE7"/>
          </w:tcPr>
          <w:p>
            <w:pPr>
              <w:spacing w:after="0"/>
              <w:rPr>
                <w:sz w:val="20"/>
                <w:szCs w:val="20"/>
                <w:color w:val="auto"/>
              </w:rPr>
            </w:pPr>
          </w:p>
        </w:tc>
        <w:tc>
          <w:tcPr>
            <w:tcW w:w="32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Electric Utilities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Gas Utilities</w:t>
            </w:r>
          </w:p>
        </w:tc>
        <w:tc>
          <w:tcPr>
            <w:tcW w:w="4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209</w:t>
            </w:r>
          </w:p>
        </w:tc>
        <w:tc>
          <w:tcPr>
            <w:tcW w:w="28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309</w:t>
            </w:r>
          </w:p>
        </w:tc>
        <w:tc>
          <w:tcPr>
            <w:tcW w:w="30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316</w:t>
            </w:r>
          </w:p>
        </w:tc>
        <w:tc>
          <w:tcPr>
            <w:tcW w:w="3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Power Generation</w:t>
            </w:r>
          </w:p>
        </w:tc>
        <w:tc>
          <w:tcPr>
            <w:tcW w:w="4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Mining</w:t>
            </w:r>
          </w:p>
        </w:tc>
        <w:tc>
          <w:tcPr>
            <w:tcW w:w="4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Corporate and Other</w:t>
            </w:r>
          </w:p>
        </w:tc>
        <w:tc>
          <w:tcPr>
            <w:tcW w:w="4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520" w:type="dxa"/>
            <w:vAlign w:val="bottom"/>
            <w:tcBorders>
              <w:bottom w:val="single" w:sz="8" w:color="CEFFE7"/>
            </w:tcBorders>
          </w:tcPr>
          <w:p>
            <w:pPr>
              <w:spacing w:after="0"/>
              <w:rPr>
                <w:sz w:val="2"/>
                <w:szCs w:val="2"/>
                <w:color w:val="auto"/>
              </w:rPr>
            </w:pPr>
          </w:p>
        </w:tc>
        <w:tc>
          <w:tcPr>
            <w:tcW w:w="980" w:type="dxa"/>
            <w:vAlign w:val="bottom"/>
            <w:tcBorders>
              <w:bottom w:val="single" w:sz="8" w:color="CEFFE7"/>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520" w:type="dxa"/>
            <w:vAlign w:val="bottom"/>
            <w:tcBorders>
              <w:bottom w:val="single" w:sz="8" w:color="CEFFE7"/>
            </w:tcBorders>
            <w:shd w:val="clear" w:color="auto" w:fill="CEFFE7"/>
          </w:tcPr>
          <w:p>
            <w:pPr>
              <w:spacing w:after="0"/>
              <w:rPr>
                <w:sz w:val="24"/>
                <w:szCs w:val="24"/>
                <w:color w:val="auto"/>
              </w:rPr>
            </w:pPr>
          </w:p>
        </w:tc>
        <w:tc>
          <w:tcPr>
            <w:tcW w:w="980" w:type="dxa"/>
            <w:vAlign w:val="bottom"/>
            <w:tcBorders>
              <w:bottom w:val="single" w:sz="8" w:color="CEFFE7"/>
            </w:tcBorders>
            <w:shd w:val="clear" w:color="auto" w:fill="CEFFE7"/>
          </w:tcPr>
          <w:p>
            <w:pPr>
              <w:spacing w:after="0"/>
              <w:rPr>
                <w:sz w:val="24"/>
                <w:szCs w:val="24"/>
                <w:color w:val="auto"/>
              </w:rPr>
            </w:pPr>
          </w:p>
        </w:tc>
        <w:tc>
          <w:tcPr>
            <w:tcW w:w="4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348</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669</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555</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486</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480</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1520" w:type="dxa"/>
            <w:vAlign w:val="bottom"/>
            <w:tcBorders>
              <w:top w:val="single" w:sz="8" w:color="CEFFE7"/>
            </w:tcBorders>
          </w:tcPr>
          <w:p>
            <w:pPr>
              <w:spacing w:after="0" w:line="20" w:lineRule="exact"/>
              <w:rPr>
                <w:sz w:val="1"/>
                <w:szCs w:val="1"/>
                <w:color w:val="auto"/>
              </w:rPr>
            </w:pPr>
          </w:p>
        </w:tc>
        <w:tc>
          <w:tcPr>
            <w:tcW w:w="980" w:type="dxa"/>
            <w:vAlign w:val="bottom"/>
            <w:tcBorders>
              <w:top w:val="single" w:sz="8" w:color="CEFFE7"/>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Expenditures for the six months ended June 30, 2020 include the impact of accruals for property, plant and equipment.</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actual capital expenditures for the six months ended June 30, 2020.</w:t>
      </w:r>
    </w:p>
    <w:p>
      <w:pPr>
        <w:spacing w:after="0" w:line="2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monitoring supply chains, including lead times for key materials and supplies, availability of resources, and statuses of large capital projects. To date, there have been limited impacts from COVID-19 on supply chains including the availability of supplies and materials and lead times. Capital projects are ongoing without material disruption to schedules. Our third party resources continue to support our business plans without disruption. Contingency plans are ready to be executed if significant disruption to supply chain occurs; however, we currently do not anticipate a significant impact from COVID-19 on our capital investment plan for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2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There have been no significant changes in contractual obligations from those previously disclosed in Note 19 of our Notes to the Consolidated Financial Statements in our 2019 Annual Report on Form 10-K except for the items described in </w:t>
      </w:r>
      <w:hyperlink w:anchor="page33">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w:t>
      </w:r>
    </w:p>
    <w:p>
      <w:pPr>
        <w:spacing w:after="0" w:line="256" w:lineRule="exact"/>
        <w:rPr>
          <w:sz w:val="20"/>
          <w:szCs w:val="20"/>
          <w:color w:val="auto"/>
        </w:rPr>
      </w:pPr>
    </w:p>
    <w:p>
      <w:pPr>
        <w:ind w:right="8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off-balance sheet commitments from those previously disclosed in Item 7 of our 2019 Annual Report on Form 10-K filed with the SEC except for the items described in </w:t>
      </w:r>
      <w:hyperlink w:anchor="page23">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right="6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Other than the pronouncements reported in our 2019 Annual Report on Form 10-K filed with the SEC and those discussed in </w:t>
      </w:r>
      <w:hyperlink w:anchor="page13">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and Analysis of Financial Condition and Results of Operations.</w:t>
      </w:r>
    </w:p>
    <w:p>
      <w:pPr>
        <w:spacing w:after="0" w:line="21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98" w:lineRule="exact"/>
        <w:rPr>
          <w:sz w:val="20"/>
          <w:szCs w:val="20"/>
          <w:color w:val="auto"/>
        </w:rPr>
      </w:pPr>
    </w:p>
    <w:p>
      <w:pPr>
        <w:ind w:right="6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Any forward-looking statement contained in this document speaks only as of the date the statement was made. The Company undertakes no obligation to update any forward-looking statement or statements to reflect events or circumstances that occur after the date on which the statement was made or to reflect the occurrence of unanticipated events. New factors emerge from time to time, such as the COVID-19 pandemic,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2019 Annual Report on Form 10-K including statements contained within Item 1A - Risk Factors of our 2019 Annual Report on Form 10-K, Part II, </w:t>
      </w:r>
      <w:hyperlink w:anchor="page60">
        <w:r>
          <w:rPr>
            <w:rFonts w:ascii="Arial" w:cs="Arial" w:eastAsia="Arial" w:hAnsi="Arial"/>
            <w:sz w:val="17"/>
            <w:szCs w:val="17"/>
            <w:u w:val="single" w:color="auto"/>
            <w:color w:val="0000FF"/>
          </w:rPr>
          <w:t>Item 1A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Quarterly Report on Form 10-Q and other reports that we file with the SEC from time to time.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80"/>
        <w:spacing w:after="0" w:line="308" w:lineRule="auto"/>
        <w:rPr>
          <w:rFonts w:ascii="Arial" w:cs="Arial" w:eastAsia="Arial" w:hAnsi="Arial"/>
          <w:sz w:val="17"/>
          <w:szCs w:val="17"/>
          <w:color w:val="0000FF"/>
        </w:rPr>
      </w:pPr>
      <w:hyperlink w:anchor="page24">
        <w:r>
          <w:rPr>
            <w:rFonts w:ascii="Arial" w:cs="Arial" w:eastAsia="Arial" w:hAnsi="Arial"/>
            <w:sz w:val="17"/>
            <w:szCs w:val="17"/>
            <w:color w:val="auto"/>
          </w:rPr>
          <w:t xml:space="preserve">Information regarding our quantitative and qualitative disclosures about market risk is disclosed in Item 7A of our Annual Report on Form 10-K. See </w:t>
        </w:r>
        <w:r>
          <w:rPr>
            <w:rFonts w:ascii="Arial" w:cs="Arial" w:eastAsia="Arial" w:hAnsi="Arial"/>
            <w:sz w:val="17"/>
            <w:szCs w:val="17"/>
            <w:u w:val="single" w:color="auto"/>
            <w:color w:val="0000FF"/>
          </w:rPr>
          <w:t>Note</w:t>
        </w:r>
      </w:hyperlink>
      <w:r>
        <w:rPr>
          <w:rFonts w:ascii="Arial" w:cs="Arial" w:eastAsia="Arial" w:hAnsi="Arial"/>
          <w:sz w:val="17"/>
          <w:szCs w:val="17"/>
          <w:color w:val="auto"/>
        </w:rPr>
        <w:t xml:space="preserve"> </w:t>
      </w:r>
      <w:hyperlink w:anchor="page24">
        <w:r>
          <w:rPr>
            <w:rFonts w:ascii="Arial" w:cs="Arial" w:eastAsia="Arial" w:hAnsi="Arial"/>
            <w:sz w:val="17"/>
            <w:szCs w:val="17"/>
            <w:u w:val="single" w:color="auto"/>
            <w:color w:val="0000FF"/>
          </w:rPr>
          <w:t>9</w:t>
        </w:r>
        <w:r>
          <w:rPr>
            <w:rFonts w:ascii="Arial" w:cs="Arial" w:eastAsia="Arial" w:hAnsi="Arial"/>
            <w:sz w:val="17"/>
            <w:szCs w:val="17"/>
            <w:color w:val="0000FF"/>
          </w:rPr>
          <w:t xml:space="preserve"> </w:t>
        </w:r>
        <w:r>
          <w:rPr>
            <w:rFonts w:ascii="Arial" w:cs="Arial" w:eastAsia="Arial" w:hAnsi="Arial"/>
            <w:sz w:val="17"/>
            <w:szCs w:val="17"/>
            <w:color w:val="000000"/>
          </w:rPr>
          <w:t>of the Notes to Condensed Consolidated Financial Statements for updates to market risks during the six months ended June 30, 2020.</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as amended (the “Exchange Act”)) as of June 30, 2020. Based on their evaluation, they have concluded that our disclosure controls and procedures were effective at June 30, 2020.</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quarter ended June 30, 2020, there have been no changes in our internal controls over financial reporting that have materially affected or are reasonably likely to materially affect our internal control over financial reporting. Although we have altered some work routines due to the COVID-19 pandemic, the changes in our work environment (i.e. remote work arrangements) have not materially impacted our internal controls over financial reporting and have not adversely affected the Company’s ability to maintain operations, including financial reporting systems, ICFR, and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legal proceedings, see Note 19 in Item 8 of our 2019 Annual Report on Form 10-K and </w:t>
      </w:r>
      <w:hyperlink w:anchor="page33">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in Item 1 of Part I of this Quarterly Report on Form 10-Q, which information from </w:t>
      </w:r>
      <w:hyperlink w:anchor="page33">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is incorporated by reference into this item.</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are no material changes to the risk factors previously disclosed in Item 1A of Part I in our 2019 Annual Report on Form 10-K filed with the SEC except as shown below:</w:t>
      </w:r>
    </w:p>
    <w:p>
      <w:pPr>
        <w:spacing w:after="0" w:line="193"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Our business, results of operations, financial condition and cash flows could be adversely affected by the recent coronavirus (COVID-19) pandemic.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12529"/>
        </w:rPr>
        <w:t>We have responded to the global pandemic of COVID-19 by taking steps to mitigate the potential risks to us posed by its spread.</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six months ended June 30, 2020, the COVID-19 pandemic had a limited financial impact on our business, operations, financial condition and cash flows. In particular, we experienced:</w:t>
      </w:r>
    </w:p>
    <w:p>
      <w:pPr>
        <w:spacing w:after="0" w:line="19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commercial and certain industrial and transport volumes partially offset by higher electric and natural gas residential usage;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Increased allowance for credit losses and bad debt expense due to anticipated customer non-payment as a result of suspended disconnections;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Minimal cash flow impacts from delayed payments from residential, commercial and industrial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Minimal disruptions receiving the materials and supplies necessary to maintain operations and continue executing our capital investment plan;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availability and productivity of our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Minimal impacts to the availability of our third-party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Minimal decline in the funded status of our pension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costs for personal protection equipment and cleaning supplies;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costs due to sequestration of mission-critical and essential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Minimal interest expense increase due to disruptions in the Commercial Paper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training, travel and outside services expenses.</w:t>
      </w: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Should the COVID-19 pandemic continue for a prolonged period or impact the areas we serve more significantly than it has to date, our business, operations, financial condition and cash flows could be impacted in more significant ways. In addition to exacerbating the impacts described above, we could experience:</w:t>
      </w:r>
    </w:p>
    <w:p>
      <w:pPr>
        <w:spacing w:after="0" w:line="21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Adverse impacts on our strategic business plans, growth strategy and capital investment plans;</w:t>
      </w:r>
    </w:p>
    <w:p>
      <w:pPr>
        <w:spacing w:after="0" w:line="23" w:lineRule="exact"/>
        <w:rPr>
          <w:rFonts w:ascii="Arial" w:cs="Arial" w:eastAsia="Arial" w:hAnsi="Arial"/>
          <w:sz w:val="18"/>
          <w:szCs w:val="18"/>
          <w:color w:val="212529"/>
        </w:rPr>
      </w:pPr>
    </w:p>
    <w:p>
      <w:pPr>
        <w:ind w:left="660" w:hanging="328"/>
        <w:spacing w:after="0"/>
        <w:tabs>
          <w:tab w:leader="none" w:pos="660" w:val="left"/>
        </w:tabs>
        <w:numPr>
          <w:ilvl w:val="0"/>
          <w:numId w:val="34"/>
        </w:numPr>
        <w:rPr>
          <w:rFonts w:ascii="Arial" w:cs="Arial" w:eastAsia="Arial" w:hAnsi="Arial"/>
          <w:sz w:val="16"/>
          <w:szCs w:val="16"/>
          <w:color w:val="212529"/>
        </w:rPr>
      </w:pPr>
      <w:r>
        <w:rPr>
          <w:rFonts w:ascii="Arial" w:cs="Arial" w:eastAsia="Arial" w:hAnsi="Arial"/>
          <w:sz w:val="16"/>
          <w:szCs w:val="16"/>
          <w:color w:val="212529"/>
        </w:rPr>
        <w:t>Increased adverse impacts to electricity and natural gas demand from our customers, particularly from commercial and industrial customers;</w:t>
      </w:r>
    </w:p>
    <w:p>
      <w:pPr>
        <w:spacing w:after="0" w:line="32" w:lineRule="exact"/>
        <w:rPr>
          <w:rFonts w:ascii="Arial" w:cs="Arial" w:eastAsia="Arial" w:hAnsi="Arial"/>
          <w:sz w:val="16"/>
          <w:szCs w:val="16"/>
          <w:color w:val="212529"/>
        </w:rPr>
      </w:pPr>
    </w:p>
    <w:p>
      <w:pPr>
        <w:ind w:left="660" w:hanging="328"/>
        <w:spacing w:after="0"/>
        <w:tabs>
          <w:tab w:leader="none" w:pos="660"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Further reduction in the availability and productivity of our employees and third-party resources;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Increased costs as a result of our emergency measures;</w:t>
      </w:r>
    </w:p>
    <w:p>
      <w:pPr>
        <w:spacing w:after="0" w:line="9" w:lineRule="exact"/>
        <w:rPr>
          <w:rFonts w:ascii="Arial" w:cs="Arial" w:eastAsia="Arial" w:hAnsi="Arial"/>
          <w:sz w:val="18"/>
          <w:szCs w:val="18"/>
          <w:color w:val="212529"/>
        </w:rPr>
      </w:pPr>
    </w:p>
    <w:p>
      <w:pPr>
        <w:ind w:left="660" w:right="260" w:hanging="328"/>
        <w:spacing w:after="0" w:line="281" w:lineRule="auto"/>
        <w:tabs>
          <w:tab w:leader="none" w:pos="655" w:val="left"/>
        </w:tabs>
        <w:numPr>
          <w:ilvl w:val="0"/>
          <w:numId w:val="34"/>
        </w:numPr>
        <w:rPr>
          <w:rFonts w:ascii="Arial" w:cs="Arial" w:eastAsia="Arial" w:hAnsi="Arial"/>
          <w:sz w:val="16"/>
          <w:szCs w:val="16"/>
          <w:color w:val="212529"/>
        </w:rPr>
      </w:pPr>
      <w:r>
        <w:rPr>
          <w:rFonts w:ascii="Arial" w:cs="Arial" w:eastAsia="Arial" w:hAnsi="Arial"/>
          <w:sz w:val="16"/>
          <w:szCs w:val="16"/>
          <w:color w:val="212529"/>
        </w:rPr>
        <w:t>I</w:t>
      </w:r>
      <w:r>
        <w:rPr>
          <w:rFonts w:ascii="Arial" w:cs="Arial" w:eastAsia="Arial" w:hAnsi="Arial"/>
          <w:sz w:val="16"/>
          <w:szCs w:val="16"/>
          <w:color w:val="000000"/>
        </w:rPr>
        <w:t>ncreased allowance for credit losses and bad debt expense</w:t>
      </w:r>
      <w:r>
        <w:rPr>
          <w:rFonts w:ascii="Arial" w:cs="Arial" w:eastAsia="Arial" w:hAnsi="Arial"/>
          <w:sz w:val="16"/>
          <w:szCs w:val="16"/>
          <w:color w:val="212529"/>
        </w:rPr>
        <w:t xml:space="preserve"> as a result of delayed or non-payment from our customers, both of which could be magnified by Federal or state government legislation that requires us to extend suspensions of disconnections for non-payment;</w:t>
      </w:r>
    </w:p>
    <w:p>
      <w:pPr>
        <w:spacing w:after="0" w:line="1" w:lineRule="exact"/>
        <w:rPr>
          <w:rFonts w:ascii="Arial" w:cs="Arial" w:eastAsia="Arial" w:hAnsi="Arial"/>
          <w:sz w:val="16"/>
          <w:szCs w:val="16"/>
          <w:color w:val="212529"/>
        </w:rPr>
      </w:pPr>
    </w:p>
    <w:p>
      <w:pPr>
        <w:ind w:left="660" w:hanging="328"/>
        <w:spacing w:after="0"/>
        <w:tabs>
          <w:tab w:leader="none" w:pos="660"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Delays and disruptions in the availability, timely delivery and cost of materials and components used in our operations;</w:t>
      </w:r>
    </w:p>
    <w:p>
      <w:pPr>
        <w:spacing w:after="0" w:line="9" w:lineRule="exact"/>
        <w:rPr>
          <w:rFonts w:ascii="Arial" w:cs="Arial" w:eastAsia="Arial" w:hAnsi="Arial"/>
          <w:sz w:val="18"/>
          <w:szCs w:val="18"/>
          <w:color w:val="212529"/>
        </w:rPr>
      </w:pPr>
    </w:p>
    <w:p>
      <w:pPr>
        <w:ind w:left="660" w:right="200" w:hanging="328"/>
        <w:spacing w:after="0" w:line="250" w:lineRule="auto"/>
        <w:tabs>
          <w:tab w:leader="none" w:pos="655"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Disruptions in the commercial operation dates of certain projects impacting qualification criteria for certain tax credits and triggering potential damages under our power purchase agreements;</w:t>
      </w:r>
    </w:p>
    <w:p>
      <w:pPr>
        <w:ind w:left="660" w:right="860" w:hanging="328"/>
        <w:spacing w:after="0" w:line="250" w:lineRule="auto"/>
        <w:tabs>
          <w:tab w:leader="none" w:pos="655"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Deterioration of the credit quality of our counterparties, including gas commodity contract counterparties, power purchase agreement counterparties, contractors or retail customers, that could result in credit losses;</w:t>
      </w:r>
    </w:p>
    <w:p>
      <w:pPr>
        <w:ind w:left="660" w:hanging="328"/>
        <w:spacing w:after="0"/>
        <w:tabs>
          <w:tab w:leader="none" w:pos="660"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Impairment of goodwill or long-lived assets;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Adverse impacts on our ability to develop, construct and operate facilities;</w:t>
      </w:r>
    </w:p>
    <w:p>
      <w:pPr>
        <w:spacing w:after="0" w:line="9" w:lineRule="exact"/>
        <w:rPr>
          <w:rFonts w:ascii="Arial" w:cs="Arial" w:eastAsia="Arial" w:hAnsi="Arial"/>
          <w:sz w:val="18"/>
          <w:szCs w:val="18"/>
          <w:color w:val="212529"/>
        </w:rPr>
      </w:pPr>
    </w:p>
    <w:p>
      <w:pPr>
        <w:ind w:left="660" w:right="160" w:hanging="328"/>
        <w:spacing w:after="0" w:line="250" w:lineRule="auto"/>
        <w:tabs>
          <w:tab w:leader="none" w:pos="655"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Inability to meet the requirements of the covenants in our existing credit facilities, including covenants regarding Consolidated Indebtedness to Capitalization Ratio;</w:t>
      </w:r>
    </w:p>
    <w:p>
      <w:pPr>
        <w:ind w:left="660" w:hanging="328"/>
        <w:spacing w:after="0"/>
        <w:tabs>
          <w:tab w:leader="none" w:pos="660"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Deterioration in our financial metrics or the business environment that adversely impacts our credit ratings;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60" w:name="page61"/>
    <w:bookmarkEnd w:id="6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212529"/>
        </w:rPr>
      </w:pPr>
      <w:r>
        <w:rPr>
          <w:rFonts w:ascii="Arial" w:cs="Arial" w:eastAsia="Arial" w:hAnsi="Arial"/>
          <w:sz w:val="16"/>
          <w:szCs w:val="16"/>
          <w:color w:val="212529"/>
        </w:rPr>
        <w:t>Delay in the permitting process of certain development projects, affecting the timing of final investment decisions and start dates of construction;</w:t>
      </w:r>
    </w:p>
    <w:p>
      <w:pPr>
        <w:spacing w:after="0" w:line="46" w:lineRule="exact"/>
        <w:rPr>
          <w:rFonts w:ascii="Arial" w:cs="Arial" w:eastAsia="Arial" w:hAnsi="Arial"/>
          <w:sz w:val="16"/>
          <w:szCs w:val="16"/>
          <w:color w:val="212529"/>
        </w:rPr>
      </w:pPr>
    </w:p>
    <w:p>
      <w:pPr>
        <w:ind w:left="660" w:hanging="328"/>
        <w:spacing w:after="0"/>
        <w:tabs>
          <w:tab w:leader="none" w:pos="660"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Adverse impact on our liquidity position and cost of and ability to access funds from financial institutions and capital markets;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Delays in our ability to change rates through regulatory proceedings; and</w:t>
      </w:r>
    </w:p>
    <w:p>
      <w:pPr>
        <w:spacing w:after="0" w:line="9" w:lineRule="exact"/>
        <w:rPr>
          <w:rFonts w:ascii="Arial" w:cs="Arial" w:eastAsia="Arial" w:hAnsi="Arial"/>
          <w:sz w:val="18"/>
          <w:szCs w:val="18"/>
          <w:color w:val="212529"/>
        </w:rPr>
      </w:pPr>
    </w:p>
    <w:p>
      <w:pPr>
        <w:ind w:left="660" w:right="240" w:hanging="328"/>
        <w:spacing w:after="0" w:line="260" w:lineRule="auto"/>
        <w:tabs>
          <w:tab w:leader="none" w:pos="655"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Other risks that impact us, such as the risks described in the “Risk Factors” section of our 2019 Annual Report on Form 10-K and our ability to meet our financial obligations.</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12529"/>
        </w:rPr>
        <w:t>To date, we have experienced limited impacts to our results of operations, financial condition, cash flows or business plans. However, the situation remains fluid and it is difficult to predict with certainty the potential impact of COVID-19 on our business, results of operations, financial condition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right="3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Information concerning mine safety violations or other regulatory matters required by Sections 1503(a) of Dodd-Frank is included in </w:t>
      </w:r>
      <w:hyperlink w:anchor="page68">
        <w:r>
          <w:rPr>
            <w:rFonts w:ascii="Arial" w:cs="Arial" w:eastAsia="Arial" w:hAnsi="Arial"/>
            <w:sz w:val="18"/>
            <w:szCs w:val="18"/>
            <w:u w:val="single" w:color="auto"/>
            <w:color w:val="0000FF"/>
          </w:rPr>
          <w:t>Exhibit 95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1"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18"/>
          <w:szCs w:val="18"/>
          <w:b w:val="1"/>
          <w:bCs w:val="1"/>
          <w:color w:val="auto"/>
        </w:rPr>
        <w:t>Exhibit 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1062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4.2*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Restated Articles of Incorporation of the Registrant dated January 30, 2018 (filed as Exhibit 3 to the Registrant’s Form 8-K</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filed on February 5, 2018).</w:t>
        </w:r>
      </w:hyperlink>
    </w:p>
    <w:p>
      <w:pPr>
        <w:spacing w:after="0" w:line="162"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Amended and Restated Bylaws of the Registrant dated April 24, 2017 (filed as Exhibit 3 to the Registrant’s Form 8-K filed</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on April 28, 2017).</w:t>
        </w:r>
      </w:hyperlink>
    </w:p>
    <w:p>
      <w:pPr>
        <w:spacing w:after="0" w:line="162" w:lineRule="exact"/>
        <w:rPr>
          <w:sz w:val="20"/>
          <w:szCs w:val="20"/>
          <w:color w:val="auto"/>
        </w:rPr>
      </w:pPr>
    </w:p>
    <w:p>
      <w:pPr>
        <w:ind w:right="140"/>
        <w:spacing w:after="0" w:line="224" w:lineRule="auto"/>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Indenture dated as of May 21, 2003 between the Registrant and Wells Fargo Bank, National Association (as successor to</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LaSalle Bank National Association), as Trustee (filed as Exhibit 4.1 to the Registrant’s Form 10-Q for the quarterly period</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ended June 30, 2003).</w:t>
        </w:r>
      </w:hyperlink>
    </w:p>
    <w:p>
      <w:pPr>
        <w:spacing w:after="0" w:line="2" w:lineRule="exact"/>
        <w:rPr>
          <w:rFonts w:ascii="Arial" w:cs="Arial" w:eastAsia="Arial" w:hAnsi="Arial"/>
          <w:sz w:val="18"/>
          <w:szCs w:val="18"/>
          <w:u w:val="single" w:color="auto"/>
          <w:color w:val="0000FF"/>
        </w:rPr>
      </w:pPr>
    </w:p>
    <w:p>
      <w:pPr>
        <w:ind w:right="80"/>
        <w:spacing w:after="0" w:line="234" w:lineRule="auto"/>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First Supplemental Indenture dated as of May 21, 2003 (filed as Exhibit 4.2 to the Registrant’s Form 10-Q for the quarterly</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period ended June 30, 2003).</w:t>
        </w:r>
      </w:hyperlink>
    </w:p>
    <w:p>
      <w:pPr>
        <w:spacing w:after="0" w:line="1" w:lineRule="exact"/>
        <w:rPr>
          <w:sz w:val="20"/>
          <w:szCs w:val="20"/>
          <w:color w:val="auto"/>
        </w:rPr>
      </w:pPr>
    </w:p>
    <w:p>
      <w:pPr>
        <w:ind w:right="80"/>
        <w:spacing w:after="0" w:line="234" w:lineRule="auto"/>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Second Supplemental Indenture dated as of May 14, 2009 (filed as Exhibit 4 to the Registrant’s Form 8-K filed on May 14,</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2009).</w:t>
        </w:r>
      </w:hyperlink>
    </w:p>
    <w:p>
      <w:pPr>
        <w:spacing w:after="0" w:line="1" w:lineRule="exact"/>
        <w:rPr>
          <w:sz w:val="20"/>
          <w:szCs w:val="20"/>
          <w:color w:val="auto"/>
        </w:rPr>
      </w:pPr>
    </w:p>
    <w:p>
      <w:pPr>
        <w:spacing w:after="0"/>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Third Supplemental Indenture dated as of July 16, 2010 (filed as Exhibit 4 to Registrant’s Form 8-K filed on July 15, 2010).</w:t>
        </w:r>
      </w:hyperlink>
    </w:p>
    <w:p>
      <w:pPr>
        <w:spacing w:after="0" w:line="46" w:lineRule="exact"/>
        <w:rPr>
          <w:sz w:val="20"/>
          <w:szCs w:val="20"/>
          <w:color w:val="auto"/>
        </w:rPr>
      </w:pPr>
    </w:p>
    <w:p>
      <w:pPr>
        <w:ind w:right="340"/>
        <w:spacing w:after="0" w:line="234" w:lineRule="auto"/>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Fourth Supplemental Indenture dated as of November 19, 2013 (filed as Exhibit 4 to the Registrant’s Form 8-K filed on</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November 18, 2013).</w:t>
        </w:r>
      </w:hyperlink>
    </w:p>
    <w:p>
      <w:pPr>
        <w:spacing w:after="0" w:line="1" w:lineRule="exact"/>
        <w:rPr>
          <w:sz w:val="20"/>
          <w:szCs w:val="20"/>
          <w:color w:val="auto"/>
        </w:rPr>
      </w:pPr>
    </w:p>
    <w:p>
      <w:pPr>
        <w:ind w:right="540"/>
        <w:spacing w:after="0" w:line="234" w:lineRule="auto"/>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Fifth Supplemental Indenture dated as of January 13, 2016 (filed as Exhibit 4.1 to the Registrant’s Form 8-K filed on</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January 13, 2016).</w:t>
        </w:r>
      </w:hyperlink>
    </w:p>
    <w:p>
      <w:pPr>
        <w:spacing w:after="0" w:line="1" w:lineRule="exact"/>
        <w:rPr>
          <w:sz w:val="20"/>
          <w:szCs w:val="20"/>
          <w:color w:val="auto"/>
        </w:rPr>
      </w:pPr>
    </w:p>
    <w:p>
      <w:pPr>
        <w:ind w:right="560"/>
        <w:spacing w:after="0" w:line="234"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Sixth Supplemental Indenture dated as of August 19, 2016 (filed as Exhibit 4.1 to the Registrant’s Form 8-K filed on</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August 19, 2016).</w:t>
        </w:r>
      </w:hyperlink>
    </w:p>
    <w:p>
      <w:pPr>
        <w:spacing w:after="0" w:line="1" w:lineRule="exact"/>
        <w:rPr>
          <w:sz w:val="20"/>
          <w:szCs w:val="20"/>
          <w:color w:val="auto"/>
        </w:rPr>
      </w:pPr>
    </w:p>
    <w:p>
      <w:pPr>
        <w:ind w:right="360"/>
        <w:spacing w:after="0" w:line="234"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Seventh Supplemental Indenture dated as of August 17, 2018 (filed as Exhibit 4.2 to the Registrant’s Form 8-K filed on</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August 17, 2018).</w:t>
        </w:r>
      </w:hyperlink>
    </w:p>
    <w:p>
      <w:pPr>
        <w:spacing w:after="0" w:line="1" w:lineRule="exact"/>
        <w:rPr>
          <w:sz w:val="20"/>
          <w:szCs w:val="20"/>
          <w:color w:val="auto"/>
        </w:rPr>
      </w:pPr>
    </w:p>
    <w:p>
      <w:pPr>
        <w:ind w:right="480"/>
        <w:spacing w:after="0" w:line="234"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Eighth Supplemental Indenture dated as of October 3, 2019 (filed as Exhibit 4.1 to the Registrant’s Form 8-K filed on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October 4, 2019).</w:t>
        </w:r>
      </w:hyperlink>
    </w:p>
    <w:p>
      <w:pPr>
        <w:spacing w:after="0" w:line="1"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Ninth Supplemental Indenture dated as of June 17, 2020 (filed as Exhibit 4.1 to the Registrant’s Form 8-K filed on June 17,</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2020).</w:t>
        </w:r>
      </w:hyperlink>
    </w:p>
    <w:p>
      <w:pPr>
        <w:spacing w:after="0" w:line="163" w:lineRule="exact"/>
        <w:rPr>
          <w:sz w:val="20"/>
          <w:szCs w:val="20"/>
          <w:color w:val="auto"/>
        </w:rPr>
      </w:pPr>
    </w:p>
    <w:p>
      <w:pPr>
        <w:spacing w:after="0" w:line="224"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Restated and Amended Indenture of Mortgage and Deed of Trust of Black Hills Corporation (now called Black Hills Power,</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Inc.) dated as of September 1, 1999 (filed as Exhibit 4.19 to the Registrant’s Post-Effective Amendment No. 1 to the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Registrant’s Registration Statement on Form S-3 (No. 333-150669)).</w:t>
        </w:r>
      </w:hyperlink>
    </w:p>
    <w:p>
      <w:pPr>
        <w:spacing w:after="0" w:line="2" w:lineRule="exact"/>
        <w:rPr>
          <w:rFonts w:ascii="Arial" w:cs="Arial" w:eastAsia="Arial" w:hAnsi="Arial"/>
          <w:sz w:val="18"/>
          <w:szCs w:val="18"/>
          <w:u w:val="single" w:color="auto"/>
          <w:color w:val="0000FF"/>
        </w:rPr>
      </w:pPr>
    </w:p>
    <w:p>
      <w:pPr>
        <w:ind w:right="300"/>
        <w:spacing w:after="0" w:line="194" w:lineRule="exact"/>
        <w:rPr>
          <w:rFonts w:ascii="Arial" w:cs="Arial" w:eastAsia="Arial" w:hAnsi="Arial"/>
          <w:sz w:val="17"/>
          <w:szCs w:val="17"/>
          <w:u w:val="single" w:color="auto"/>
          <w:color w:val="0000FF"/>
        </w:rPr>
      </w:pPr>
      <w:hyperlink r:id="rId119">
        <w:r>
          <w:rPr>
            <w:rFonts w:ascii="Arial" w:cs="Arial" w:eastAsia="Arial" w:hAnsi="Arial"/>
            <w:sz w:val="17"/>
            <w:szCs w:val="17"/>
            <w:u w:val="single" w:color="auto"/>
            <w:color w:val="0000FF"/>
          </w:rPr>
          <w:t>First Supplemental Indenture, dated as of August 13, 2002, between Black Hills Power, Inc. and The Bank of New York</w:t>
        </w:r>
      </w:hyperlink>
      <w:r>
        <w:rPr>
          <w:rFonts w:ascii="Arial" w:cs="Arial" w:eastAsia="Arial" w:hAnsi="Arial"/>
          <w:sz w:val="17"/>
          <w:szCs w:val="17"/>
          <w:u w:val="single" w:color="auto"/>
          <w:color w:val="0000FF"/>
        </w:rPr>
        <w:t xml:space="preserve"> </w:t>
      </w:r>
      <w:hyperlink r:id="rId119">
        <w:r>
          <w:rPr>
            <w:rFonts w:ascii="Arial" w:cs="Arial" w:eastAsia="Arial" w:hAnsi="Arial"/>
            <w:sz w:val="17"/>
            <w:szCs w:val="17"/>
            <w:u w:val="single" w:color="auto"/>
            <w:color w:val="0000FF"/>
          </w:rPr>
          <w:t>Mellon (as successor to JPMorgan Chase Bank), as Trustee (filed as Exhibit 4.20 to the Registrant’s Post-Effective</w:t>
        </w:r>
      </w:hyperlink>
      <w:r>
        <w:rPr>
          <w:rFonts w:ascii="Arial" w:cs="Arial" w:eastAsia="Arial" w:hAnsi="Arial"/>
          <w:sz w:val="17"/>
          <w:szCs w:val="17"/>
          <w:u w:val="single" w:color="auto"/>
          <w:color w:val="0000FF"/>
        </w:rPr>
        <w:t xml:space="preserve"> </w:t>
      </w:r>
      <w:hyperlink r:id="rId119">
        <w:r>
          <w:rPr>
            <w:rFonts w:ascii="Arial" w:cs="Arial" w:eastAsia="Arial" w:hAnsi="Arial"/>
            <w:sz w:val="17"/>
            <w:szCs w:val="17"/>
            <w:u w:val="single" w:color="auto"/>
            <w:color w:val="0000FF"/>
          </w:rPr>
          <w:t>Amendment No. 1 to the Registrant’s Registration Statement on Form S</w:t>
        </w:r>
        <w:r>
          <w:rPr>
            <w:rFonts w:ascii="MS PGothic" w:cs="MS PGothic" w:eastAsia="MS PGothic" w:hAnsi="MS PGothic"/>
            <w:sz w:val="17"/>
            <w:szCs w:val="17"/>
            <w:u w:val="single" w:color="auto"/>
            <w:color w:val="0000FF"/>
          </w:rPr>
          <w:t>‑</w:t>
        </w:r>
        <w:r>
          <w:rPr>
            <w:rFonts w:ascii="Arial" w:cs="Arial" w:eastAsia="Arial" w:hAnsi="Arial"/>
            <w:sz w:val="17"/>
            <w:szCs w:val="17"/>
            <w:u w:val="single" w:color="auto"/>
            <w:color w:val="0000FF"/>
          </w:rPr>
          <w:t>3 (No. 333</w:t>
        </w:r>
        <w:r>
          <w:rPr>
            <w:rFonts w:ascii="MS PGothic" w:cs="MS PGothic" w:eastAsia="MS PGothic" w:hAnsi="MS PGothic"/>
            <w:sz w:val="17"/>
            <w:szCs w:val="17"/>
            <w:u w:val="single" w:color="auto"/>
            <w:color w:val="0000FF"/>
          </w:rPr>
          <w:t>‑</w:t>
        </w:r>
        <w:r>
          <w:rPr>
            <w:rFonts w:ascii="Arial" w:cs="Arial" w:eastAsia="Arial" w:hAnsi="Arial"/>
            <w:sz w:val="17"/>
            <w:szCs w:val="17"/>
            <w:u w:val="single" w:color="auto"/>
            <w:color w:val="0000FF"/>
          </w:rPr>
          <w:t>150669)).</w:t>
        </w:r>
      </w:hyperlink>
    </w:p>
    <w:p>
      <w:pPr>
        <w:spacing w:after="0" w:line="1" w:lineRule="exact"/>
        <w:rPr>
          <w:rFonts w:ascii="Arial" w:cs="Arial" w:eastAsia="Arial" w:hAnsi="Arial"/>
          <w:sz w:val="17"/>
          <w:szCs w:val="17"/>
          <w:u w:val="single" w:color="auto"/>
          <w:color w:val="0000FF"/>
        </w:rPr>
      </w:pPr>
    </w:p>
    <w:p>
      <w:pPr>
        <w:jc w:val="both"/>
        <w:ind w:right="20"/>
        <w:spacing w:after="0" w:line="224"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Second Supplemental Indenture, dated as of October 27, 2009, between Black Hills Power, Inc. and The Bank of New York</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Mellon (filed as Exhibit 4.21 to the Registrant’s Post-Effective Amendment No. 2 to the Registrant’s Registration Statement</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on Form S-3 (No. 333-150669)).</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1520" w:space="720"/>
            <w:col w:w="8960"/>
          </w:cols>
          <w:pgMar w:left="320" w:top="126" w:right="379" w:bottom="1440" w:gutter="0" w:footer="0" w:header="0"/>
          <w:type w:val="continuous"/>
        </w:sectPr>
      </w:pPr>
    </w:p>
    <w:p>
      <w:pPr>
        <w:spacing w:after="0" w:line="178"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6"/>
          <w:szCs w:val="16"/>
          <w:color w:val="auto"/>
        </w:rPr>
        <w:t>61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61" w:name="page62"/>
    <w:bookmarkEnd w:id="61"/>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4.4*</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32.1</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32.2</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95</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101.SCH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ind w:right="220"/>
        <w:spacing w:after="0" w:line="235"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Third Supplemental Indenture, dated as of October 1, 2014, between Black Hills Power, Inc. and The Bank of New York</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Mellon (filed as Exhibit 10.1 to the Registrant’s Form 8-K filed on October 2, 2014).</w:t>
        </w:r>
      </w:hyperlink>
    </w:p>
    <w:p>
      <w:pPr>
        <w:spacing w:after="0" w:line="162" w:lineRule="exact"/>
        <w:rPr>
          <w:sz w:val="20"/>
          <w:szCs w:val="20"/>
          <w:color w:val="auto"/>
        </w:rPr>
      </w:pPr>
    </w:p>
    <w:p>
      <w:pPr>
        <w:ind w:right="140"/>
        <w:spacing w:after="0" w:line="224"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Restated Indenture of Mortgage, Deed of Trust, Security Agreement and Financing Statement, amended and restated as of</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November 20, 2007, between Cheyenne Light, Fuel and Power Company and Wells Fargo Bank, National Association</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(filed as Exhibit 10.2 to the Registrant’s Form 8-K filed on October 2, 2014).</w:t>
        </w:r>
      </w:hyperlink>
    </w:p>
    <w:p>
      <w:pPr>
        <w:spacing w:after="0" w:line="2" w:lineRule="exact"/>
        <w:rPr>
          <w:rFonts w:ascii="Arial" w:cs="Arial" w:eastAsia="Arial" w:hAnsi="Arial"/>
          <w:sz w:val="18"/>
          <w:szCs w:val="18"/>
          <w:u w:val="single" w:color="auto"/>
          <w:color w:val="0000FF"/>
        </w:rPr>
      </w:pPr>
    </w:p>
    <w:p>
      <w:pPr>
        <w:jc w:val="both"/>
        <w:ind w:right="380"/>
        <w:spacing w:after="0" w:line="264" w:lineRule="auto"/>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First Supplemental Indenture, dated as of September 3, 2009, between Cheyenne Light, Fuel and Power Company and</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Wells Fargo Bank, National Association (filed as Exhibit 10.3 to the Registrant’s Form 8-K filed on October 2, 2014).</w:t>
        </w:r>
      </w:hyperlink>
    </w:p>
    <w:p>
      <w:pPr>
        <w:jc w:val="both"/>
        <w:ind w:right="380"/>
        <w:spacing w:after="0" w:line="288" w:lineRule="auto"/>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Second Supplemental Indenture, dated as of October 1, 2014, between Cheyenne Light, Fuel and Power Company and</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Wells Fargo Bank, National Association (filed as Exhibit 10.4 to the Registrant’s Form 8-K filed on October 2, 2014).</w:t>
        </w:r>
      </w:hyperlink>
    </w:p>
    <w:p>
      <w:pPr>
        <w:spacing w:after="0" w:line="125" w:lineRule="exact"/>
        <w:rPr>
          <w:sz w:val="20"/>
          <w:szCs w:val="20"/>
          <w:color w:val="auto"/>
        </w:rPr>
      </w:pPr>
    </w:p>
    <w:p>
      <w:pPr>
        <w:spacing w:after="0" w:line="235" w:lineRule="auto"/>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Form of Stock Certificate for Common Stock, Par Value $1.00 Per Share (filed as Exhibit 4.2 to the Registrant’s Form 10-K</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for 2000).</w:t>
        </w:r>
      </w:hyperlink>
    </w:p>
    <w:p>
      <w:pPr>
        <w:spacing w:after="0" w:line="162"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Equity Distribution Sales Agreement dated August 4, 2020 among Black Hills Corporation and the several Agents named</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therein (filed as Exhibit 1.1 to the Registrant’s Form 8-K filed on August 4, 2020).</w:t>
        </w:r>
      </w:hyperlink>
    </w:p>
    <w:p>
      <w:pPr>
        <w:spacing w:after="0" w:line="162" w:lineRule="exact"/>
        <w:rPr>
          <w:sz w:val="20"/>
          <w:szCs w:val="20"/>
          <w:color w:val="auto"/>
        </w:rPr>
      </w:pPr>
    </w:p>
    <w:p>
      <w:pPr>
        <w:ind w:right="240"/>
        <w:spacing w:after="0" w:line="235" w:lineRule="auto"/>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Certification of Chief Executive Officer pursuant to Rule 13a - 14(a) of the Securities Exchange Act of 1934, as adopted</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pursuant to Section 302 of the Sarbanes - Oxley Act of 2002.</w:t>
        </w:r>
      </w:hyperlink>
    </w:p>
    <w:p>
      <w:pPr>
        <w:spacing w:after="0" w:line="162" w:lineRule="exact"/>
        <w:rPr>
          <w:sz w:val="20"/>
          <w:szCs w:val="20"/>
          <w:color w:val="auto"/>
        </w:rPr>
      </w:pPr>
    </w:p>
    <w:p>
      <w:pPr>
        <w:ind w:right="300"/>
        <w:spacing w:after="0" w:line="235" w:lineRule="auto"/>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Certification of Chief Financial Officer pursuant to Rule 13a - 14(a) of the Securities Exchange Act of 1934, as adopted</w:t>
        </w:r>
      </w:hyperlink>
      <w:r>
        <w:rPr>
          <w:rFonts w:ascii="Arial" w:cs="Arial" w:eastAsia="Arial" w:hAnsi="Arial"/>
          <w:sz w:val="18"/>
          <w:szCs w:val="18"/>
          <w:u w:val="single" w:color="auto"/>
          <w:color w:val="0000FF"/>
        </w:rPr>
        <w:t xml:space="preserve"> </w:t>
      </w:r>
      <w:hyperlink w:anchor="page65">
        <w:r>
          <w:rPr>
            <w:rFonts w:ascii="Arial" w:cs="Arial" w:eastAsia="Arial" w:hAnsi="Arial"/>
            <w:sz w:val="18"/>
            <w:szCs w:val="18"/>
            <w:u w:val="single" w:color="auto"/>
            <w:color w:val="0000FF"/>
          </w:rPr>
          <w:t>pursuance to Section 302 of the Sarbanes - Oxley Act of 2002.</w:t>
        </w:r>
      </w:hyperlink>
    </w:p>
    <w:p>
      <w:pPr>
        <w:spacing w:after="0" w:line="162" w:lineRule="exact"/>
        <w:rPr>
          <w:sz w:val="20"/>
          <w:szCs w:val="20"/>
          <w:color w:val="auto"/>
        </w:rPr>
      </w:pPr>
    </w:p>
    <w:p>
      <w:pPr>
        <w:ind w:right="380"/>
        <w:spacing w:after="0" w:line="235" w:lineRule="auto"/>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Certification of Chief Executive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66">
        <w:r>
          <w:rPr>
            <w:rFonts w:ascii="Arial" w:cs="Arial" w:eastAsia="Arial" w:hAnsi="Arial"/>
            <w:sz w:val="18"/>
            <w:szCs w:val="18"/>
            <w:u w:val="single" w:color="auto"/>
            <w:color w:val="0000FF"/>
          </w:rPr>
          <w:t>Sarbanes - Oxley Act of 2002.</w:t>
        </w:r>
      </w:hyperlink>
    </w:p>
    <w:p>
      <w:pPr>
        <w:spacing w:after="0" w:line="162" w:lineRule="exact"/>
        <w:rPr>
          <w:sz w:val="20"/>
          <w:szCs w:val="20"/>
          <w:color w:val="auto"/>
        </w:rPr>
      </w:pPr>
    </w:p>
    <w:p>
      <w:pPr>
        <w:ind w:right="440"/>
        <w:spacing w:after="0" w:line="235" w:lineRule="auto"/>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Certification of Chief Financial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67">
        <w:r>
          <w:rPr>
            <w:rFonts w:ascii="Arial" w:cs="Arial" w:eastAsia="Arial" w:hAnsi="Arial"/>
            <w:sz w:val="18"/>
            <w:szCs w:val="18"/>
            <w:u w:val="single" w:color="auto"/>
            <w:color w:val="0000FF"/>
          </w:rPr>
          <w:t>Sarbanes - Oxley Act of 2002.</w:t>
        </w:r>
      </w:hyperlink>
    </w:p>
    <w:p>
      <w:pPr>
        <w:spacing w:after="0" w:line="202" w:lineRule="exact"/>
        <w:rPr>
          <w:sz w:val="20"/>
          <w:szCs w:val="20"/>
          <w:color w:val="auto"/>
        </w:rPr>
      </w:pPr>
    </w:p>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Mine Safety and Health Administration Safety Data.</w:t>
        </w:r>
      </w:hyperlink>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347" w:lineRule="exact"/>
        <w:rPr>
          <w:sz w:val="20"/>
          <w:szCs w:val="20"/>
          <w:color w:val="auto"/>
        </w:rPr>
      </w:pPr>
    </w:p>
    <w:p>
      <w:pPr>
        <w:sectPr>
          <w:pgSz w:w="11900" w:h="16838" w:orient="portrait"/>
          <w:cols w:equalWidth="0" w:num="2">
            <w:col w:w="1520" w:space="720"/>
            <w:col w:w="8920"/>
          </w:cols>
          <w:pgMar w:left="320" w:top="1030" w:right="419" w:bottom="1440" w:gutter="0" w:footer="0" w:header="0"/>
        </w:sectPr>
      </w:pPr>
    </w:p>
    <w:p>
      <w:pPr>
        <w:spacing w:after="0"/>
        <w:rPr>
          <w:sz w:val="20"/>
          <w:szCs w:val="20"/>
          <w:color w:val="auto"/>
        </w:rPr>
      </w:pPr>
      <w:r>
        <w:rPr>
          <w:rFonts w:ascii="Arial" w:cs="Arial" w:eastAsia="Arial" w:hAnsi="Arial"/>
          <w:sz w:val="15"/>
          <w:szCs w:val="15"/>
          <w:color w:val="auto"/>
        </w:rPr>
        <w:t>* Previously filed as part of the filing indicated and incorporated by reference herein.</w:t>
      </w: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30" w:right="41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BLACK HILLS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31750</wp:posOffset>
            </wp:positionV>
            <wp:extent cx="36861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Linden R. Evans, President and</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31750</wp:posOffset>
            </wp:positionV>
            <wp:extent cx="36861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Richard W. Kinzley, Senior Vice President and</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4,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320" w:top="126" w:right="5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Linden R. Evans, certify that:</w:t>
      </w:r>
    </w:p>
    <w:p>
      <w:pPr>
        <w:spacing w:after="0" w:line="158" w:lineRule="exact"/>
        <w:rPr>
          <w:sz w:val="20"/>
          <w:szCs w:val="20"/>
          <w:color w:val="auto"/>
        </w:rPr>
      </w:pPr>
    </w:p>
    <w:p>
      <w:pPr>
        <w:ind w:left="840" w:hanging="814"/>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25" w:lineRule="exact"/>
        <w:rPr>
          <w:rFonts w:ascii="Arial" w:cs="Arial" w:eastAsia="Arial" w:hAnsi="Arial"/>
          <w:sz w:val="18"/>
          <w:szCs w:val="18"/>
          <w:color w:val="auto"/>
        </w:rPr>
      </w:pPr>
    </w:p>
    <w:p>
      <w:pPr>
        <w:jc w:val="both"/>
        <w:ind w:left="840" w:right="200" w:hanging="814"/>
        <w:spacing w:after="0" w:line="263"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40" w:right="160" w:hanging="814"/>
        <w:spacing w:after="0" w:line="308" w:lineRule="auto"/>
        <w:tabs>
          <w:tab w:leader="none" w:pos="8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40" w:right="120" w:hanging="814"/>
        <w:spacing w:after="0" w:line="291" w:lineRule="auto"/>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620" w:right="240" w:hanging="784"/>
        <w:spacing w:after="0" w:line="286" w:lineRule="auto"/>
        <w:tabs>
          <w:tab w:leader="none" w:pos="16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100" w:hanging="784"/>
        <w:spacing w:after="0" w:line="263"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620" w:right="180" w:hanging="784"/>
        <w:spacing w:after="0" w:line="263"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620" w:right="280" w:hanging="784"/>
        <w:spacing w:after="0" w:line="263"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840" w:right="80" w:hanging="814"/>
        <w:spacing w:after="0" w:line="342" w:lineRule="auto"/>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620" w:right="140" w:hanging="784"/>
        <w:spacing w:after="0" w:line="342" w:lineRule="auto"/>
        <w:tabs>
          <w:tab w:leader="none" w:pos="1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420" w:hanging="784"/>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2020</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31750</wp:posOffset>
            </wp:positionV>
            <wp:extent cx="29146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158" w:lineRule="exact"/>
        <w:rPr>
          <w:sz w:val="20"/>
          <w:szCs w:val="20"/>
          <w:color w:val="auto"/>
        </w:rPr>
      </w:pPr>
    </w:p>
    <w:p>
      <w:pPr>
        <w:ind w:left="840" w:hanging="814"/>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25" w:lineRule="exact"/>
        <w:rPr>
          <w:rFonts w:ascii="Arial" w:cs="Arial" w:eastAsia="Arial" w:hAnsi="Arial"/>
          <w:sz w:val="18"/>
          <w:szCs w:val="18"/>
          <w:color w:val="auto"/>
        </w:rPr>
      </w:pPr>
    </w:p>
    <w:p>
      <w:pPr>
        <w:jc w:val="both"/>
        <w:ind w:left="840" w:right="200" w:hanging="814"/>
        <w:spacing w:after="0" w:line="263"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40" w:right="160" w:hanging="814"/>
        <w:spacing w:after="0" w:line="308" w:lineRule="auto"/>
        <w:tabs>
          <w:tab w:leader="none" w:pos="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40" w:right="120" w:hanging="814"/>
        <w:spacing w:after="0" w:line="291" w:lineRule="auto"/>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620" w:right="240" w:hanging="784"/>
        <w:spacing w:after="0" w:line="286" w:lineRule="auto"/>
        <w:tabs>
          <w:tab w:leader="none" w:pos="16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100" w:hanging="784"/>
        <w:spacing w:after="0" w:line="263"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620" w:right="180" w:hanging="784"/>
        <w:spacing w:after="0" w:line="263"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620" w:right="280" w:hanging="784"/>
        <w:spacing w:after="0" w:line="263"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840" w:right="80" w:hanging="814"/>
        <w:spacing w:after="0" w:line="342" w:lineRule="auto"/>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620" w:right="140" w:hanging="784"/>
        <w:spacing w:after="0" w:line="342" w:lineRule="auto"/>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420" w:hanging="784"/>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2020</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31750</wp:posOffset>
            </wp:positionV>
            <wp:extent cx="29146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Quarterly Report of Black Hills Corporation (the “Company”) on Form 10-Q for the period ended June 30, 2020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11" w:lineRule="exact"/>
        <w:rPr>
          <w:sz w:val="20"/>
          <w:szCs w:val="20"/>
          <w:color w:val="auto"/>
        </w:rPr>
      </w:pPr>
    </w:p>
    <w:p>
      <w:pPr>
        <w:ind w:left="1620" w:hanging="784"/>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25" w:lineRule="exact"/>
        <w:rPr>
          <w:rFonts w:ascii="Arial" w:cs="Arial" w:eastAsia="Arial" w:hAnsi="Arial"/>
          <w:sz w:val="18"/>
          <w:szCs w:val="18"/>
          <w:color w:val="auto"/>
        </w:rPr>
      </w:pPr>
    </w:p>
    <w:p>
      <w:pPr>
        <w:ind w:left="1620" w:right="220" w:hanging="784"/>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2020</w:t>
      </w:r>
    </w:p>
    <w:p>
      <w:pPr>
        <w:spacing w:after="0" w:line="33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31750</wp:posOffset>
            </wp:positionV>
            <wp:extent cx="29146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connection with the Quarterly Report of Black Hills Corporation (the “Company”) on Form 10-Q for the period ended June 30, 2020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192" w:lineRule="exact"/>
        <w:rPr>
          <w:sz w:val="20"/>
          <w:szCs w:val="20"/>
          <w:color w:val="auto"/>
        </w:rPr>
      </w:pPr>
    </w:p>
    <w:p>
      <w:pPr>
        <w:ind w:left="1620" w:hanging="784"/>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25" w:lineRule="exact"/>
        <w:rPr>
          <w:rFonts w:ascii="Arial" w:cs="Arial" w:eastAsia="Arial" w:hAnsi="Arial"/>
          <w:sz w:val="18"/>
          <w:szCs w:val="18"/>
          <w:color w:val="auto"/>
        </w:rPr>
      </w:pPr>
    </w:p>
    <w:p>
      <w:pPr>
        <w:ind w:left="1620" w:right="220" w:hanging="784"/>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2020</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31750</wp:posOffset>
            </wp:positionV>
            <wp:extent cx="29146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June 30, 2020.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222" w:lineRule="exact"/>
        <w:rPr>
          <w:sz w:val="20"/>
          <w:szCs w:val="20"/>
          <w:color w:val="auto"/>
        </w:rPr>
      </w:pPr>
    </w:p>
    <w:p>
      <w:pPr>
        <w:ind w:left="660" w:right="100" w:hanging="328"/>
        <w:spacing w:after="0" w:line="308"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5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June 30, 2020 and legal actions pending before the Federal Mine Safety and Health Review Commission, together with the Administrative Law Judges thereof, for WRDC, our only mining complex. All citations were abated within 24 hours of issue.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72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9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Legal</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Legal</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104 S&amp;S</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860" w:type="dxa"/>
            <w:vAlign w:val="bottom"/>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180" w:type="dxa"/>
            <w:vAlign w:val="bottom"/>
          </w:tcPr>
          <w:p>
            <w:pPr>
              <w:spacing w:after="0"/>
              <w:rPr>
                <w:sz w:val="12"/>
                <w:szCs w:val="12"/>
                <w:color w:val="auto"/>
              </w:rPr>
            </w:pPr>
          </w:p>
        </w:tc>
        <w:tc>
          <w:tcPr>
            <w:tcW w:w="9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6"/>
              </w:rPr>
              <w:t>Total Dollar</w:t>
            </w:r>
          </w:p>
        </w:tc>
        <w:tc>
          <w:tcPr>
            <w:tcW w:w="8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Citations issued</w:t>
            </w:r>
          </w:p>
        </w:tc>
        <w:tc>
          <w:tcPr>
            <w:tcW w:w="7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960" w:type="dxa"/>
            <w:vAlign w:val="bottom"/>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107(a)</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Potential to</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Pending as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Actions</w:t>
            </w:r>
          </w:p>
        </w:tc>
        <w:tc>
          <w:tcPr>
            <w:tcW w:w="0" w:type="dxa"/>
            <w:vAlign w:val="bottom"/>
          </w:tcPr>
          <w:p>
            <w:pPr>
              <w:spacing w:after="0"/>
              <w:rPr>
                <w:sz w:val="1"/>
                <w:szCs w:val="1"/>
                <w:color w:val="auto"/>
              </w:rPr>
            </w:pPr>
          </w:p>
        </w:tc>
      </w:tr>
      <w:tr>
        <w:trPr>
          <w:trHeight w:val="148"/>
        </w:trPr>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during three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104(d)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Section 110(b)</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Imminent</w:t>
            </w:r>
          </w:p>
        </w:tc>
        <w:tc>
          <w:tcPr>
            <w:tcW w:w="18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Value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Pattern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Last Day</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Initiated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20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104(b)</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Citations and</w:t>
            </w: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(2)</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Danger</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Under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65"/>
        </w:trPr>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Orders (#)</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Orders (#)</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Violations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180" w:type="dxa"/>
            <w:vAlign w:val="bottom"/>
          </w:tcPr>
          <w:p>
            <w:pPr>
              <w:spacing w:after="0"/>
              <w:rPr>
                <w:sz w:val="14"/>
                <w:szCs w:val="14"/>
                <w:color w:val="auto"/>
              </w:rPr>
            </w:pPr>
          </w:p>
        </w:tc>
        <w:tc>
          <w:tcPr>
            <w:tcW w:w="9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4"/>
              </w:rPr>
              <w:t>Assessments</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Fatalities (#)</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Section 104(e)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Period (#)</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 (#)</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 (#)</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1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7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jc w:val="center"/>
              <w:spacing w:after="0" w:line="156" w:lineRule="exact"/>
              <w:rPr>
                <w:sz w:val="20"/>
                <w:szCs w:val="20"/>
                <w:color w:val="auto"/>
              </w:rPr>
            </w:pPr>
            <w:r>
              <w:rPr>
                <w:rFonts w:ascii="Arial" w:cs="Arial" w:eastAsia="Arial" w:hAnsi="Arial"/>
                <w:sz w:val="14"/>
                <w:szCs w:val="14"/>
                <w:color w:val="auto"/>
                <w:w w:val="95"/>
              </w:rPr>
              <w:t>Wyodak Coal Mine</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tcPr>
          <w:p>
            <w:pPr>
              <w:jc w:val="right"/>
              <w:ind w:right="528"/>
              <w:spacing w:after="0"/>
              <w:rPr>
                <w:sz w:val="20"/>
                <w:szCs w:val="20"/>
                <w:color w:val="auto"/>
              </w:rPr>
            </w:pPr>
            <w:r>
              <w:rPr>
                <w:rFonts w:ascii="Arial" w:cs="Arial" w:eastAsia="Arial" w:hAnsi="Arial"/>
                <w:sz w:val="14"/>
                <w:szCs w:val="14"/>
                <w:color w:val="auto"/>
                <w:w w:val="91"/>
              </w:rPr>
              <w:t>- 4800083</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246</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340" w:hanging="332"/>
        <w:spacing w:after="0" w:line="254" w:lineRule="auto"/>
        <w:tabs>
          <w:tab w:leader="none" w:pos="23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lvl w:ilvl="1">
      <w:lvlJc w:val="left"/>
      <w:lvlText w:val="☒"/>
      <w:numFmt w:val="bullet"/>
      <w:start w:val="1"/>
    </w:lvl>
  </w:abstractNum>
  <w:abstractNum w:abstractNumId="1">
    <w:nsid w:val="333AB105"/>
    <w:multiLevelType w:val="hybridMultilevel"/>
    <w:lvl w:ilvl="0">
      <w:lvlJc w:val="left"/>
      <w:lvlText w:val="(%1)"/>
      <w:numFmt w:val="lowerLetter"/>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decimal"/>
      <w:start w:val="9"/>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decimal"/>
      <w:start w:val="14"/>
    </w:lvl>
  </w:abstractNum>
  <w:abstractNum w:abstractNumId="9">
    <w:nsid w:val="4353D0CD"/>
    <w:multiLevelType w:val="hybridMultilevel"/>
    <w:lvl w:ilvl="0">
      <w:lvlJc w:val="left"/>
      <w:lvlText w:val="%1."/>
      <w:numFmt w:val="decimal"/>
      <w:start w:val="19"/>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
      <w:numFmt w:val="bullet"/>
      <w:start w:val="1"/>
    </w:lvl>
    <w:lvl w:ilvl="1">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decimal"/>
      <w:start w:val="1"/>
    </w:lvl>
    <w:lvl w:ilvl="1">
      <w:lvlJc w:val="left"/>
      <w:lvlText w:val="%2)"/>
      <w:numFmt w:val="lowerLetter"/>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1"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06" Type="http://schemas.openxmlformats.org/officeDocument/2006/relationships/hyperlink" Target="http://www.sec.gov/Archives/edgar/data/1130464/000113046418000007/bhcamendedarticles.htm" TargetMode="External"/><Relationship Id="rId107" Type="http://schemas.openxmlformats.org/officeDocument/2006/relationships/hyperlink" Target="http://www.sec.gov/Archives/edgar/data/1130464/000113046417000016/bkhexh3-amdrestatedbylawso.htm" TargetMode="External"/><Relationship Id="rId108" Type="http://schemas.openxmlformats.org/officeDocument/2006/relationships/hyperlink" Target="http://www.sec.gov/Archives/edgar/data/1130464/000113046403000214/ex4-1_10q603.htm" TargetMode="External"/><Relationship Id="rId109" Type="http://schemas.openxmlformats.org/officeDocument/2006/relationships/hyperlink" Target="http://www.sec.gov/Archives/edgar/data/1130464/000113046403000214/ex4-2_10q603.htm" TargetMode="External"/><Relationship Id="rId110" Type="http://schemas.openxmlformats.org/officeDocument/2006/relationships/hyperlink" Target="http://www.sec.gov/Archives/edgar/data/1130464/000110465909032244/a09-13238_3ex4.htm" TargetMode="External"/><Relationship Id="rId111" Type="http://schemas.openxmlformats.org/officeDocument/2006/relationships/hyperlink" Target="http://www.sec.gov/Archives/edgar/data/1130464/000110465910038202/a10-11184_5ex4.htm" TargetMode="External"/><Relationship Id="rId112" Type="http://schemas.openxmlformats.org/officeDocument/2006/relationships/hyperlink" Target="http://www.sec.gov/Archives/edgar/data/1130464/000110465913085420/a13-24110_4ex4.htm" TargetMode="External"/><Relationship Id="rId113" Type="http://schemas.openxmlformats.org/officeDocument/2006/relationships/hyperlink" Target="http://www.sec.gov/Archives/edgar/data/1130464/000110465916089656/a16-1059_4ex4d1.htm" TargetMode="External"/><Relationship Id="rId114" Type="http://schemas.openxmlformats.org/officeDocument/2006/relationships/hyperlink" Target="http://www.sec.gov/Archives/edgar/data/1130464/000110465916140657/a16-17027_1ex4d1.htm" TargetMode="External"/><Relationship Id="rId115" Type="http://schemas.openxmlformats.org/officeDocument/2006/relationships/hyperlink" Target="http://www.sec.gov/Archives/edgar/data/1130464/000110465918052602/a18-18564_4ex4d2.htm" TargetMode="External"/><Relationship Id="rId116" Type="http://schemas.openxmlformats.org/officeDocument/2006/relationships/hyperlink" Target="http://www.sec.gov/Archives/edgar/data/1130464/000141057819001533/tv530573_ex4-1.htm" TargetMode="External"/><Relationship Id="rId117" Type="http://schemas.openxmlformats.org/officeDocument/2006/relationships/hyperlink" Target="http://www.sec.gov/Archives/edgar/data/1130464/000110465920074172/tm2022285d4_ex4-1.htm" TargetMode="External"/><Relationship Id="rId118" Type="http://schemas.openxmlformats.org/officeDocument/2006/relationships/hyperlink" Target="http://www.sec.gov/Archives/edgar/data/12400/000104746909009108/a2195001zex-4_19.htm" TargetMode="External"/><Relationship Id="rId119" Type="http://schemas.openxmlformats.org/officeDocument/2006/relationships/hyperlink" Target="http://www.sec.gov/Archives/edgar/data/12400/000093066102002633/dex42.txt" TargetMode="External"/><Relationship Id="rId120" Type="http://schemas.openxmlformats.org/officeDocument/2006/relationships/hyperlink" Target="http://www.sec.gov/Archives/edgar/data/12400/000110465909060487/a09-31821_7ex4d21.htm" TargetMode="External"/><Relationship Id="rId122" Type="http://schemas.openxmlformats.org/officeDocument/2006/relationships/hyperlink" Target="http://www.sec.gov/Archives/edgar/data/12400/000113046414000164/ex_10-1thirdsuppindentureb.htm" TargetMode="External"/><Relationship Id="rId123" Type="http://schemas.openxmlformats.org/officeDocument/2006/relationships/hyperlink" Target="http://www.sec.gov/Archives/edgar/data/12400/000113046414000164/ex_10-2restatedindenture.htm" TargetMode="External"/><Relationship Id="rId124" Type="http://schemas.openxmlformats.org/officeDocument/2006/relationships/hyperlink" Target="http://www.sec.gov/Archives/edgar/data/12400/000113046414000164/ex_10-3clfpfirstsupplement.htm" TargetMode="External"/><Relationship Id="rId125" Type="http://schemas.openxmlformats.org/officeDocument/2006/relationships/hyperlink" Target="http://www.sec.gov/Archives/edgar/data/12400/000113046414000164/ex_10-4clfpsupplementalind.htm" TargetMode="External"/><Relationship Id="rId126" Type="http://schemas.openxmlformats.org/officeDocument/2006/relationships/hyperlink" Target="http://www.sec.gov/Archives/edgar/data/1130464/000001240001000024/0000012400-01-000024-0002.txt" TargetMode="External"/><Relationship Id="rId127" Type="http://schemas.openxmlformats.org/officeDocument/2006/relationships/hyperlink" Target="https://www.sec.gov/Archives/edgar/data/1130464/000110465920089882/tm2026019d3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2020-08-04T13:13:18Z</dcterms:created>
  <dcterms:modified xsi:type="dcterms:W3CDTF">2020-08-04T13:13:18Z</dcterms:modified>
</cp:coreProperties>
</file>